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240" w:lineRule="atLeast"/>
        <w:jc w:val="center"/>
        <w:rPr>
          <w:rFonts w:ascii="方正小标宋简体" w:eastAsia="方正小标宋简体"/>
          <w:sz w:val="44"/>
          <w:szCs w:val="44"/>
        </w:rPr>
      </w:pPr>
      <w:r>
        <w:rPr>
          <w:rFonts w:hint="eastAsia" w:ascii="方正小标宋简体" w:eastAsia="方正小标宋简体"/>
          <w:sz w:val="44"/>
          <w:szCs w:val="44"/>
        </w:rPr>
        <w:t>靖边县物业服务市场专项治理工作任务清单</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1218"/>
        <w:gridCol w:w="6326"/>
        <w:gridCol w:w="184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vAlign w:val="center"/>
          </w:tcPr>
          <w:p>
            <w:pPr>
              <w:jc w:val="center"/>
              <w:rPr>
                <w:rFonts w:ascii="楷体_GB2312" w:hAnsi="宋体" w:eastAsia="楷体_GB2312"/>
                <w:b/>
                <w:sz w:val="24"/>
              </w:rPr>
            </w:pPr>
            <w:r>
              <w:rPr>
                <w:rFonts w:hint="eastAsia" w:ascii="楷体_GB2312" w:hAnsi="宋体" w:eastAsia="楷体_GB2312"/>
                <w:b/>
                <w:sz w:val="24"/>
              </w:rPr>
              <w:t>序号</w:t>
            </w:r>
          </w:p>
        </w:tc>
        <w:tc>
          <w:tcPr>
            <w:tcW w:w="1218" w:type="dxa"/>
            <w:vAlign w:val="center"/>
          </w:tcPr>
          <w:p>
            <w:pPr>
              <w:jc w:val="center"/>
              <w:rPr>
                <w:rFonts w:ascii="楷体_GB2312" w:hAnsi="宋体" w:eastAsia="楷体_GB2312"/>
                <w:b/>
                <w:sz w:val="24"/>
              </w:rPr>
            </w:pPr>
            <w:r>
              <w:rPr>
                <w:rFonts w:hint="eastAsia" w:ascii="楷体_GB2312" w:hAnsi="宋体" w:eastAsia="楷体_GB2312"/>
                <w:b/>
                <w:sz w:val="24"/>
              </w:rPr>
              <w:t>类别</w:t>
            </w:r>
          </w:p>
        </w:tc>
        <w:tc>
          <w:tcPr>
            <w:tcW w:w="6326" w:type="dxa"/>
            <w:vAlign w:val="center"/>
          </w:tcPr>
          <w:p>
            <w:pPr>
              <w:jc w:val="center"/>
              <w:rPr>
                <w:rFonts w:ascii="楷体_GB2312" w:hAnsi="宋体" w:eastAsia="楷体_GB2312"/>
                <w:b/>
                <w:sz w:val="24"/>
              </w:rPr>
            </w:pPr>
            <w:r>
              <w:rPr>
                <w:rFonts w:hint="eastAsia" w:ascii="楷体_GB2312" w:hAnsi="宋体" w:eastAsia="楷体_GB2312"/>
                <w:b/>
                <w:sz w:val="24"/>
              </w:rPr>
              <w:t>治理工作内容</w:t>
            </w:r>
          </w:p>
        </w:tc>
        <w:tc>
          <w:tcPr>
            <w:tcW w:w="1848" w:type="dxa"/>
            <w:vAlign w:val="center"/>
          </w:tcPr>
          <w:p>
            <w:pPr>
              <w:jc w:val="center"/>
              <w:rPr>
                <w:rFonts w:ascii="楷体_GB2312" w:hAnsi="宋体" w:eastAsia="楷体_GB2312"/>
                <w:b/>
                <w:sz w:val="24"/>
              </w:rPr>
            </w:pPr>
            <w:r>
              <w:rPr>
                <w:rFonts w:hint="eastAsia" w:ascii="楷体_GB2312" w:hAnsi="宋体" w:eastAsia="楷体_GB2312"/>
                <w:b/>
                <w:sz w:val="24"/>
              </w:rPr>
              <w:t>责任单位</w:t>
            </w:r>
          </w:p>
        </w:tc>
        <w:tc>
          <w:tcPr>
            <w:tcW w:w="2912" w:type="dxa"/>
            <w:vAlign w:val="center"/>
          </w:tcPr>
          <w:p>
            <w:pPr>
              <w:jc w:val="center"/>
              <w:rPr>
                <w:rFonts w:ascii="楷体_GB2312" w:hAnsi="宋体" w:eastAsia="楷体_GB2312"/>
                <w:b/>
                <w:sz w:val="24"/>
              </w:rPr>
            </w:pPr>
            <w:r>
              <w:rPr>
                <w:rFonts w:hint="eastAsia" w:ascii="楷体_GB2312" w:hAnsi="宋体" w:eastAsia="楷体_GB2312"/>
                <w:b/>
                <w:sz w:val="24"/>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781" w:type="dxa"/>
            <w:vMerge w:val="restart"/>
            <w:vAlign w:val="center"/>
          </w:tcPr>
          <w:p>
            <w:pPr>
              <w:spacing w:line="240" w:lineRule="atLeast"/>
              <w:jc w:val="center"/>
              <w:rPr>
                <w:rFonts w:ascii="仿宋_GB2312" w:eastAsia="仿宋_GB2312"/>
                <w:sz w:val="24"/>
              </w:rPr>
            </w:pPr>
            <w:r>
              <w:rPr>
                <w:rFonts w:ascii="仿宋_GB2312" w:eastAsia="仿宋_GB2312"/>
                <w:sz w:val="24"/>
              </w:rPr>
              <w:t>1</w:t>
            </w:r>
          </w:p>
        </w:tc>
        <w:tc>
          <w:tcPr>
            <w:tcW w:w="121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物业共用部位、共用设施设备使用治理</w:t>
            </w: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物业服务企业或部分业主擅自处分属于全体业主的物业共用部位、共用设施设备的所有权或者使用权，擅自占用、挖掘物业管理区域内道路、场地</w:t>
            </w:r>
          </w:p>
        </w:tc>
        <w:tc>
          <w:tcPr>
            <w:tcW w:w="1848" w:type="dxa"/>
            <w:vAlign w:val="center"/>
          </w:tcPr>
          <w:p>
            <w:pPr>
              <w:spacing w:line="240" w:lineRule="atLeast"/>
              <w:jc w:val="center"/>
              <w:rPr>
                <w:rFonts w:ascii="仿宋_GB2312" w:eastAsia="仿宋_GB2312"/>
                <w:sz w:val="24"/>
              </w:rPr>
            </w:pPr>
            <w:r>
              <w:rPr>
                <w:rFonts w:hint="eastAsia" w:ascii="仿宋_GB2312" w:eastAsia="仿宋_GB2312"/>
                <w:sz w:val="24"/>
              </w:rPr>
              <w:t>县住建局</w:t>
            </w: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县城市管理执法局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或部分业主擅自改变物业管理区域内按照规划建设的公共建筑和共用设施用途，擅自占用公共空间，擅自变更人防工程用途及对人防工程管理维护不到位，擅自将属于业主共有的绿地、广场等公共部位改造成车位（库）</w:t>
            </w:r>
          </w:p>
        </w:tc>
        <w:tc>
          <w:tcPr>
            <w:tcW w:w="1848" w:type="dxa"/>
            <w:vAlign w:val="center"/>
          </w:tcPr>
          <w:p>
            <w:pPr>
              <w:spacing w:line="240" w:lineRule="atLeast"/>
              <w:jc w:val="center"/>
              <w:rPr>
                <w:rFonts w:ascii="仿宋_GB2312" w:eastAsia="仿宋_GB2312"/>
                <w:sz w:val="24"/>
              </w:rPr>
            </w:pPr>
            <w:r>
              <w:rPr>
                <w:rFonts w:hint="eastAsia" w:ascii="仿宋_GB2312" w:eastAsia="仿宋_GB2312"/>
                <w:sz w:val="24"/>
              </w:rPr>
              <w:t>县城市管理执法局</w:t>
            </w: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县自然资源和规划局</w:t>
            </w:r>
          </w:p>
          <w:p>
            <w:pPr>
              <w:spacing w:line="240" w:lineRule="atLeast"/>
              <w:jc w:val="center"/>
              <w:rPr>
                <w:rFonts w:ascii="仿宋_GB2312" w:eastAsia="仿宋_GB2312"/>
                <w:sz w:val="24"/>
              </w:rPr>
            </w:pPr>
            <w:r>
              <w:rPr>
                <w:rFonts w:hint="eastAsia" w:ascii="仿宋_GB2312" w:eastAsia="仿宋_GB2312"/>
                <w:sz w:val="24"/>
              </w:rPr>
              <w:t>县住建局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物业服务企业或部分业主擅自利用物业共用部位、共用设施设备进行经营，损害业主共同利益</w:t>
            </w:r>
          </w:p>
        </w:tc>
        <w:tc>
          <w:tcPr>
            <w:tcW w:w="184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县住建局</w:t>
            </w:r>
          </w:p>
        </w:tc>
        <w:tc>
          <w:tcPr>
            <w:tcW w:w="2912"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县市场监督管理局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物业服务企业或部分业主未经业主同意在物业共用部位承接广告，收益被相关单位或个人占为己有</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物业服务企业未按规定预留公共车位，违规出售、出租车位（车库），私自占用公共车位</w:t>
            </w:r>
          </w:p>
        </w:tc>
        <w:tc>
          <w:tcPr>
            <w:tcW w:w="1848" w:type="dxa"/>
            <w:vMerge w:val="continue"/>
            <w:vAlign w:val="center"/>
          </w:tcPr>
          <w:p>
            <w:pPr>
              <w:spacing w:line="240" w:lineRule="atLeast"/>
              <w:rPr>
                <w:rFonts w:ascii="仿宋_GB2312" w:eastAsia="仿宋_GB2312"/>
                <w:sz w:val="24"/>
              </w:rPr>
            </w:pP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县自然资源和规划局</w:t>
            </w:r>
          </w:p>
          <w:p>
            <w:pPr>
              <w:spacing w:line="240" w:lineRule="atLeast"/>
              <w:jc w:val="center"/>
              <w:rPr>
                <w:rFonts w:ascii="仿宋_GB2312" w:eastAsia="仿宋_GB2312"/>
                <w:sz w:val="24"/>
              </w:rPr>
            </w:pPr>
            <w:r>
              <w:rPr>
                <w:rFonts w:hint="eastAsia" w:ascii="仿宋_GB2312" w:eastAsia="仿宋_GB2312"/>
                <w:sz w:val="24"/>
              </w:rPr>
              <w:t>县城市管理执法局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物业服务企业或业委会将公共收益未按规定处置，账目不清、用向不明，不公开、不公示</w:t>
            </w:r>
          </w:p>
        </w:tc>
        <w:tc>
          <w:tcPr>
            <w:tcW w:w="1848" w:type="dxa"/>
            <w:vMerge w:val="continue"/>
            <w:vAlign w:val="center"/>
          </w:tcPr>
          <w:p>
            <w:pPr>
              <w:spacing w:line="240" w:lineRule="atLeast"/>
              <w:rPr>
                <w:rFonts w:ascii="仿宋_GB2312" w:eastAsia="仿宋_GB2312"/>
                <w:sz w:val="24"/>
              </w:rPr>
            </w:pP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物业服务企业或业委会阻挡其他电信运营企业进入小区，向电信运营企业收取额外费用</w:t>
            </w:r>
          </w:p>
        </w:tc>
        <w:tc>
          <w:tcPr>
            <w:tcW w:w="1848" w:type="dxa"/>
            <w:vAlign w:val="center"/>
          </w:tcPr>
          <w:p>
            <w:pPr>
              <w:spacing w:line="240" w:lineRule="atLeast"/>
              <w:jc w:val="center"/>
              <w:rPr>
                <w:rFonts w:ascii="仿宋_GB2312" w:eastAsia="仿宋_GB2312"/>
                <w:sz w:val="24"/>
              </w:rPr>
            </w:pPr>
            <w:r>
              <w:rPr>
                <w:rFonts w:hint="eastAsia" w:ascii="仿宋_GB2312" w:eastAsia="仿宋_GB2312"/>
                <w:sz w:val="24"/>
              </w:rPr>
              <w:t>县市场监督管理局</w:t>
            </w: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县住建局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81" w:type="dxa"/>
            <w:vMerge w:val="restart"/>
            <w:vAlign w:val="center"/>
          </w:tcPr>
          <w:p>
            <w:pPr>
              <w:spacing w:line="240" w:lineRule="atLeast"/>
              <w:jc w:val="center"/>
              <w:rPr>
                <w:rFonts w:ascii="仿宋_GB2312" w:eastAsia="仿宋_GB2312"/>
                <w:sz w:val="24"/>
              </w:rPr>
            </w:pPr>
            <w:r>
              <w:rPr>
                <w:rFonts w:ascii="仿宋_GB2312" w:eastAsia="仿宋_GB2312"/>
                <w:sz w:val="24"/>
              </w:rPr>
              <w:t>2</w:t>
            </w:r>
          </w:p>
        </w:tc>
        <w:tc>
          <w:tcPr>
            <w:tcW w:w="121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小区</w:t>
            </w:r>
          </w:p>
          <w:p>
            <w:pPr>
              <w:spacing w:line="240" w:lineRule="atLeast"/>
              <w:jc w:val="center"/>
              <w:rPr>
                <w:rFonts w:ascii="仿宋_GB2312" w:eastAsia="仿宋_GB2312"/>
                <w:sz w:val="24"/>
              </w:rPr>
            </w:pPr>
            <w:r>
              <w:rPr>
                <w:rFonts w:hint="eastAsia" w:ascii="仿宋_GB2312" w:eastAsia="仿宋_GB2312"/>
                <w:sz w:val="24"/>
              </w:rPr>
              <w:t>安全</w:t>
            </w:r>
          </w:p>
          <w:p>
            <w:pPr>
              <w:spacing w:line="240" w:lineRule="atLeast"/>
              <w:jc w:val="center"/>
              <w:rPr>
                <w:rFonts w:ascii="仿宋_GB2312" w:eastAsia="仿宋_GB2312"/>
                <w:sz w:val="24"/>
              </w:rPr>
            </w:pPr>
            <w:r>
              <w:rPr>
                <w:rFonts w:hint="eastAsia" w:ascii="仿宋_GB2312" w:eastAsia="仿宋_GB2312"/>
                <w:sz w:val="24"/>
              </w:rPr>
              <w:t>管理</w:t>
            </w:r>
          </w:p>
        </w:tc>
        <w:tc>
          <w:tcPr>
            <w:tcW w:w="6326" w:type="dxa"/>
            <w:vAlign w:val="center"/>
          </w:tcPr>
          <w:p>
            <w:pPr>
              <w:spacing w:line="240" w:lineRule="atLeast"/>
              <w:rPr>
                <w:rFonts w:ascii="仿宋_GB2312" w:eastAsia="仿宋_GB2312"/>
                <w:sz w:val="24"/>
              </w:rPr>
            </w:pPr>
            <w:r>
              <w:rPr>
                <w:rFonts w:hint="eastAsia" w:ascii="仿宋_GB2312" w:eastAsia="仿宋_GB2312"/>
                <w:sz w:val="24"/>
              </w:rPr>
              <w:t>小区内私拉乱扯电线、飞线，盗用共用电源</w:t>
            </w:r>
          </w:p>
        </w:tc>
        <w:tc>
          <w:tcPr>
            <w:tcW w:w="1848" w:type="dxa"/>
            <w:vMerge w:val="restart"/>
            <w:vAlign w:val="center"/>
          </w:tcPr>
          <w:p>
            <w:pPr>
              <w:spacing w:line="240" w:lineRule="atLeast"/>
              <w:jc w:val="center"/>
            </w:pPr>
            <w:r>
              <w:rPr>
                <w:rFonts w:hint="eastAsia" w:ascii="仿宋_GB2312" w:eastAsia="仿宋_GB2312"/>
                <w:sz w:val="24"/>
              </w:rPr>
              <w:t>县应急管理局</w:t>
            </w:r>
          </w:p>
        </w:tc>
        <w:tc>
          <w:tcPr>
            <w:tcW w:w="2912"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县住建局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在楼梯间内堆放杂物，停放电动车，在楼梯间或储藏室对电动车充电</w:t>
            </w:r>
          </w:p>
        </w:tc>
        <w:tc>
          <w:tcPr>
            <w:tcW w:w="1848" w:type="dxa"/>
            <w:vMerge w:val="continue"/>
          </w:tcPr>
          <w:p>
            <w:pPr>
              <w:spacing w:line="240" w:lineRule="atLeast"/>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车辆、杂物占用疏散通道、安全出口、消防通道，疏散通道、安全出口、消防通道堵塞</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pacing w:val="-6"/>
                <w:sz w:val="24"/>
              </w:rPr>
            </w:pPr>
            <w:r>
              <w:rPr>
                <w:rFonts w:hint="eastAsia" w:ascii="仿宋_GB2312" w:eastAsia="仿宋_GB2312"/>
                <w:spacing w:val="-6"/>
                <w:sz w:val="24"/>
              </w:rPr>
              <w:t>楼梯间门禁不能正常使用，形同虚设，门禁损坏未及时维修</w:t>
            </w:r>
          </w:p>
        </w:tc>
        <w:tc>
          <w:tcPr>
            <w:tcW w:w="184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县住建局</w:t>
            </w:r>
          </w:p>
        </w:tc>
        <w:tc>
          <w:tcPr>
            <w:tcW w:w="2912"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监控损坏未及时维修，不能正常使用</w:t>
            </w:r>
          </w:p>
        </w:tc>
        <w:tc>
          <w:tcPr>
            <w:tcW w:w="1848" w:type="dxa"/>
            <w:vMerge w:val="continue"/>
            <w:vAlign w:val="center"/>
          </w:tcPr>
          <w:p>
            <w:pPr>
              <w:spacing w:line="240" w:lineRule="atLeast"/>
              <w:jc w:val="center"/>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二次供水设备未按规范进行日常维护管理</w:t>
            </w:r>
          </w:p>
        </w:tc>
        <w:tc>
          <w:tcPr>
            <w:tcW w:w="1848" w:type="dxa"/>
            <w:vMerge w:val="continue"/>
            <w:vAlign w:val="center"/>
          </w:tcPr>
          <w:p>
            <w:pPr>
              <w:spacing w:line="240" w:lineRule="atLeast"/>
              <w:jc w:val="center"/>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业主私自改变房屋用途或违规装修</w:t>
            </w:r>
          </w:p>
        </w:tc>
        <w:tc>
          <w:tcPr>
            <w:tcW w:w="1848" w:type="dxa"/>
            <w:vMerge w:val="continue"/>
            <w:vAlign w:val="center"/>
          </w:tcPr>
          <w:p>
            <w:pPr>
              <w:spacing w:line="240" w:lineRule="atLeast"/>
              <w:jc w:val="center"/>
              <w:rPr>
                <w:rFonts w:ascii="仿宋_GB2312" w:eastAsia="仿宋_GB2312"/>
                <w:sz w:val="24"/>
              </w:rPr>
            </w:pP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县城市管理执法局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电梯等共用设施设备未按要求定期检测、定期维修保养，未将维修保养单在电梯内公示</w:t>
            </w:r>
          </w:p>
        </w:tc>
        <w:tc>
          <w:tcPr>
            <w:tcW w:w="1848" w:type="dxa"/>
            <w:vAlign w:val="center"/>
          </w:tcPr>
          <w:p>
            <w:pPr>
              <w:spacing w:line="240" w:lineRule="atLeast"/>
              <w:jc w:val="center"/>
              <w:rPr>
                <w:rFonts w:ascii="仿宋_GB2312" w:eastAsia="仿宋_GB2312"/>
                <w:sz w:val="24"/>
              </w:rPr>
            </w:pPr>
            <w:r>
              <w:rPr>
                <w:rFonts w:hint="eastAsia" w:ascii="仿宋_GB2312" w:eastAsia="仿宋_GB2312"/>
                <w:sz w:val="24"/>
              </w:rPr>
              <w:t>县市场监督管理局</w:t>
            </w: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县住建局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未履行对消防设施等特种设备维护义务的</w:t>
            </w:r>
          </w:p>
        </w:tc>
        <w:tc>
          <w:tcPr>
            <w:tcW w:w="1848" w:type="dxa"/>
            <w:vAlign w:val="center"/>
          </w:tcPr>
          <w:p>
            <w:pPr>
              <w:spacing w:line="240" w:lineRule="atLeast"/>
              <w:jc w:val="center"/>
              <w:rPr>
                <w:rFonts w:ascii="仿宋_GB2312" w:eastAsia="仿宋_GB2312"/>
                <w:sz w:val="24"/>
              </w:rPr>
            </w:pPr>
            <w:r>
              <w:rPr>
                <w:rFonts w:hint="eastAsia" w:ascii="仿宋_GB2312" w:eastAsia="仿宋_GB2312"/>
                <w:sz w:val="24"/>
              </w:rPr>
              <w:t>县应急管理局</w:t>
            </w: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县住建局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781" w:type="dxa"/>
            <w:vMerge w:val="restart"/>
            <w:vAlign w:val="center"/>
          </w:tcPr>
          <w:p>
            <w:pPr>
              <w:spacing w:line="240" w:lineRule="atLeast"/>
              <w:jc w:val="center"/>
              <w:rPr>
                <w:rFonts w:ascii="仿宋_GB2312" w:eastAsia="仿宋_GB2312"/>
                <w:sz w:val="24"/>
              </w:rPr>
            </w:pPr>
            <w:r>
              <w:rPr>
                <w:rFonts w:ascii="仿宋_GB2312" w:eastAsia="仿宋_GB2312"/>
                <w:sz w:val="24"/>
              </w:rPr>
              <w:t>3</w:t>
            </w:r>
          </w:p>
        </w:tc>
        <w:tc>
          <w:tcPr>
            <w:tcW w:w="121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物业收费</w:t>
            </w:r>
          </w:p>
          <w:p>
            <w:pPr>
              <w:spacing w:line="240" w:lineRule="atLeast"/>
              <w:jc w:val="center"/>
              <w:rPr>
                <w:rFonts w:ascii="仿宋_GB2312" w:eastAsia="仿宋_GB2312"/>
                <w:sz w:val="24"/>
              </w:rPr>
            </w:pPr>
            <w:r>
              <w:rPr>
                <w:rFonts w:hint="eastAsia" w:ascii="仿宋_GB2312" w:eastAsia="仿宋_GB2312"/>
                <w:sz w:val="24"/>
              </w:rPr>
              <w:t>与服务</w:t>
            </w: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物业服务企业违反物业服务合同约定，擅自提高收费标准，明显高于指导价格收取物业服务费、停车服务费、车位租赁费、临时停车费，空置房收费、擅自增加收费项目等物业收费问题</w:t>
            </w:r>
          </w:p>
        </w:tc>
        <w:tc>
          <w:tcPr>
            <w:tcW w:w="1848" w:type="dxa"/>
            <w:vAlign w:val="center"/>
          </w:tcPr>
          <w:p>
            <w:pPr>
              <w:spacing w:line="240" w:lineRule="atLeast"/>
              <w:jc w:val="center"/>
              <w:rPr>
                <w:rFonts w:ascii="仿宋_GB2312" w:eastAsia="仿宋_GB2312"/>
                <w:sz w:val="24"/>
              </w:rPr>
            </w:pPr>
            <w:r>
              <w:rPr>
                <w:rFonts w:hint="eastAsia" w:ascii="仿宋_GB2312" w:eastAsia="仿宋_GB2312"/>
                <w:sz w:val="24"/>
              </w:rPr>
              <w:t>县市场监督管理局</w:t>
            </w: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县发展改革和科技局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对不交物业费业主采取擅自或者变相停水、停电或停用门禁卡等手段强制收费，将物业费与电梯卡、门禁卡等捆绑收费</w:t>
            </w:r>
          </w:p>
        </w:tc>
        <w:tc>
          <w:tcPr>
            <w:tcW w:w="184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县住建局</w:t>
            </w: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县发展改革和科技局</w:t>
            </w:r>
          </w:p>
          <w:p>
            <w:pPr>
              <w:spacing w:line="240" w:lineRule="atLeast"/>
              <w:jc w:val="center"/>
              <w:rPr>
                <w:rFonts w:ascii="仿宋_GB2312" w:eastAsia="仿宋_GB2312"/>
                <w:sz w:val="24"/>
              </w:rPr>
            </w:pPr>
            <w:r>
              <w:rPr>
                <w:rFonts w:hint="eastAsia" w:ascii="仿宋_GB2312" w:eastAsia="仿宋_GB2312"/>
                <w:sz w:val="24"/>
              </w:rPr>
              <w:t>县供电局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小区秩序维护不力，机动车、非机动车乱停乱放</w:t>
            </w:r>
          </w:p>
        </w:tc>
        <w:tc>
          <w:tcPr>
            <w:tcW w:w="1848" w:type="dxa"/>
            <w:vMerge w:val="continue"/>
            <w:vAlign w:val="center"/>
          </w:tcPr>
          <w:p>
            <w:pPr>
              <w:spacing w:line="240" w:lineRule="atLeast"/>
              <w:rPr>
                <w:rFonts w:ascii="仿宋_GB2312" w:eastAsia="仿宋_GB2312"/>
                <w:sz w:val="24"/>
              </w:rPr>
            </w:pP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县公安局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小区道路、绿化带、楼梯、电梯等处垃圾清扫不及时，垃圾箱（桶）或垃圾投放点生活垃圾、装修垃圾堆积满溢，清运不及时</w:t>
            </w:r>
          </w:p>
        </w:tc>
        <w:tc>
          <w:tcPr>
            <w:tcW w:w="1848" w:type="dxa"/>
            <w:vMerge w:val="continue"/>
            <w:vAlign w:val="center"/>
          </w:tcPr>
          <w:p>
            <w:pPr>
              <w:spacing w:line="240" w:lineRule="atLeast"/>
              <w:rPr>
                <w:rFonts w:ascii="仿宋_GB2312" w:eastAsia="仿宋_GB2312"/>
                <w:sz w:val="24"/>
              </w:rPr>
            </w:pP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县城市管理执法局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81" w:type="dxa"/>
            <w:vMerge w:val="restart"/>
            <w:vAlign w:val="center"/>
          </w:tcPr>
          <w:p>
            <w:pPr>
              <w:spacing w:line="240" w:lineRule="atLeast"/>
              <w:jc w:val="center"/>
              <w:rPr>
                <w:rFonts w:ascii="仿宋_GB2312" w:eastAsia="仿宋_GB2312"/>
                <w:sz w:val="24"/>
              </w:rPr>
            </w:pPr>
            <w:r>
              <w:rPr>
                <w:rFonts w:ascii="仿宋_GB2312" w:eastAsia="仿宋_GB2312"/>
                <w:sz w:val="24"/>
              </w:rPr>
              <w:t>4</w:t>
            </w:r>
          </w:p>
        </w:tc>
        <w:tc>
          <w:tcPr>
            <w:tcW w:w="121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物业</w:t>
            </w:r>
          </w:p>
          <w:p>
            <w:pPr>
              <w:spacing w:line="240" w:lineRule="atLeast"/>
              <w:jc w:val="center"/>
              <w:rPr>
                <w:rFonts w:ascii="仿宋_GB2312" w:eastAsia="仿宋_GB2312"/>
                <w:sz w:val="24"/>
              </w:rPr>
            </w:pPr>
            <w:r>
              <w:rPr>
                <w:rFonts w:hint="eastAsia" w:ascii="仿宋_GB2312" w:eastAsia="仿宋_GB2312"/>
                <w:sz w:val="24"/>
              </w:rPr>
              <w:t>管理</w:t>
            </w:r>
          </w:p>
          <w:p>
            <w:pPr>
              <w:spacing w:line="240" w:lineRule="atLeast"/>
              <w:jc w:val="center"/>
              <w:rPr>
                <w:rFonts w:ascii="仿宋_GB2312" w:eastAsia="仿宋_GB2312"/>
                <w:sz w:val="24"/>
              </w:rPr>
            </w:pPr>
            <w:r>
              <w:rPr>
                <w:rFonts w:hint="eastAsia" w:ascii="仿宋_GB2312" w:eastAsia="仿宋_GB2312"/>
                <w:sz w:val="24"/>
              </w:rPr>
              <w:t>体制</w:t>
            </w:r>
          </w:p>
        </w:tc>
        <w:tc>
          <w:tcPr>
            <w:tcW w:w="6326" w:type="dxa"/>
            <w:vAlign w:val="center"/>
          </w:tcPr>
          <w:p>
            <w:pPr>
              <w:spacing w:line="240" w:lineRule="atLeast"/>
              <w:rPr>
                <w:rFonts w:ascii="仿宋_GB2312" w:eastAsia="仿宋_GB2312"/>
                <w:sz w:val="24"/>
              </w:rPr>
            </w:pPr>
            <w:r>
              <w:rPr>
                <w:rFonts w:hint="eastAsia" w:ascii="仿宋_GB2312" w:eastAsia="仿宋_GB2312"/>
                <w:sz w:val="24"/>
              </w:rPr>
              <w:t>业主大会召开、业主委员会成立不规范</w:t>
            </w:r>
          </w:p>
        </w:tc>
        <w:tc>
          <w:tcPr>
            <w:tcW w:w="184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张家畔街道办事处</w:t>
            </w:r>
          </w:p>
        </w:tc>
        <w:tc>
          <w:tcPr>
            <w:tcW w:w="2912"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县司法局</w:t>
            </w:r>
          </w:p>
          <w:p>
            <w:pPr>
              <w:spacing w:line="240" w:lineRule="atLeast"/>
              <w:jc w:val="center"/>
              <w:rPr>
                <w:rFonts w:ascii="仿宋_GB2312" w:eastAsia="仿宋_GB2312"/>
                <w:sz w:val="24"/>
              </w:rPr>
            </w:pPr>
            <w:r>
              <w:rPr>
                <w:rFonts w:hint="eastAsia" w:ascii="仿宋_GB2312" w:eastAsia="仿宋_GB2312"/>
                <w:sz w:val="24"/>
              </w:rPr>
              <w:t>县住建局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业主委员会未正常运作，业委会成员不履职尽责</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业主委员会违反业主大会议事规则或业主大会决议，擅自作出违背全体业主意愿的重大决策</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业主委员会未依法选聘物业服务企业并签订物业管理合同，选聘或改聘物业服务企业存在纠纷</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未成立业主委员会，小区无人管理，环境秩序混乱</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物业服务企业与业主或业主委员会关系僵化，不服从所在街道或社区监督管理，对反映问题不及时整改</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781" w:type="dxa"/>
            <w:vMerge w:val="restart"/>
            <w:vAlign w:val="center"/>
          </w:tcPr>
          <w:p>
            <w:pPr>
              <w:spacing w:line="240" w:lineRule="atLeast"/>
              <w:jc w:val="center"/>
              <w:rPr>
                <w:rFonts w:ascii="仿宋_GB2312" w:eastAsia="仿宋_GB2312"/>
                <w:sz w:val="24"/>
              </w:rPr>
            </w:pPr>
            <w:r>
              <w:rPr>
                <w:rFonts w:ascii="仿宋_GB2312" w:eastAsia="仿宋_GB2312"/>
                <w:sz w:val="24"/>
              </w:rPr>
              <w:t>5</w:t>
            </w:r>
          </w:p>
        </w:tc>
        <w:tc>
          <w:tcPr>
            <w:tcW w:w="121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保安管理</w:t>
            </w:r>
          </w:p>
        </w:tc>
        <w:tc>
          <w:tcPr>
            <w:tcW w:w="6326" w:type="dxa"/>
            <w:vAlign w:val="center"/>
          </w:tcPr>
          <w:p>
            <w:pPr>
              <w:spacing w:line="240" w:lineRule="atLeast"/>
              <w:rPr>
                <w:rFonts w:ascii="仿宋_GB2312" w:eastAsia="仿宋_GB2312"/>
                <w:sz w:val="24"/>
              </w:rPr>
            </w:pPr>
            <w:r>
              <w:rPr>
                <w:rFonts w:hint="eastAsia" w:ascii="仿宋_GB2312" w:eastAsia="仿宋_GB2312"/>
                <w:sz w:val="24"/>
              </w:rPr>
              <w:t>未到公安机关备案、招聘、雇用人员为物业服务区域提供有偿门卫、巡逻、秩序维护等服务</w:t>
            </w:r>
          </w:p>
        </w:tc>
        <w:tc>
          <w:tcPr>
            <w:tcW w:w="184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县公安局</w:t>
            </w:r>
          </w:p>
        </w:tc>
        <w:tc>
          <w:tcPr>
            <w:tcW w:w="2912"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县司法局</w:t>
            </w:r>
          </w:p>
          <w:p>
            <w:pPr>
              <w:spacing w:line="240" w:lineRule="atLeast"/>
              <w:jc w:val="center"/>
              <w:rPr>
                <w:rFonts w:ascii="仿宋_GB2312" w:eastAsia="仿宋_GB2312"/>
                <w:sz w:val="24"/>
              </w:rPr>
            </w:pPr>
            <w:r>
              <w:rPr>
                <w:rFonts w:hint="eastAsia" w:ascii="仿宋_GB2312" w:eastAsia="仿宋_GB2312"/>
                <w:sz w:val="24"/>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招用不符合《保安服务管理条例》规定条件的人员担任保安员</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未按规定着装（重点清理着仿警服、仿军服、佩戴“特警”标志等）</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超范围提供保安服务活动</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限制他人人身自由、搜查他人身体或者侮辱、殴打他人；扣押、没收他人证件、财物；阻碍依法执行公务；参与追索债务、采用暴力或者以暴力相威胁的手段处置纠纷；删改或者扩散保安服务中形成的监控影像资料、报警记录和其他违反法律、行政法规的行为</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781" w:type="dxa"/>
            <w:vMerge w:val="restart"/>
            <w:vAlign w:val="center"/>
          </w:tcPr>
          <w:p>
            <w:pPr>
              <w:spacing w:line="240" w:lineRule="atLeast"/>
              <w:jc w:val="center"/>
              <w:rPr>
                <w:rFonts w:ascii="仿宋_GB2312" w:eastAsia="仿宋_GB2312"/>
                <w:sz w:val="24"/>
              </w:rPr>
            </w:pPr>
            <w:r>
              <w:rPr>
                <w:rFonts w:ascii="仿宋_GB2312" w:eastAsia="仿宋_GB2312"/>
                <w:sz w:val="24"/>
              </w:rPr>
              <w:t>6</w:t>
            </w:r>
          </w:p>
        </w:tc>
        <w:tc>
          <w:tcPr>
            <w:tcW w:w="121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其它</w:t>
            </w:r>
          </w:p>
          <w:p>
            <w:pPr>
              <w:spacing w:line="240" w:lineRule="atLeast"/>
              <w:jc w:val="center"/>
              <w:rPr>
                <w:rFonts w:ascii="仿宋_GB2312" w:eastAsia="仿宋_GB2312"/>
                <w:sz w:val="24"/>
              </w:rPr>
            </w:pPr>
            <w:r>
              <w:rPr>
                <w:rFonts w:hint="eastAsia" w:ascii="仿宋_GB2312" w:eastAsia="仿宋_GB2312"/>
                <w:sz w:val="24"/>
              </w:rPr>
              <w:t>问题</w:t>
            </w:r>
          </w:p>
        </w:tc>
        <w:tc>
          <w:tcPr>
            <w:tcW w:w="6326" w:type="dxa"/>
            <w:vAlign w:val="center"/>
          </w:tcPr>
          <w:p>
            <w:pPr>
              <w:spacing w:line="240" w:lineRule="atLeast"/>
              <w:rPr>
                <w:rFonts w:ascii="仿宋_GB2312" w:eastAsia="仿宋_GB2312"/>
                <w:sz w:val="24"/>
              </w:rPr>
            </w:pPr>
            <w:r>
              <w:rPr>
                <w:rFonts w:hint="eastAsia" w:ascii="仿宋_GB2312" w:eastAsia="仿宋_GB2312"/>
                <w:sz w:val="24"/>
              </w:rPr>
              <w:t>未通过招投标的方式或者未经批准采用协议方式签订前期物业服务合同的</w:t>
            </w:r>
          </w:p>
        </w:tc>
        <w:tc>
          <w:tcPr>
            <w:tcW w:w="1848"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县住建局</w:t>
            </w:r>
          </w:p>
        </w:tc>
        <w:tc>
          <w:tcPr>
            <w:tcW w:w="2912"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县司法局</w:t>
            </w:r>
          </w:p>
          <w:p>
            <w:pPr>
              <w:spacing w:line="240" w:lineRule="atLeast"/>
              <w:jc w:val="center"/>
              <w:rPr>
                <w:rFonts w:ascii="仿宋_GB2312" w:eastAsia="仿宋_GB2312"/>
                <w:sz w:val="24"/>
              </w:rPr>
            </w:pPr>
            <w:r>
              <w:rPr>
                <w:rFonts w:hint="eastAsia" w:ascii="仿宋_GB2312" w:eastAsia="仿宋_GB2312"/>
                <w:sz w:val="24"/>
              </w:rPr>
              <w:t>所属社区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未按规定进行服务合同备案的</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物业服务合同过期的</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物业服务企业擅自撤离物业管理区域、中止物业服务，或物业服务合同终止后拒不撤离</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未按规定移交有关资料的</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物业服务企业将一个物业管理区域内的全部物业管理一并委托给他人的</w:t>
            </w:r>
          </w:p>
        </w:tc>
        <w:tc>
          <w:tcPr>
            <w:tcW w:w="1848" w:type="dxa"/>
            <w:vMerge w:val="continue"/>
            <w:vAlign w:val="center"/>
          </w:tcPr>
          <w:p>
            <w:pPr>
              <w:spacing w:line="240" w:lineRule="atLeast"/>
              <w:rPr>
                <w:rFonts w:ascii="仿宋_GB2312" w:eastAsia="仿宋_GB2312"/>
                <w:sz w:val="24"/>
              </w:rPr>
            </w:pP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泄露或出售业主个人信息</w:t>
            </w:r>
          </w:p>
        </w:tc>
        <w:tc>
          <w:tcPr>
            <w:tcW w:w="1848" w:type="dxa"/>
            <w:vAlign w:val="center"/>
          </w:tcPr>
          <w:p>
            <w:pPr>
              <w:spacing w:line="240" w:lineRule="atLeast"/>
              <w:jc w:val="center"/>
              <w:rPr>
                <w:rFonts w:ascii="仿宋_GB2312" w:eastAsia="仿宋_GB2312"/>
                <w:sz w:val="24"/>
              </w:rPr>
            </w:pPr>
            <w:r>
              <w:rPr>
                <w:rFonts w:hint="eastAsia" w:ascii="仿宋_GB2312" w:eastAsia="仿宋_GB2312"/>
                <w:sz w:val="24"/>
              </w:rPr>
              <w:t>县公安局</w:t>
            </w:r>
          </w:p>
        </w:tc>
        <w:tc>
          <w:tcPr>
            <w:tcW w:w="2912" w:type="dxa"/>
            <w:vMerge w:val="continue"/>
            <w:vAlign w:val="center"/>
          </w:tcPr>
          <w:p>
            <w:pPr>
              <w:spacing w:line="240" w:lineRule="atLeast"/>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1" w:type="dxa"/>
            <w:vMerge w:val="continue"/>
            <w:vAlign w:val="center"/>
          </w:tcPr>
          <w:p>
            <w:pPr>
              <w:spacing w:line="240" w:lineRule="atLeast"/>
              <w:jc w:val="center"/>
              <w:rPr>
                <w:rFonts w:ascii="仿宋_GB2312" w:eastAsia="仿宋_GB2312"/>
                <w:sz w:val="24"/>
              </w:rPr>
            </w:pPr>
          </w:p>
        </w:tc>
        <w:tc>
          <w:tcPr>
            <w:tcW w:w="1218" w:type="dxa"/>
            <w:vMerge w:val="continue"/>
            <w:vAlign w:val="center"/>
          </w:tcPr>
          <w:p>
            <w:pPr>
              <w:spacing w:line="240" w:lineRule="atLeast"/>
              <w:jc w:val="center"/>
              <w:rPr>
                <w:rFonts w:ascii="仿宋_GB2312" w:eastAsia="仿宋_GB2312"/>
                <w:sz w:val="24"/>
              </w:rPr>
            </w:pPr>
          </w:p>
        </w:tc>
        <w:tc>
          <w:tcPr>
            <w:tcW w:w="6326" w:type="dxa"/>
            <w:vAlign w:val="center"/>
          </w:tcPr>
          <w:p>
            <w:pPr>
              <w:spacing w:line="240" w:lineRule="atLeast"/>
              <w:rPr>
                <w:rFonts w:ascii="仿宋_GB2312" w:eastAsia="仿宋_GB2312"/>
                <w:sz w:val="24"/>
              </w:rPr>
            </w:pPr>
            <w:r>
              <w:rPr>
                <w:rFonts w:hint="eastAsia" w:ascii="仿宋_GB2312" w:eastAsia="仿宋_GB2312"/>
                <w:sz w:val="24"/>
              </w:rPr>
              <w:t>违规使用住宅专项维修资金，虚报、挪用、骗取、侵占维修资金，未按规定公示维修资金使用账目</w:t>
            </w:r>
          </w:p>
        </w:tc>
        <w:tc>
          <w:tcPr>
            <w:tcW w:w="1848" w:type="dxa"/>
            <w:vAlign w:val="center"/>
          </w:tcPr>
          <w:p>
            <w:pPr>
              <w:spacing w:line="240" w:lineRule="atLeast"/>
              <w:jc w:val="center"/>
              <w:rPr>
                <w:rFonts w:ascii="仿宋_GB2312" w:eastAsia="仿宋_GB2312"/>
                <w:sz w:val="24"/>
              </w:rPr>
            </w:pPr>
            <w:r>
              <w:rPr>
                <w:rFonts w:hint="eastAsia" w:ascii="仿宋_GB2312" w:eastAsia="仿宋_GB2312"/>
                <w:sz w:val="24"/>
              </w:rPr>
              <w:t>县住建局</w:t>
            </w:r>
          </w:p>
        </w:tc>
        <w:tc>
          <w:tcPr>
            <w:tcW w:w="2912" w:type="dxa"/>
            <w:vAlign w:val="center"/>
          </w:tcPr>
          <w:p>
            <w:pPr>
              <w:spacing w:line="240" w:lineRule="atLeast"/>
              <w:jc w:val="center"/>
              <w:rPr>
                <w:rFonts w:ascii="仿宋_GB2312" w:eastAsia="仿宋_GB2312"/>
                <w:sz w:val="24"/>
              </w:rPr>
            </w:pPr>
            <w:r>
              <w:rPr>
                <w:rFonts w:hint="eastAsia" w:ascii="仿宋_GB2312" w:eastAsia="仿宋_GB2312"/>
                <w:sz w:val="24"/>
              </w:rPr>
              <w:t>县公安局</w:t>
            </w:r>
          </w:p>
        </w:tc>
      </w:tr>
    </w:tbl>
    <w:p>
      <w:pPr>
        <w:rPr>
          <w:rFonts w:ascii="仿宋_GB2312" w:eastAsia="仿宋_GB2312"/>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459E5"/>
    <w:rsid w:val="68D4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2020-09-24T03:19:00Z</dcterms:created>
  <dc:creator>彼岸</dc:creator>
  <cp:lastModifiedBy>彼岸</cp:lastModifiedBy>
  <dcterms:modified xsi:type="dcterms:W3CDTF">2020-09-24T03:20:18Z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