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_GB2312" w:hAnsi="仿宋_GB2312" w:eastAsia="仿宋_GB2312" w:cs="仿宋_GB2312"/>
          <w:color w:val="auto"/>
          <w:sz w:val="36"/>
          <w:szCs w:val="36"/>
        </w:rPr>
      </w:pPr>
    </w:p>
    <w:p>
      <w:pPr>
        <w:rPr>
          <w:rFonts w:ascii="仿宋_GB2312" w:hAnsi="仿宋_GB2312" w:eastAsia="仿宋_GB2312" w:cs="仿宋_GB2312"/>
          <w:color w:val="auto"/>
          <w:sz w:val="36"/>
          <w:szCs w:val="36"/>
        </w:rPr>
      </w:pPr>
    </w:p>
    <w:p>
      <w:pPr>
        <w:rPr>
          <w:rFonts w:ascii="仿宋_GB2312" w:hAnsi="仿宋_GB2312" w:eastAsia="仿宋_GB2312" w:cs="仿宋_GB2312"/>
          <w:color w:val="auto"/>
          <w:sz w:val="36"/>
          <w:szCs w:val="36"/>
        </w:rPr>
      </w:pPr>
    </w:p>
    <w:p>
      <w:pPr>
        <w:rPr>
          <w:rFonts w:ascii="仿宋_GB2312" w:hAnsi="仿宋_GB2312" w:eastAsia="仿宋_GB2312" w:cs="仿宋_GB2312"/>
          <w:color w:val="auto"/>
          <w:sz w:val="36"/>
          <w:szCs w:val="36"/>
        </w:rPr>
      </w:pPr>
    </w:p>
    <w:p>
      <w:pPr>
        <w:rPr>
          <w:rFonts w:ascii="仿宋_GB2312" w:hAnsi="仿宋_GB2312" w:eastAsia="仿宋_GB2312" w:cs="仿宋_GB2312"/>
          <w:color w:val="auto"/>
          <w:sz w:val="36"/>
          <w:szCs w:val="36"/>
        </w:rPr>
      </w:pPr>
    </w:p>
    <w:p>
      <w:pPr>
        <w:adjustRightInd w:val="0"/>
        <w:snapToGrid w:val="0"/>
        <w:jc w:val="center"/>
        <w:outlineLvl w:val="0"/>
        <w:rPr>
          <w:rFonts w:ascii="方正小标宋_GBK" w:eastAsia="方正小标宋_GBK"/>
          <w:bCs/>
          <w:color w:val="auto"/>
          <w:sz w:val="72"/>
          <w:szCs w:val="72"/>
        </w:rPr>
      </w:pPr>
      <w:r>
        <w:rPr>
          <w:rFonts w:hint="eastAsia" w:ascii="方正小标宋_GBK" w:eastAsia="方正小标宋_GBK"/>
          <w:bCs/>
          <w:color w:val="auto"/>
          <w:sz w:val="72"/>
          <w:szCs w:val="72"/>
        </w:rPr>
        <w:t>建设项目环境影响报告表</w:t>
      </w:r>
    </w:p>
    <w:p>
      <w:pPr>
        <w:adjustRightInd w:val="0"/>
        <w:snapToGrid w:val="0"/>
        <w:spacing w:before="192" w:beforeLines="80"/>
        <w:jc w:val="center"/>
        <w:rPr>
          <w:rFonts w:ascii="楷体_GB2312" w:eastAsia="楷体_GB2312"/>
          <w:bCs/>
          <w:color w:val="auto"/>
          <w:sz w:val="48"/>
          <w:szCs w:val="48"/>
        </w:rPr>
      </w:pPr>
      <w:r>
        <w:rPr>
          <w:rFonts w:hint="eastAsia" w:ascii="楷体_GB2312" w:eastAsia="楷体_GB2312"/>
          <w:bCs/>
          <w:color w:val="auto"/>
          <w:sz w:val="48"/>
          <w:szCs w:val="48"/>
        </w:rPr>
        <w:t>（污染影响类）</w:t>
      </w:r>
    </w:p>
    <w:p>
      <w:pPr>
        <w:adjustRightInd w:val="0"/>
        <w:snapToGrid w:val="0"/>
        <w:spacing w:line="288" w:lineRule="auto"/>
        <w:jc w:val="center"/>
        <w:outlineLvl w:val="0"/>
        <w:rPr>
          <w:rFonts w:ascii="华文仿宋" w:hAnsi="华文仿宋" w:eastAsia="华文仿宋" w:cs="华文仿宋"/>
          <w:color w:val="auto"/>
          <w:kern w:val="44"/>
          <w:sz w:val="44"/>
          <w:szCs w:val="44"/>
        </w:rPr>
      </w:pPr>
    </w:p>
    <w:p>
      <w:pPr>
        <w:jc w:val="center"/>
        <w:rPr>
          <w:rFonts w:eastAsia="仿宋"/>
          <w:color w:val="auto"/>
          <w:sz w:val="52"/>
          <w:szCs w:val="52"/>
        </w:rPr>
      </w:pPr>
    </w:p>
    <w:p>
      <w:pPr>
        <w:ind w:firstLine="1040"/>
        <w:rPr>
          <w:rFonts w:eastAsia="仿宋"/>
          <w:color w:val="auto"/>
          <w:sz w:val="44"/>
          <w:szCs w:val="44"/>
        </w:rPr>
      </w:pPr>
    </w:p>
    <w:p>
      <w:pPr>
        <w:ind w:firstLine="1040"/>
        <w:rPr>
          <w:rFonts w:eastAsia="仿宋"/>
          <w:color w:val="auto"/>
          <w:sz w:val="44"/>
          <w:szCs w:val="44"/>
        </w:rPr>
      </w:pPr>
    </w:p>
    <w:p>
      <w:pPr>
        <w:ind w:firstLine="1040"/>
        <w:rPr>
          <w:rFonts w:eastAsia="仿宋"/>
          <w:color w:val="auto"/>
          <w:sz w:val="44"/>
          <w:szCs w:val="44"/>
        </w:rPr>
      </w:pPr>
    </w:p>
    <w:p>
      <w:pPr>
        <w:ind w:firstLine="1040"/>
        <w:rPr>
          <w:rFonts w:eastAsia="仿宋"/>
          <w:color w:val="auto"/>
          <w:sz w:val="44"/>
          <w:szCs w:val="44"/>
        </w:rPr>
      </w:pPr>
    </w:p>
    <w:p>
      <w:pPr>
        <w:adjustRightInd w:val="0"/>
        <w:snapToGrid w:val="0"/>
        <w:spacing w:line="288" w:lineRule="auto"/>
        <w:ind w:firstLine="1080" w:firstLineChars="300"/>
        <w:rPr>
          <w:rFonts w:hint="eastAsia" w:ascii="仿宋_GB2312" w:eastAsia="仿宋_GB2312"/>
          <w:color w:val="auto"/>
          <w:sz w:val="36"/>
          <w:szCs w:val="36"/>
          <w:u w:val="single"/>
        </w:rPr>
      </w:pPr>
      <w:r>
        <w:rPr>
          <w:rFonts w:hint="eastAsia" w:ascii="仿宋_GB2312" w:eastAsia="仿宋_GB2312"/>
          <w:color w:val="auto"/>
          <w:sz w:val="36"/>
          <w:szCs w:val="36"/>
        </w:rPr>
        <w:t xml:space="preserve">项目名称： </w:t>
      </w:r>
      <w:r>
        <w:rPr>
          <w:rFonts w:hint="eastAsia" w:ascii="仿宋_GB2312" w:eastAsia="仿宋_GB2312"/>
          <w:color w:val="auto"/>
          <w:sz w:val="36"/>
          <w:szCs w:val="36"/>
          <w:u w:val="single"/>
        </w:rPr>
        <w:t xml:space="preserve">  2023年长庆实业集团有限公司</w:t>
      </w:r>
    </w:p>
    <w:p>
      <w:pPr>
        <w:adjustRightInd w:val="0"/>
        <w:snapToGrid w:val="0"/>
        <w:spacing w:line="288" w:lineRule="auto"/>
        <w:ind w:firstLine="1440" w:firstLineChars="400"/>
        <w:rPr>
          <w:rFonts w:ascii="仿宋_GB2312" w:eastAsia="仿宋_GB2312"/>
          <w:color w:val="auto"/>
          <w:sz w:val="36"/>
          <w:szCs w:val="36"/>
          <w:u w:val="single"/>
        </w:rPr>
      </w:pPr>
      <w:r>
        <w:rPr>
          <w:rFonts w:hint="eastAsia" w:ascii="仿宋_GB2312" w:eastAsia="仿宋_GB2312"/>
          <w:color w:val="auto"/>
          <w:sz w:val="36"/>
          <w:szCs w:val="36"/>
          <w:u w:val="single"/>
        </w:rPr>
        <w:t xml:space="preserve">小河采油作业区油泥暂存点建设项目      </w:t>
      </w:r>
    </w:p>
    <w:p>
      <w:pPr>
        <w:adjustRightInd w:val="0"/>
        <w:snapToGrid w:val="0"/>
        <w:spacing w:line="288" w:lineRule="auto"/>
        <w:ind w:firstLine="1040"/>
        <w:jc w:val="left"/>
        <w:rPr>
          <w:rFonts w:ascii="仿宋_GB2312" w:eastAsia="仿宋_GB2312"/>
          <w:color w:val="auto"/>
          <w:sz w:val="36"/>
          <w:szCs w:val="36"/>
          <w:u w:val="single"/>
        </w:rPr>
      </w:pPr>
      <w:r>
        <w:rPr>
          <w:rFonts w:hint="eastAsia" w:ascii="仿宋_GB2312" w:eastAsia="仿宋_GB2312"/>
          <w:color w:val="auto"/>
          <w:sz w:val="36"/>
          <w:szCs w:val="36"/>
        </w:rPr>
        <w:t>建设单位（盖章）：</w:t>
      </w:r>
      <w:r>
        <w:rPr>
          <w:rFonts w:hint="eastAsia" w:ascii="仿宋_GB2312" w:eastAsia="仿宋_GB2312"/>
          <w:color w:val="auto"/>
          <w:sz w:val="36"/>
          <w:szCs w:val="36"/>
          <w:u w:val="single"/>
        </w:rPr>
        <w:t xml:space="preserve">   长庆实业集团有限公司   </w:t>
      </w:r>
    </w:p>
    <w:p>
      <w:pPr>
        <w:adjustRightInd w:val="0"/>
        <w:snapToGrid w:val="0"/>
        <w:spacing w:line="288" w:lineRule="auto"/>
        <w:ind w:firstLine="3934" w:firstLineChars="1093"/>
        <w:jc w:val="left"/>
        <w:rPr>
          <w:rFonts w:ascii="仿宋_GB2312" w:eastAsia="仿宋_GB2312"/>
          <w:color w:val="auto"/>
          <w:sz w:val="36"/>
          <w:szCs w:val="36"/>
          <w:u w:val="single"/>
        </w:rPr>
      </w:pPr>
      <w:r>
        <w:rPr>
          <w:rFonts w:hint="eastAsia" w:ascii="仿宋_GB2312" w:eastAsia="仿宋_GB2312"/>
          <w:color w:val="auto"/>
          <w:sz w:val="36"/>
          <w:szCs w:val="36"/>
          <w:u w:val="single"/>
        </w:rPr>
        <w:t xml:space="preserve">    小河采油作业区    </w:t>
      </w:r>
    </w:p>
    <w:p>
      <w:pPr>
        <w:adjustRightInd w:val="0"/>
        <w:snapToGrid w:val="0"/>
        <w:spacing w:line="288" w:lineRule="auto"/>
        <w:ind w:firstLine="1040"/>
        <w:rPr>
          <w:rFonts w:ascii="仿宋_GB2312" w:eastAsia="仿宋_GB2312"/>
          <w:color w:val="auto"/>
          <w:sz w:val="36"/>
          <w:szCs w:val="36"/>
          <w:u w:val="single"/>
        </w:rPr>
      </w:pPr>
      <w:r>
        <w:rPr>
          <w:rFonts w:hint="eastAsia" w:ascii="仿宋_GB2312" w:eastAsia="仿宋_GB2312"/>
          <w:color w:val="auto"/>
          <w:sz w:val="36"/>
          <w:szCs w:val="36"/>
        </w:rPr>
        <w:t>编制日期：</w:t>
      </w:r>
      <w:r>
        <w:rPr>
          <w:rFonts w:hint="eastAsia" w:ascii="仿宋_GB2312" w:eastAsia="仿宋_GB2312"/>
          <w:color w:val="auto"/>
          <w:sz w:val="36"/>
          <w:szCs w:val="36"/>
          <w:u w:val="single"/>
        </w:rPr>
        <w:t xml:space="preserve"> </w:t>
      </w:r>
      <w:r>
        <w:rPr>
          <w:rFonts w:ascii="仿宋_GB2312" w:eastAsia="仿宋_GB2312"/>
          <w:color w:val="auto"/>
          <w:sz w:val="36"/>
          <w:szCs w:val="36"/>
          <w:u w:val="single"/>
        </w:rPr>
        <w:t xml:space="preserve">      </w:t>
      </w:r>
      <w:r>
        <w:rPr>
          <w:rFonts w:hint="eastAsia" w:ascii="仿宋_GB2312" w:eastAsia="仿宋_GB2312"/>
          <w:color w:val="auto"/>
          <w:sz w:val="36"/>
          <w:szCs w:val="36"/>
          <w:u w:val="single"/>
        </w:rPr>
        <w:t>2023年1</w:t>
      </w:r>
      <w:r>
        <w:rPr>
          <w:rFonts w:hint="eastAsia" w:ascii="仿宋_GB2312" w:eastAsia="仿宋_GB2312"/>
          <w:color w:val="auto"/>
          <w:sz w:val="36"/>
          <w:szCs w:val="36"/>
          <w:u w:val="single"/>
          <w:lang w:val="en-US" w:eastAsia="zh-CN"/>
        </w:rPr>
        <w:t>1</w:t>
      </w:r>
      <w:r>
        <w:rPr>
          <w:rFonts w:hint="eastAsia" w:ascii="仿宋_GB2312" w:eastAsia="仿宋_GB2312"/>
          <w:color w:val="auto"/>
          <w:sz w:val="36"/>
          <w:szCs w:val="36"/>
          <w:u w:val="single"/>
        </w:rPr>
        <w:t>月</w:t>
      </w:r>
      <w:r>
        <w:rPr>
          <w:rFonts w:ascii="仿宋_GB2312" w:eastAsia="仿宋_GB2312"/>
          <w:color w:val="auto"/>
          <w:sz w:val="36"/>
          <w:szCs w:val="36"/>
          <w:u w:val="single"/>
        </w:rPr>
        <w:t xml:space="preserve">   </w:t>
      </w:r>
      <w:r>
        <w:rPr>
          <w:rFonts w:hint="eastAsia" w:ascii="仿宋_GB2312" w:eastAsia="仿宋_GB2312"/>
          <w:color w:val="auto"/>
          <w:sz w:val="36"/>
          <w:szCs w:val="36"/>
          <w:u w:val="single"/>
        </w:rPr>
        <w:t xml:space="preserve"> </w:t>
      </w:r>
      <w:r>
        <w:rPr>
          <w:rFonts w:ascii="仿宋_GB2312" w:eastAsia="仿宋_GB2312"/>
          <w:color w:val="auto"/>
          <w:sz w:val="36"/>
          <w:szCs w:val="36"/>
          <w:u w:val="single"/>
        </w:rPr>
        <w:t xml:space="preserve">    </w:t>
      </w:r>
      <w:r>
        <w:rPr>
          <w:rFonts w:hint="eastAsia" w:ascii="仿宋_GB2312" w:eastAsia="仿宋_GB2312"/>
          <w:color w:val="auto"/>
          <w:sz w:val="36"/>
          <w:szCs w:val="36"/>
          <w:u w:val="single"/>
        </w:rPr>
        <w:t xml:space="preserve"> </w:t>
      </w:r>
    </w:p>
    <w:p>
      <w:pPr>
        <w:adjustRightInd w:val="0"/>
        <w:snapToGrid w:val="0"/>
        <w:spacing w:line="288" w:lineRule="auto"/>
        <w:ind w:firstLine="1040"/>
        <w:rPr>
          <w:rFonts w:ascii="仿宋_GB2312" w:eastAsia="仿宋_GB2312"/>
          <w:color w:val="auto"/>
          <w:sz w:val="36"/>
          <w:szCs w:val="36"/>
          <w:u w:val="single"/>
        </w:rPr>
      </w:pPr>
      <w:bookmarkStart w:id="0" w:name="_Hlk57884087"/>
    </w:p>
    <w:p>
      <w:pPr>
        <w:adjustRightInd w:val="0"/>
        <w:snapToGrid w:val="0"/>
        <w:spacing w:line="288" w:lineRule="auto"/>
        <w:ind w:firstLine="1040"/>
        <w:rPr>
          <w:rFonts w:ascii="仿宋_GB2312" w:eastAsia="仿宋_GB2312"/>
          <w:color w:val="auto"/>
          <w:sz w:val="36"/>
          <w:szCs w:val="36"/>
        </w:rPr>
      </w:pPr>
    </w:p>
    <w:p>
      <w:pPr>
        <w:adjustRightInd w:val="0"/>
        <w:snapToGrid w:val="0"/>
        <w:spacing w:line="288" w:lineRule="auto"/>
        <w:ind w:firstLine="1040"/>
        <w:rPr>
          <w:rFonts w:ascii="仿宋_GB2312" w:eastAsia="仿宋_GB2312"/>
          <w:color w:val="auto"/>
          <w:sz w:val="36"/>
          <w:szCs w:val="36"/>
        </w:rPr>
      </w:pPr>
    </w:p>
    <w:p>
      <w:pPr>
        <w:adjustRightInd w:val="0"/>
        <w:snapToGrid w:val="0"/>
        <w:spacing w:line="288" w:lineRule="auto"/>
        <w:ind w:firstLine="1040"/>
        <w:rPr>
          <w:rFonts w:ascii="仿宋_GB2312" w:eastAsia="仿宋_GB2312"/>
          <w:color w:val="auto"/>
          <w:sz w:val="36"/>
          <w:szCs w:val="36"/>
        </w:rPr>
      </w:pPr>
    </w:p>
    <w:bookmarkEnd w:id="0"/>
    <w:p>
      <w:pPr>
        <w:adjustRightInd w:val="0"/>
        <w:snapToGrid w:val="0"/>
        <w:spacing w:line="288" w:lineRule="auto"/>
        <w:jc w:val="center"/>
        <w:rPr>
          <w:rFonts w:ascii="楷体_GB2312" w:eastAsia="楷体_GB2312"/>
          <w:color w:val="auto"/>
          <w:sz w:val="36"/>
          <w:szCs w:val="36"/>
        </w:rPr>
      </w:pPr>
      <w:r>
        <w:rPr>
          <w:rFonts w:hint="eastAsia" w:ascii="楷体_GB2312" w:eastAsia="楷体_GB2312"/>
          <w:color w:val="auto"/>
          <w:sz w:val="36"/>
          <w:szCs w:val="36"/>
        </w:rPr>
        <w:t>中华人民共和国生态环境部制</w:t>
      </w:r>
    </w:p>
    <w:p>
      <w:pPr>
        <w:adjustRightInd w:val="0"/>
        <w:snapToGrid w:val="0"/>
        <w:spacing w:line="288" w:lineRule="auto"/>
        <w:ind w:firstLine="1040"/>
        <w:rPr>
          <w:rFonts w:ascii="仿宋_GB2312" w:eastAsia="仿宋_GB2312"/>
          <w:color w:val="auto"/>
          <w:sz w:val="36"/>
          <w:szCs w:val="36"/>
        </w:rPr>
        <w:sectPr>
          <w:footerReference r:id="rId3" w:type="default"/>
          <w:footerReference r:id="rId4" w:type="even"/>
          <w:pgSz w:w="11906" w:h="16838"/>
          <w:pgMar w:top="1701" w:right="1531" w:bottom="1701" w:left="1531" w:header="851" w:footer="1077" w:gutter="0"/>
          <w:pgNumType w:start="3"/>
          <w:cols w:space="720" w:num="1"/>
          <w:docGrid w:linePitch="312" w:charSpace="0"/>
        </w:sectPr>
      </w:pPr>
    </w:p>
    <w:p>
      <w:pPr>
        <w:adjustRightInd w:val="0"/>
        <w:snapToGrid w:val="0"/>
        <w:spacing w:line="288" w:lineRule="auto"/>
        <w:ind w:firstLine="1040"/>
        <w:rPr>
          <w:rFonts w:ascii="仿宋_GB2312" w:eastAsia="仿宋_GB2312"/>
          <w:color w:val="auto"/>
          <w:sz w:val="36"/>
          <w:szCs w:val="36"/>
        </w:rPr>
        <w:sectPr>
          <w:pgSz w:w="11906" w:h="16838"/>
          <w:pgMar w:top="1701" w:right="1531" w:bottom="1701" w:left="1531" w:header="851" w:footer="1077" w:gutter="0"/>
          <w:pgNumType w:start="3"/>
          <w:cols w:space="720" w:num="1"/>
          <w:docGrid w:linePitch="312" w:charSpace="0"/>
        </w:sectPr>
      </w:pPr>
      <w:bookmarkStart w:id="14" w:name="_GoBack"/>
      <w:bookmarkEnd w:id="14"/>
    </w:p>
    <w:p>
      <w:pPr>
        <w:pStyle w:val="16"/>
        <w:jc w:val="center"/>
        <w:outlineLvl w:val="0"/>
        <w:rPr>
          <w:rFonts w:ascii="黑体" w:hAnsi="黑体" w:eastAsia="黑体"/>
          <w:snapToGrid w:val="0"/>
          <w:color w:val="auto"/>
          <w:sz w:val="30"/>
          <w:szCs w:val="30"/>
        </w:rPr>
      </w:pPr>
      <w:r>
        <w:rPr>
          <w:rFonts w:hint="eastAsia" w:ascii="黑体" w:hAnsi="黑体" w:eastAsia="黑体"/>
          <w:snapToGrid w:val="0"/>
          <w:color w:val="auto"/>
          <w:sz w:val="30"/>
          <w:szCs w:val="30"/>
        </w:rPr>
        <w:t>一、建设项目基本情况</w:t>
      </w:r>
    </w:p>
    <w:tbl>
      <w:tblPr>
        <w:tblStyle w:val="19"/>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2382"/>
        <w:gridCol w:w="1637"/>
        <w:gridCol w:w="2212"/>
        <w:gridCol w:w="263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238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建设项目名称</w:t>
            </w:r>
          </w:p>
        </w:tc>
        <w:tc>
          <w:tcPr>
            <w:tcW w:w="6488" w:type="dxa"/>
            <w:gridSpan w:val="3"/>
            <w:vAlign w:val="center"/>
          </w:tcPr>
          <w:p>
            <w:pPr>
              <w:adjustRightInd w:val="0"/>
              <w:snapToGrid w:val="0"/>
              <w:jc w:val="center"/>
              <w:rPr>
                <w:rFonts w:hint="eastAsia" w:ascii="宋体" w:hAnsi="宋体" w:cs="宋体"/>
                <w:color w:val="auto"/>
                <w:sz w:val="24"/>
              </w:rPr>
            </w:pPr>
            <w:r>
              <w:rPr>
                <w:rFonts w:hint="eastAsia" w:ascii="宋体" w:hAnsi="宋体" w:cs="宋体"/>
                <w:color w:val="auto"/>
                <w:sz w:val="24"/>
              </w:rPr>
              <w:t>2023年长庆实业集团有限公司小河采油作业区</w:t>
            </w:r>
          </w:p>
          <w:p>
            <w:pPr>
              <w:adjustRightInd w:val="0"/>
              <w:snapToGrid w:val="0"/>
              <w:jc w:val="center"/>
              <w:rPr>
                <w:rFonts w:ascii="宋体" w:hAnsi="宋体" w:cs="宋体"/>
                <w:color w:val="auto"/>
                <w:sz w:val="24"/>
              </w:rPr>
            </w:pPr>
            <w:r>
              <w:rPr>
                <w:rFonts w:hint="eastAsia" w:ascii="宋体" w:hAnsi="宋体" w:cs="宋体"/>
                <w:color w:val="auto"/>
                <w:sz w:val="24"/>
              </w:rPr>
              <w:t>油泥暂存点建设项目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238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项目代码</w:t>
            </w:r>
          </w:p>
        </w:tc>
        <w:tc>
          <w:tcPr>
            <w:tcW w:w="6488" w:type="dxa"/>
            <w:gridSpan w:val="3"/>
            <w:vAlign w:val="center"/>
          </w:tcPr>
          <w:p>
            <w:pPr>
              <w:adjustRightInd w:val="0"/>
              <w:snapToGrid w:val="0"/>
              <w:jc w:val="center"/>
              <w:rPr>
                <w:rFonts w:ascii="宋体" w:hAnsi="宋体" w:cs="宋体"/>
                <w:color w:val="auto"/>
                <w:sz w:val="24"/>
              </w:rPr>
            </w:pPr>
            <w:r>
              <w:rPr>
                <w:rFonts w:hint="eastAsia" w:ascii="宋体" w:hAnsi="宋体" w:cs="宋体"/>
                <w:color w:val="auto"/>
                <w:sz w:val="24"/>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238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建设单位联系人</w:t>
            </w:r>
          </w:p>
        </w:tc>
        <w:tc>
          <w:tcPr>
            <w:tcW w:w="1637"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王博</w:t>
            </w:r>
          </w:p>
        </w:tc>
        <w:tc>
          <w:tcPr>
            <w:tcW w:w="2212"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联系方式</w:t>
            </w:r>
          </w:p>
        </w:tc>
        <w:tc>
          <w:tcPr>
            <w:tcW w:w="2639"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15667681166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238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建设地点</w:t>
            </w:r>
          </w:p>
        </w:tc>
        <w:tc>
          <w:tcPr>
            <w:tcW w:w="6488" w:type="dxa"/>
            <w:gridSpan w:val="3"/>
            <w:vAlign w:val="center"/>
          </w:tcPr>
          <w:p>
            <w:pPr>
              <w:adjustRightInd w:val="0"/>
              <w:snapToGrid w:val="0"/>
              <w:jc w:val="center"/>
              <w:rPr>
                <w:color w:val="auto"/>
                <w:sz w:val="24"/>
              </w:rPr>
            </w:pPr>
            <w:r>
              <w:rPr>
                <w:rFonts w:hint="eastAsia" w:ascii="宋体" w:hAnsi="宋体" w:cs="宋体"/>
                <w:color w:val="auto"/>
                <w:sz w:val="24"/>
                <w:u w:val="single"/>
              </w:rPr>
              <w:t>陕西</w:t>
            </w:r>
            <w:r>
              <w:rPr>
                <w:rFonts w:hint="eastAsia" w:ascii="宋体" w:hAnsi="宋体" w:cs="宋体"/>
                <w:color w:val="auto"/>
                <w:sz w:val="24"/>
              </w:rPr>
              <w:t>省（自治区）</w:t>
            </w:r>
            <w:r>
              <w:rPr>
                <w:rFonts w:hint="eastAsia" w:ascii="宋体" w:hAnsi="宋体" w:cs="宋体"/>
                <w:color w:val="auto"/>
                <w:sz w:val="24"/>
                <w:u w:val="single"/>
              </w:rPr>
              <w:t>榆林</w:t>
            </w:r>
            <w:r>
              <w:rPr>
                <w:rFonts w:hint="eastAsia" w:ascii="宋体" w:hAnsi="宋体" w:cs="宋体"/>
                <w:color w:val="auto"/>
                <w:sz w:val="24"/>
              </w:rPr>
              <w:t>市</w:t>
            </w:r>
            <w:r>
              <w:rPr>
                <w:rFonts w:hint="eastAsia" w:ascii="宋体" w:hAnsi="宋体" w:cs="宋体"/>
                <w:color w:val="auto"/>
                <w:sz w:val="24"/>
                <w:u w:val="single"/>
              </w:rPr>
              <w:t>靖边</w:t>
            </w:r>
            <w:r>
              <w:rPr>
                <w:rFonts w:hint="eastAsia" w:ascii="宋体" w:hAnsi="宋体" w:cs="宋体"/>
                <w:color w:val="auto"/>
                <w:sz w:val="24"/>
              </w:rPr>
              <w:t>县（区）</w:t>
            </w:r>
            <w:r>
              <w:rPr>
                <w:rFonts w:hint="eastAsia" w:ascii="宋体" w:hAnsi="宋体" w:cs="宋体"/>
                <w:color w:val="auto"/>
                <w:sz w:val="24"/>
                <w:u w:val="single"/>
              </w:rPr>
              <w:t>小河</w:t>
            </w:r>
            <w:r>
              <w:rPr>
                <w:rFonts w:hint="eastAsia" w:ascii="宋体" w:hAnsi="宋体" w:cs="宋体"/>
                <w:color w:val="auto"/>
                <w:sz w:val="24"/>
              </w:rPr>
              <w:t>乡（街道）</w:t>
            </w:r>
            <w:r>
              <w:rPr>
                <w:rFonts w:hint="eastAsia" w:ascii="宋体" w:hAnsi="宋体" w:cs="宋体"/>
                <w:color w:val="auto"/>
                <w:sz w:val="24"/>
                <w:u w:val="single"/>
              </w:rPr>
              <w:t>巨浪村西北侧</w:t>
            </w:r>
            <w:r>
              <w:rPr>
                <w:rFonts w:hint="eastAsia" w:cs="宋体"/>
                <w:color w:val="auto"/>
                <w:sz w:val="24"/>
              </w:rPr>
              <w:t>（长庆实业集团有限公司小河井区杨18井场内空地）</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238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地理坐标</w:t>
            </w:r>
          </w:p>
        </w:tc>
        <w:tc>
          <w:tcPr>
            <w:tcW w:w="6488" w:type="dxa"/>
            <w:gridSpan w:val="3"/>
            <w:vAlign w:val="center"/>
          </w:tcPr>
          <w:p>
            <w:pPr>
              <w:jc w:val="center"/>
              <w:rPr>
                <w:rFonts w:ascii="宋体" w:hAnsi="宋体" w:cs="宋体"/>
                <w:color w:val="auto"/>
                <w:sz w:val="24"/>
              </w:rPr>
            </w:pPr>
            <w:r>
              <w:rPr>
                <w:rFonts w:hint="eastAsia" w:ascii="宋体" w:hAnsi="宋体" w:cs="宋体"/>
                <w:color w:val="auto"/>
                <w:sz w:val="24"/>
              </w:rPr>
              <w:t>（</w:t>
            </w:r>
            <w:r>
              <w:rPr>
                <w:rFonts w:ascii="宋体" w:hAnsi="宋体" w:cs="宋体"/>
                <w:color w:val="auto"/>
                <w:sz w:val="24"/>
                <w:u w:val="single"/>
              </w:rPr>
              <w:t xml:space="preserve"> </w:t>
            </w:r>
            <w:r>
              <w:rPr>
                <w:rFonts w:hint="eastAsia" w:ascii="宋体" w:hAnsi="宋体" w:cs="宋体"/>
                <w:color w:val="auto"/>
                <w:sz w:val="24"/>
                <w:u w:val="single"/>
              </w:rPr>
              <w:t>109</w:t>
            </w:r>
            <w:r>
              <w:rPr>
                <w:rFonts w:ascii="宋体" w:hAnsi="宋体" w:cs="宋体"/>
                <w:color w:val="auto"/>
                <w:sz w:val="24"/>
                <w:u w:val="single"/>
              </w:rPr>
              <w:t xml:space="preserve"> </w:t>
            </w:r>
            <w:r>
              <w:rPr>
                <w:rFonts w:hint="eastAsia" w:ascii="宋体" w:hAnsi="宋体" w:cs="宋体"/>
                <w:color w:val="auto"/>
                <w:sz w:val="24"/>
              </w:rPr>
              <w:t>度</w:t>
            </w:r>
            <w:r>
              <w:rPr>
                <w:rFonts w:ascii="宋体" w:hAnsi="宋体" w:cs="宋体"/>
                <w:color w:val="auto"/>
                <w:sz w:val="24"/>
                <w:u w:val="single"/>
              </w:rPr>
              <w:t xml:space="preserve"> </w:t>
            </w:r>
            <w:r>
              <w:rPr>
                <w:rFonts w:hint="eastAsia" w:ascii="宋体" w:hAnsi="宋体" w:cs="宋体"/>
                <w:color w:val="auto"/>
                <w:sz w:val="24"/>
                <w:u w:val="single"/>
              </w:rPr>
              <w:t>1</w:t>
            </w:r>
            <w:r>
              <w:rPr>
                <w:rFonts w:ascii="宋体" w:hAnsi="宋体" w:cs="宋体"/>
                <w:color w:val="auto"/>
                <w:sz w:val="24"/>
                <w:u w:val="single"/>
              </w:rPr>
              <w:t xml:space="preserve"> </w:t>
            </w:r>
            <w:r>
              <w:rPr>
                <w:rFonts w:hint="eastAsia" w:ascii="宋体" w:hAnsi="宋体" w:cs="宋体"/>
                <w:color w:val="auto"/>
                <w:sz w:val="24"/>
              </w:rPr>
              <w:t>分</w:t>
            </w:r>
            <w:r>
              <w:rPr>
                <w:rFonts w:ascii="宋体" w:hAnsi="宋体" w:cs="宋体"/>
                <w:color w:val="auto"/>
                <w:sz w:val="24"/>
                <w:u w:val="single"/>
              </w:rPr>
              <w:t xml:space="preserve"> </w:t>
            </w:r>
            <w:r>
              <w:rPr>
                <w:rFonts w:hint="eastAsia" w:ascii="宋体" w:hAnsi="宋体" w:cs="宋体"/>
                <w:color w:val="auto"/>
                <w:sz w:val="24"/>
                <w:u w:val="single"/>
              </w:rPr>
              <w:t>37.864</w:t>
            </w:r>
            <w:r>
              <w:rPr>
                <w:rFonts w:ascii="宋体" w:hAnsi="宋体" w:cs="宋体"/>
                <w:color w:val="auto"/>
                <w:sz w:val="24"/>
                <w:u w:val="single"/>
              </w:rPr>
              <w:t xml:space="preserve"> </w:t>
            </w:r>
            <w:r>
              <w:rPr>
                <w:rFonts w:hint="eastAsia" w:ascii="宋体" w:hAnsi="宋体" w:cs="宋体"/>
                <w:color w:val="auto"/>
                <w:sz w:val="24"/>
              </w:rPr>
              <w:t>秒，</w:t>
            </w:r>
            <w:r>
              <w:rPr>
                <w:rFonts w:ascii="宋体" w:hAnsi="宋体" w:cs="宋体"/>
                <w:color w:val="auto"/>
                <w:sz w:val="24"/>
                <w:u w:val="single"/>
              </w:rPr>
              <w:t xml:space="preserve"> </w:t>
            </w:r>
            <w:r>
              <w:rPr>
                <w:rFonts w:hint="eastAsia" w:ascii="宋体" w:hAnsi="宋体" w:cs="宋体"/>
                <w:color w:val="auto"/>
                <w:sz w:val="24"/>
                <w:u w:val="single"/>
              </w:rPr>
              <w:t>37</w:t>
            </w:r>
            <w:r>
              <w:rPr>
                <w:rFonts w:ascii="宋体" w:hAnsi="宋体" w:cs="宋体"/>
                <w:color w:val="auto"/>
                <w:sz w:val="24"/>
                <w:u w:val="single"/>
              </w:rPr>
              <w:t xml:space="preserve"> </w:t>
            </w:r>
            <w:r>
              <w:rPr>
                <w:rFonts w:hint="eastAsia" w:ascii="宋体" w:hAnsi="宋体" w:cs="宋体"/>
                <w:color w:val="auto"/>
                <w:sz w:val="24"/>
              </w:rPr>
              <w:t>度</w:t>
            </w:r>
            <w:r>
              <w:rPr>
                <w:rFonts w:ascii="宋体" w:hAnsi="宋体" w:cs="宋体"/>
                <w:color w:val="auto"/>
                <w:sz w:val="24"/>
                <w:u w:val="single"/>
              </w:rPr>
              <w:t xml:space="preserve"> </w:t>
            </w:r>
            <w:r>
              <w:rPr>
                <w:rFonts w:hint="eastAsia" w:ascii="宋体" w:hAnsi="宋体" w:cs="宋体"/>
                <w:color w:val="auto"/>
                <w:sz w:val="24"/>
                <w:u w:val="single"/>
              </w:rPr>
              <w:t>23</w:t>
            </w:r>
            <w:r>
              <w:rPr>
                <w:rFonts w:ascii="宋体" w:hAnsi="宋体" w:cs="宋体"/>
                <w:color w:val="auto"/>
                <w:sz w:val="24"/>
                <w:u w:val="single"/>
              </w:rPr>
              <w:t xml:space="preserve"> </w:t>
            </w:r>
            <w:r>
              <w:rPr>
                <w:rFonts w:hint="eastAsia" w:ascii="宋体" w:hAnsi="宋体" w:cs="宋体"/>
                <w:color w:val="auto"/>
                <w:sz w:val="24"/>
              </w:rPr>
              <w:t>分</w:t>
            </w:r>
            <w:r>
              <w:rPr>
                <w:rFonts w:ascii="宋体" w:hAnsi="宋体" w:cs="宋体"/>
                <w:color w:val="auto"/>
                <w:sz w:val="24"/>
                <w:u w:val="single"/>
              </w:rPr>
              <w:t xml:space="preserve"> </w:t>
            </w:r>
            <w:r>
              <w:rPr>
                <w:rFonts w:hint="eastAsia" w:ascii="宋体" w:hAnsi="宋体" w:cs="宋体"/>
                <w:color w:val="auto"/>
                <w:sz w:val="24"/>
                <w:u w:val="single"/>
              </w:rPr>
              <w:t>4.064</w:t>
            </w:r>
            <w:r>
              <w:rPr>
                <w:rFonts w:ascii="宋体" w:hAnsi="宋体" w:cs="宋体"/>
                <w:color w:val="auto"/>
                <w:sz w:val="24"/>
                <w:u w:val="single"/>
              </w:rPr>
              <w:t xml:space="preserve"> </w:t>
            </w:r>
            <w:r>
              <w:rPr>
                <w:rFonts w:hint="eastAsia" w:ascii="宋体" w:hAnsi="宋体" w:cs="宋体"/>
                <w:color w:val="auto"/>
                <w:sz w:val="24"/>
              </w:rPr>
              <w:t>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1" w:hRule="atLeast"/>
          <w:jc w:val="center"/>
        </w:trPr>
        <w:tc>
          <w:tcPr>
            <w:tcW w:w="238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国民经济</w:t>
            </w:r>
          </w:p>
          <w:p>
            <w:pPr>
              <w:adjustRightInd w:val="0"/>
              <w:snapToGrid w:val="0"/>
              <w:jc w:val="center"/>
              <w:rPr>
                <w:rFonts w:ascii="宋体" w:hAnsi="宋体" w:cs="宋体"/>
                <w:color w:val="auto"/>
                <w:sz w:val="24"/>
              </w:rPr>
            </w:pPr>
            <w:r>
              <w:rPr>
                <w:rFonts w:hint="eastAsia" w:ascii="宋体" w:hAnsi="宋体" w:cs="宋体"/>
                <w:color w:val="auto"/>
                <w:sz w:val="24"/>
              </w:rPr>
              <w:t>行业类别</w:t>
            </w:r>
          </w:p>
        </w:tc>
        <w:tc>
          <w:tcPr>
            <w:tcW w:w="1637"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N7724危险废物治理</w:t>
            </w:r>
          </w:p>
        </w:tc>
        <w:tc>
          <w:tcPr>
            <w:tcW w:w="2212" w:type="dxa"/>
            <w:vAlign w:val="center"/>
          </w:tcPr>
          <w:p>
            <w:pPr>
              <w:adjustRightInd w:val="0"/>
              <w:snapToGrid w:val="0"/>
              <w:jc w:val="center"/>
              <w:rPr>
                <w:rFonts w:ascii="宋体" w:hAnsi="宋体" w:cs="宋体"/>
                <w:color w:val="auto"/>
                <w:sz w:val="24"/>
              </w:rPr>
            </w:pPr>
            <w:bookmarkStart w:id="1" w:name="_Hlk49843745"/>
            <w:r>
              <w:rPr>
                <w:rFonts w:hint="eastAsia" w:ascii="宋体" w:hAnsi="宋体" w:cs="宋体"/>
                <w:color w:val="auto"/>
                <w:sz w:val="24"/>
              </w:rPr>
              <w:t>建设项目</w:t>
            </w:r>
          </w:p>
          <w:p>
            <w:pPr>
              <w:adjustRightInd w:val="0"/>
              <w:snapToGrid w:val="0"/>
              <w:jc w:val="center"/>
              <w:rPr>
                <w:rFonts w:ascii="宋体" w:hAnsi="宋体" w:cs="宋体"/>
                <w:color w:val="auto"/>
                <w:sz w:val="24"/>
              </w:rPr>
            </w:pPr>
            <w:r>
              <w:rPr>
                <w:rFonts w:hint="eastAsia" w:ascii="宋体" w:hAnsi="宋体" w:cs="宋体"/>
                <w:color w:val="auto"/>
                <w:sz w:val="24"/>
              </w:rPr>
              <w:t>行业类别</w:t>
            </w:r>
            <w:bookmarkEnd w:id="1"/>
          </w:p>
        </w:tc>
        <w:tc>
          <w:tcPr>
            <w:tcW w:w="2639" w:type="dxa"/>
            <w:vAlign w:val="center"/>
          </w:tcPr>
          <w:p>
            <w:pPr>
              <w:adjustRightInd w:val="0"/>
              <w:snapToGrid w:val="0"/>
              <w:rPr>
                <w:rFonts w:ascii="宋体" w:hAnsi="宋体" w:cs="宋体"/>
                <w:color w:val="auto"/>
                <w:sz w:val="24"/>
              </w:rPr>
            </w:pPr>
            <w:r>
              <w:rPr>
                <w:rFonts w:hint="eastAsia" w:ascii="宋体" w:hAnsi="宋体" w:cs="宋体"/>
                <w:color w:val="auto"/>
                <w:sz w:val="24"/>
              </w:rPr>
              <w:t>四十七、生态保护和环境治理业，101.危险废物(不含医疗废物)利用及处置中 其他</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219" w:hRule="atLeast"/>
          <w:jc w:val="center"/>
        </w:trPr>
        <w:tc>
          <w:tcPr>
            <w:tcW w:w="238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建设性质</w:t>
            </w:r>
          </w:p>
        </w:tc>
        <w:tc>
          <w:tcPr>
            <w:tcW w:w="1637" w:type="dxa"/>
            <w:vAlign w:val="center"/>
          </w:tcPr>
          <w:p>
            <w:pPr>
              <w:jc w:val="left"/>
              <w:rPr>
                <w:rFonts w:ascii="宋体" w:hAnsi="宋体" w:cs="宋体"/>
                <w:color w:val="auto"/>
                <w:sz w:val="24"/>
              </w:rPr>
            </w:pPr>
            <w:r>
              <w:rPr>
                <w:rFonts w:hint="eastAsia" w:ascii="宋体" w:hAnsi="宋体" w:cs="宋体"/>
                <w:color w:val="auto"/>
                <w:sz w:val="24"/>
              </w:rPr>
              <w:t>☑新建（迁建）</w:t>
            </w:r>
          </w:p>
          <w:p>
            <w:pPr>
              <w:jc w:val="left"/>
              <w:rPr>
                <w:rFonts w:ascii="宋体" w:hAnsi="宋体" w:cs="宋体"/>
                <w:color w:val="auto"/>
                <w:sz w:val="24"/>
              </w:rPr>
            </w:pPr>
            <w:r>
              <w:rPr>
                <w:rFonts w:hint="eastAsia" w:ascii="宋体" w:hAnsi="宋体" w:cs="宋体"/>
                <w:color w:val="auto"/>
                <w:sz w:val="24"/>
              </w:rPr>
              <w:t>□改建</w:t>
            </w:r>
          </w:p>
          <w:p>
            <w:pPr>
              <w:jc w:val="left"/>
              <w:rPr>
                <w:rFonts w:ascii="宋体" w:hAnsi="宋体" w:cs="宋体"/>
                <w:color w:val="auto"/>
                <w:sz w:val="24"/>
              </w:rPr>
            </w:pPr>
            <w:r>
              <w:rPr>
                <w:rFonts w:hint="eastAsia" w:ascii="宋体" w:hAnsi="宋体" w:cs="宋体"/>
                <w:color w:val="auto"/>
                <w:sz w:val="24"/>
              </w:rPr>
              <w:t>□扩建</w:t>
            </w:r>
          </w:p>
          <w:p>
            <w:pPr>
              <w:jc w:val="left"/>
              <w:rPr>
                <w:rFonts w:ascii="宋体" w:hAnsi="宋体" w:cs="宋体"/>
                <w:color w:val="auto"/>
                <w:sz w:val="24"/>
              </w:rPr>
            </w:pPr>
            <w:r>
              <w:rPr>
                <w:rFonts w:hint="eastAsia" w:ascii="宋体" w:hAnsi="宋体" w:cs="宋体"/>
                <w:color w:val="auto"/>
                <w:sz w:val="24"/>
              </w:rPr>
              <w:t>□技术改造</w:t>
            </w:r>
          </w:p>
        </w:tc>
        <w:tc>
          <w:tcPr>
            <w:tcW w:w="2212"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建设项目</w:t>
            </w:r>
          </w:p>
          <w:p>
            <w:pPr>
              <w:adjustRightInd w:val="0"/>
              <w:snapToGrid w:val="0"/>
              <w:jc w:val="center"/>
              <w:rPr>
                <w:rFonts w:ascii="宋体" w:hAnsi="宋体" w:cs="宋体"/>
                <w:color w:val="auto"/>
                <w:sz w:val="24"/>
              </w:rPr>
            </w:pPr>
            <w:r>
              <w:rPr>
                <w:rFonts w:hint="eastAsia" w:ascii="宋体" w:hAnsi="宋体" w:cs="宋体"/>
                <w:color w:val="auto"/>
                <w:sz w:val="24"/>
              </w:rPr>
              <w:t>申报情形</w:t>
            </w:r>
          </w:p>
        </w:tc>
        <w:tc>
          <w:tcPr>
            <w:tcW w:w="2639" w:type="dxa"/>
            <w:vAlign w:val="center"/>
          </w:tcPr>
          <w:p>
            <w:pPr>
              <w:jc w:val="left"/>
              <w:rPr>
                <w:rFonts w:ascii="宋体" w:hAnsi="宋体" w:cs="宋体"/>
                <w:color w:val="auto"/>
                <w:sz w:val="24"/>
              </w:rPr>
            </w:pPr>
            <w:r>
              <w:rPr>
                <w:rFonts w:hint="eastAsia" w:ascii="宋体" w:hAnsi="宋体" w:cs="宋体"/>
                <w:color w:val="auto"/>
                <w:sz w:val="24"/>
              </w:rPr>
              <w:sym w:font="Wingdings 2" w:char="0052"/>
            </w:r>
            <w:r>
              <w:rPr>
                <w:rFonts w:hint="eastAsia" w:ascii="宋体" w:hAnsi="宋体" w:cs="宋体"/>
                <w:color w:val="auto"/>
                <w:sz w:val="24"/>
              </w:rPr>
              <w:t>首次申报项目</w:t>
            </w:r>
            <w:r>
              <w:rPr>
                <w:rFonts w:ascii="宋体" w:hAnsi="宋体" w:cs="宋体"/>
                <w:color w:val="auto"/>
                <w:sz w:val="24"/>
              </w:rPr>
              <w:t xml:space="preserve">             </w:t>
            </w:r>
          </w:p>
          <w:p>
            <w:pPr>
              <w:jc w:val="left"/>
              <w:rPr>
                <w:rFonts w:ascii="宋体" w:hAnsi="宋体" w:cs="宋体"/>
                <w:color w:val="auto"/>
                <w:sz w:val="24"/>
              </w:rPr>
            </w:pPr>
            <w:r>
              <w:rPr>
                <w:rFonts w:hint="eastAsia" w:ascii="宋体" w:hAnsi="宋体" w:cs="宋体"/>
                <w:color w:val="auto"/>
                <w:sz w:val="24"/>
              </w:rPr>
              <w:t>□不予批准后再次申报项目</w:t>
            </w:r>
          </w:p>
          <w:p>
            <w:pPr>
              <w:jc w:val="left"/>
              <w:rPr>
                <w:rFonts w:ascii="宋体" w:hAnsi="宋体" w:cs="宋体"/>
                <w:color w:val="auto"/>
                <w:sz w:val="24"/>
              </w:rPr>
            </w:pPr>
            <w:r>
              <w:rPr>
                <w:rFonts w:hint="eastAsia" w:ascii="宋体" w:hAnsi="宋体" w:cs="宋体"/>
                <w:color w:val="auto"/>
                <w:sz w:val="24"/>
              </w:rPr>
              <w:sym w:font="Wingdings 2" w:char="00A3"/>
            </w:r>
            <w:r>
              <w:rPr>
                <w:rFonts w:hint="eastAsia" w:ascii="宋体" w:hAnsi="宋体" w:cs="宋体"/>
                <w:color w:val="auto"/>
                <w:sz w:val="24"/>
              </w:rPr>
              <w:t>超五年重新审核项目</w:t>
            </w:r>
            <w:r>
              <w:rPr>
                <w:rFonts w:ascii="宋体" w:hAnsi="宋体" w:cs="宋体"/>
                <w:color w:val="auto"/>
                <w:sz w:val="24"/>
              </w:rPr>
              <w:t xml:space="preserve">     </w:t>
            </w:r>
          </w:p>
          <w:p>
            <w:pPr>
              <w:jc w:val="left"/>
              <w:rPr>
                <w:rFonts w:ascii="宋体" w:hAnsi="宋体" w:cs="宋体"/>
                <w:color w:val="auto"/>
                <w:sz w:val="24"/>
              </w:rPr>
            </w:pPr>
            <w:r>
              <w:rPr>
                <w:rFonts w:hint="eastAsia" w:ascii="宋体" w:hAnsi="宋体" w:cs="宋体"/>
                <w:color w:val="auto"/>
                <w:sz w:val="24"/>
              </w:rPr>
              <w:t>□重大变动重新报批项目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851" w:hRule="atLeast"/>
          <w:jc w:val="center"/>
        </w:trPr>
        <w:tc>
          <w:tcPr>
            <w:tcW w:w="238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项目审批（核准</w:t>
            </w:r>
            <w:r>
              <w:rPr>
                <w:rFonts w:ascii="宋体" w:hAnsi="宋体" w:cs="宋体"/>
                <w:color w:val="auto"/>
                <w:sz w:val="24"/>
              </w:rPr>
              <w:t>/</w:t>
            </w:r>
          </w:p>
          <w:p>
            <w:pPr>
              <w:adjustRightInd w:val="0"/>
              <w:snapToGrid w:val="0"/>
              <w:jc w:val="center"/>
              <w:rPr>
                <w:rFonts w:ascii="宋体" w:hAnsi="宋体" w:cs="宋体"/>
                <w:color w:val="auto"/>
                <w:sz w:val="24"/>
              </w:rPr>
            </w:pPr>
            <w:r>
              <w:rPr>
                <w:rFonts w:hint="eastAsia" w:ascii="宋体" w:hAnsi="宋体" w:cs="宋体"/>
                <w:color w:val="auto"/>
                <w:sz w:val="24"/>
              </w:rPr>
              <w:t>备案）部门（选填）</w:t>
            </w:r>
          </w:p>
        </w:tc>
        <w:tc>
          <w:tcPr>
            <w:tcW w:w="1637"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w:t>
            </w:r>
          </w:p>
        </w:tc>
        <w:tc>
          <w:tcPr>
            <w:tcW w:w="2212"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项目审批（核准</w:t>
            </w:r>
            <w:r>
              <w:rPr>
                <w:rFonts w:ascii="宋体" w:hAnsi="宋体" w:cs="宋体"/>
                <w:color w:val="auto"/>
                <w:sz w:val="24"/>
              </w:rPr>
              <w:t>/</w:t>
            </w:r>
          </w:p>
          <w:p>
            <w:pPr>
              <w:adjustRightInd w:val="0"/>
              <w:snapToGrid w:val="0"/>
              <w:jc w:val="center"/>
              <w:rPr>
                <w:rFonts w:ascii="宋体" w:hAnsi="宋体" w:cs="宋体"/>
                <w:color w:val="auto"/>
                <w:sz w:val="24"/>
              </w:rPr>
            </w:pPr>
            <w:r>
              <w:rPr>
                <w:rFonts w:hint="eastAsia" w:ascii="宋体" w:hAnsi="宋体" w:cs="宋体"/>
                <w:color w:val="auto"/>
                <w:sz w:val="24"/>
              </w:rPr>
              <w:t>备案）文号（选填）</w:t>
            </w:r>
          </w:p>
        </w:tc>
        <w:tc>
          <w:tcPr>
            <w:tcW w:w="2639"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238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总投资（万元）</w:t>
            </w:r>
          </w:p>
        </w:tc>
        <w:tc>
          <w:tcPr>
            <w:tcW w:w="1637"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48</w:t>
            </w:r>
          </w:p>
        </w:tc>
        <w:tc>
          <w:tcPr>
            <w:tcW w:w="221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环保投资（万元）</w:t>
            </w:r>
          </w:p>
        </w:tc>
        <w:tc>
          <w:tcPr>
            <w:tcW w:w="2639"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48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238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环保投资占比（</w:t>
            </w:r>
            <w:r>
              <w:rPr>
                <w:rFonts w:ascii="宋体" w:hAnsi="宋体" w:cs="宋体"/>
                <w:color w:val="auto"/>
                <w:sz w:val="24"/>
              </w:rPr>
              <w:t>%</w:t>
            </w:r>
            <w:r>
              <w:rPr>
                <w:rFonts w:hint="eastAsia" w:ascii="宋体" w:hAnsi="宋体" w:cs="宋体"/>
                <w:color w:val="auto"/>
                <w:sz w:val="24"/>
              </w:rPr>
              <w:t>）</w:t>
            </w:r>
          </w:p>
        </w:tc>
        <w:tc>
          <w:tcPr>
            <w:tcW w:w="1637"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100</w:t>
            </w:r>
          </w:p>
        </w:tc>
        <w:tc>
          <w:tcPr>
            <w:tcW w:w="221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施工工期</w:t>
            </w:r>
          </w:p>
        </w:tc>
        <w:tc>
          <w:tcPr>
            <w:tcW w:w="2639"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2个月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497" w:hRule="atLeast"/>
          <w:jc w:val="center"/>
        </w:trPr>
        <w:tc>
          <w:tcPr>
            <w:tcW w:w="2382" w:type="dxa"/>
            <w:tcMar>
              <w:top w:w="16" w:type="dxa"/>
              <w:left w:w="16" w:type="dxa"/>
              <w:right w:w="16" w:type="dxa"/>
            </w:tcMar>
            <w:vAlign w:val="center"/>
          </w:tcPr>
          <w:p>
            <w:pPr>
              <w:adjustRightInd w:val="0"/>
              <w:snapToGrid w:val="0"/>
              <w:jc w:val="center"/>
              <w:rPr>
                <w:rFonts w:ascii="宋体" w:hAnsi="宋体" w:cs="宋体"/>
                <w:color w:val="auto"/>
                <w:sz w:val="24"/>
              </w:rPr>
            </w:pPr>
            <w:r>
              <w:rPr>
                <w:rFonts w:hint="eastAsia" w:ascii="宋体" w:hAnsi="宋体" w:cs="宋体"/>
                <w:color w:val="auto"/>
                <w:sz w:val="24"/>
              </w:rPr>
              <w:t>是否开工建设</w:t>
            </w:r>
          </w:p>
        </w:tc>
        <w:tc>
          <w:tcPr>
            <w:tcW w:w="1637" w:type="dxa"/>
            <w:vAlign w:val="center"/>
          </w:tcPr>
          <w:p>
            <w:pPr>
              <w:adjustRightInd w:val="0"/>
              <w:snapToGrid w:val="0"/>
              <w:rPr>
                <w:rFonts w:ascii="宋体" w:hAnsi="宋体" w:cs="宋体"/>
                <w:color w:val="auto"/>
                <w:sz w:val="24"/>
              </w:rPr>
            </w:pPr>
            <w:r>
              <w:rPr>
                <w:rFonts w:hint="eastAsia" w:ascii="宋体" w:hAnsi="宋体" w:cs="宋体"/>
                <w:color w:val="auto"/>
                <w:sz w:val="24"/>
              </w:rPr>
              <w:sym w:font="Wingdings 2" w:char="0052"/>
            </w:r>
            <w:r>
              <w:rPr>
                <w:rFonts w:hint="eastAsia" w:ascii="宋体" w:hAnsi="宋体" w:cs="宋体"/>
                <w:color w:val="auto"/>
                <w:sz w:val="24"/>
              </w:rPr>
              <w:t>否</w:t>
            </w:r>
          </w:p>
          <w:p>
            <w:pPr>
              <w:adjustRightInd w:val="0"/>
              <w:snapToGrid w:val="0"/>
              <w:rPr>
                <w:rFonts w:ascii="宋体" w:hAnsi="宋体" w:cs="宋体"/>
                <w:color w:val="auto"/>
                <w:sz w:val="24"/>
              </w:rPr>
            </w:pPr>
            <w:r>
              <w:rPr>
                <w:rFonts w:hint="eastAsia" w:ascii="宋体" w:hAnsi="宋体" w:cs="宋体"/>
                <w:color w:val="auto"/>
                <w:sz w:val="24"/>
              </w:rPr>
              <w:sym w:font="Wingdings 2" w:char="00A3"/>
            </w:r>
            <w:r>
              <w:rPr>
                <w:rFonts w:hint="eastAsia" w:ascii="宋体" w:hAnsi="宋体" w:cs="宋体"/>
                <w:color w:val="auto"/>
                <w:sz w:val="24"/>
              </w:rPr>
              <w:t>是：</w:t>
            </w:r>
            <w:r>
              <w:rPr>
                <w:rFonts w:hint="eastAsia" w:ascii="宋体" w:hAnsi="宋体" w:cs="宋体"/>
                <w:color w:val="auto"/>
                <w:sz w:val="24"/>
                <w:u w:val="single"/>
              </w:rPr>
              <w:t xml:space="preserve">             </w:t>
            </w:r>
          </w:p>
        </w:tc>
        <w:tc>
          <w:tcPr>
            <w:tcW w:w="2212" w:type="dxa"/>
            <w:tcMar>
              <w:top w:w="16" w:type="dxa"/>
              <w:left w:w="16" w:type="dxa"/>
              <w:right w:w="16" w:type="dxa"/>
            </w:tcMar>
            <w:vAlign w:val="center"/>
          </w:tcPr>
          <w:p>
            <w:pPr>
              <w:adjustRightInd w:val="0"/>
              <w:snapToGrid w:val="0"/>
              <w:jc w:val="center"/>
              <w:rPr>
                <w:rFonts w:ascii="宋体" w:hAnsi="宋体" w:cs="宋体"/>
                <w:color w:val="auto"/>
                <w:spacing w:val="-6"/>
                <w:sz w:val="24"/>
              </w:rPr>
            </w:pPr>
            <w:r>
              <w:rPr>
                <w:rFonts w:hint="eastAsia" w:ascii="宋体" w:hAnsi="宋体" w:cs="宋体"/>
                <w:color w:val="auto"/>
                <w:spacing w:val="-6"/>
                <w:sz w:val="24"/>
              </w:rPr>
              <w:t>用地（用海）</w:t>
            </w:r>
          </w:p>
          <w:p>
            <w:pPr>
              <w:adjustRightInd w:val="0"/>
              <w:snapToGrid w:val="0"/>
              <w:jc w:val="center"/>
              <w:rPr>
                <w:rFonts w:ascii="宋体" w:hAnsi="宋体" w:cs="宋体"/>
                <w:color w:val="auto"/>
                <w:sz w:val="24"/>
              </w:rPr>
            </w:pPr>
            <w:r>
              <w:rPr>
                <w:rFonts w:hint="eastAsia" w:ascii="宋体" w:hAnsi="宋体" w:cs="宋体"/>
                <w:color w:val="auto"/>
                <w:spacing w:val="-6"/>
                <w:sz w:val="24"/>
              </w:rPr>
              <w:t>面积（</w:t>
            </w:r>
            <w:r>
              <w:rPr>
                <w:rFonts w:ascii="宋体" w:hAnsi="宋体" w:cs="宋体"/>
                <w:color w:val="auto"/>
                <w:spacing w:val="-6"/>
                <w:sz w:val="24"/>
              </w:rPr>
              <w:t>m</w:t>
            </w:r>
            <w:r>
              <w:rPr>
                <w:rFonts w:ascii="宋体" w:hAnsi="宋体" w:cs="宋体"/>
                <w:color w:val="auto"/>
                <w:spacing w:val="-6"/>
                <w:sz w:val="24"/>
                <w:vertAlign w:val="superscript"/>
              </w:rPr>
              <w:t>2</w:t>
            </w:r>
            <w:r>
              <w:rPr>
                <w:rFonts w:hint="eastAsia" w:ascii="宋体" w:hAnsi="宋体" w:cs="宋体"/>
                <w:color w:val="auto"/>
                <w:spacing w:val="-6"/>
                <w:sz w:val="24"/>
              </w:rPr>
              <w:t>）</w:t>
            </w:r>
          </w:p>
        </w:tc>
        <w:tc>
          <w:tcPr>
            <w:tcW w:w="2639"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49</w:t>
            </w:r>
            <w:r>
              <w:rPr>
                <w:rFonts w:hint="eastAsia" w:cs="宋体"/>
                <w:color w:val="auto"/>
                <w:sz w:val="24"/>
              </w:rPr>
              <w:t>（原井场内建设，此次不新增占地）</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65" w:hRule="atLeast"/>
          <w:jc w:val="center"/>
        </w:trPr>
        <w:tc>
          <w:tcPr>
            <w:tcW w:w="2382" w:type="dxa"/>
            <w:vAlign w:val="center"/>
          </w:tcPr>
          <w:p>
            <w:pPr>
              <w:autoSpaceDE w:val="0"/>
              <w:autoSpaceDN w:val="0"/>
              <w:adjustRightInd w:val="0"/>
              <w:snapToGrid w:val="0"/>
              <w:jc w:val="center"/>
              <w:rPr>
                <w:rFonts w:ascii="宋体" w:hAnsi="宋体" w:cs="宋体"/>
                <w:color w:val="auto"/>
                <w:kern w:val="0"/>
                <w:sz w:val="24"/>
              </w:rPr>
            </w:pPr>
            <w:r>
              <w:rPr>
                <w:rFonts w:hint="eastAsia" w:ascii="宋体" w:hAnsi="宋体" w:cs="宋体"/>
                <w:color w:val="auto"/>
                <w:kern w:val="0"/>
                <w:sz w:val="24"/>
              </w:rPr>
              <w:t>专项评价设置情况</w:t>
            </w:r>
          </w:p>
        </w:tc>
        <w:tc>
          <w:tcPr>
            <w:tcW w:w="6488" w:type="dxa"/>
            <w:gridSpan w:val="3"/>
            <w:vAlign w:val="center"/>
          </w:tcPr>
          <w:p>
            <w:pPr>
              <w:autoSpaceDE w:val="0"/>
              <w:autoSpaceDN w:val="0"/>
              <w:adjustRightInd w:val="0"/>
              <w:snapToGrid w:val="0"/>
              <w:jc w:val="center"/>
              <w:rPr>
                <w:rFonts w:ascii="宋体" w:hAnsi="宋体" w:cs="宋体"/>
                <w:color w:val="auto"/>
                <w:kern w:val="0"/>
                <w:sz w:val="24"/>
              </w:rPr>
            </w:pPr>
            <w:r>
              <w:rPr>
                <w:rFonts w:hint="eastAsia" w:ascii="宋体" w:hAnsi="宋体" w:cs="宋体"/>
                <w:color w:val="auto"/>
                <w:kern w:val="0"/>
                <w:sz w:val="24"/>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49" w:hRule="atLeast"/>
          <w:jc w:val="center"/>
        </w:trPr>
        <w:tc>
          <w:tcPr>
            <w:tcW w:w="2382" w:type="dxa"/>
            <w:vAlign w:val="center"/>
          </w:tcPr>
          <w:p>
            <w:pPr>
              <w:autoSpaceDE w:val="0"/>
              <w:autoSpaceDN w:val="0"/>
              <w:adjustRightInd w:val="0"/>
              <w:snapToGrid w:val="0"/>
              <w:jc w:val="center"/>
              <w:rPr>
                <w:rFonts w:ascii="宋体" w:hAnsi="宋体" w:cs="宋体"/>
                <w:color w:val="auto"/>
                <w:kern w:val="0"/>
                <w:sz w:val="24"/>
              </w:rPr>
            </w:pPr>
            <w:r>
              <w:rPr>
                <w:rFonts w:hint="eastAsia" w:ascii="宋体" w:hAnsi="宋体" w:cs="宋体"/>
                <w:color w:val="auto"/>
                <w:sz w:val="24"/>
              </w:rPr>
              <w:t>规划情况</w:t>
            </w:r>
          </w:p>
        </w:tc>
        <w:tc>
          <w:tcPr>
            <w:tcW w:w="6488" w:type="dxa"/>
            <w:gridSpan w:val="3"/>
            <w:vAlign w:val="center"/>
          </w:tcPr>
          <w:p>
            <w:pPr>
              <w:autoSpaceDE w:val="0"/>
              <w:autoSpaceDN w:val="0"/>
              <w:adjustRightInd w:val="0"/>
              <w:snapToGrid w:val="0"/>
              <w:jc w:val="center"/>
              <w:rPr>
                <w:rFonts w:ascii="宋体" w:hAnsi="宋体" w:cs="宋体"/>
                <w:color w:val="auto"/>
                <w:kern w:val="0"/>
                <w:sz w:val="24"/>
              </w:rPr>
            </w:pPr>
            <w:r>
              <w:rPr>
                <w:rFonts w:hint="eastAsia" w:ascii="宋体" w:hAnsi="宋体" w:cs="宋体"/>
                <w:color w:val="auto"/>
                <w:kern w:val="0"/>
                <w:sz w:val="24"/>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2382"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规划环境影响</w:t>
            </w:r>
          </w:p>
          <w:p>
            <w:pPr>
              <w:adjustRightInd w:val="0"/>
              <w:snapToGrid w:val="0"/>
              <w:jc w:val="center"/>
              <w:rPr>
                <w:rFonts w:ascii="宋体" w:hAnsi="宋体" w:cs="宋体"/>
                <w:color w:val="auto"/>
                <w:kern w:val="0"/>
                <w:sz w:val="24"/>
              </w:rPr>
            </w:pPr>
            <w:r>
              <w:rPr>
                <w:rFonts w:hint="eastAsia" w:ascii="宋体" w:hAnsi="宋体" w:cs="宋体"/>
                <w:color w:val="auto"/>
                <w:sz w:val="24"/>
              </w:rPr>
              <w:t>评价情况</w:t>
            </w:r>
          </w:p>
        </w:tc>
        <w:tc>
          <w:tcPr>
            <w:tcW w:w="6488" w:type="dxa"/>
            <w:gridSpan w:val="3"/>
            <w:vAlign w:val="center"/>
          </w:tcPr>
          <w:p>
            <w:pPr>
              <w:autoSpaceDE w:val="0"/>
              <w:autoSpaceDN w:val="0"/>
              <w:adjustRightInd w:val="0"/>
              <w:snapToGrid w:val="0"/>
              <w:jc w:val="center"/>
              <w:rPr>
                <w:rFonts w:ascii="宋体" w:hAnsi="宋体" w:cs="宋体"/>
                <w:color w:val="auto"/>
                <w:kern w:val="0"/>
                <w:sz w:val="24"/>
              </w:rPr>
            </w:pPr>
            <w:r>
              <w:rPr>
                <w:rFonts w:hint="eastAsia" w:ascii="宋体" w:hAnsi="宋体" w:cs="宋体"/>
                <w:color w:val="auto"/>
                <w:kern w:val="0"/>
                <w:sz w:val="24"/>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2382" w:type="dxa"/>
            <w:vAlign w:val="center"/>
          </w:tcPr>
          <w:p>
            <w:pPr>
              <w:autoSpaceDE w:val="0"/>
              <w:autoSpaceDN w:val="0"/>
              <w:adjustRightInd w:val="0"/>
              <w:snapToGrid w:val="0"/>
              <w:jc w:val="center"/>
              <w:rPr>
                <w:rFonts w:ascii="宋体" w:hAnsi="宋体" w:cs="宋体"/>
                <w:color w:val="auto"/>
                <w:kern w:val="0"/>
                <w:sz w:val="24"/>
              </w:rPr>
            </w:pPr>
            <w:r>
              <w:rPr>
                <w:rFonts w:hint="eastAsia" w:ascii="宋体" w:hAnsi="宋体" w:cs="宋体"/>
                <w:color w:val="auto"/>
                <w:kern w:val="0"/>
                <w:sz w:val="24"/>
              </w:rPr>
              <w:t>规划及规划环境</w:t>
            </w:r>
          </w:p>
          <w:p>
            <w:pPr>
              <w:autoSpaceDE w:val="0"/>
              <w:autoSpaceDN w:val="0"/>
              <w:adjustRightInd w:val="0"/>
              <w:snapToGrid w:val="0"/>
              <w:jc w:val="center"/>
              <w:rPr>
                <w:rFonts w:ascii="宋体" w:hAnsi="宋体" w:cs="宋体"/>
                <w:color w:val="auto"/>
                <w:kern w:val="0"/>
                <w:sz w:val="24"/>
              </w:rPr>
            </w:pPr>
            <w:r>
              <w:rPr>
                <w:rFonts w:hint="eastAsia" w:ascii="宋体" w:hAnsi="宋体" w:cs="宋体"/>
                <w:color w:val="auto"/>
                <w:kern w:val="0"/>
                <w:sz w:val="24"/>
              </w:rPr>
              <w:t>影响评价符合性分析</w:t>
            </w:r>
          </w:p>
        </w:tc>
        <w:tc>
          <w:tcPr>
            <w:tcW w:w="6488" w:type="dxa"/>
            <w:gridSpan w:val="3"/>
            <w:vAlign w:val="center"/>
          </w:tcPr>
          <w:p>
            <w:pPr>
              <w:autoSpaceDE w:val="0"/>
              <w:autoSpaceDN w:val="0"/>
              <w:adjustRightInd w:val="0"/>
              <w:snapToGrid w:val="0"/>
              <w:jc w:val="center"/>
              <w:rPr>
                <w:rFonts w:ascii="宋体" w:hAnsi="宋体" w:cs="宋体"/>
                <w:color w:val="auto"/>
                <w:kern w:val="0"/>
                <w:sz w:val="24"/>
              </w:rPr>
            </w:pPr>
            <w:r>
              <w:rPr>
                <w:rFonts w:hint="eastAsia" w:ascii="宋体" w:hAnsi="宋体" w:cs="宋体"/>
                <w:color w:val="auto"/>
                <w:kern w:val="0"/>
                <w:sz w:val="24"/>
              </w:rPr>
              <w:t>无</w:t>
            </w:r>
          </w:p>
        </w:tc>
      </w:tr>
    </w:tbl>
    <w:p>
      <w:pPr>
        <w:rPr>
          <w:color w:val="auto"/>
        </w:rPr>
      </w:pPr>
    </w:p>
    <w:tbl>
      <w:tblPr>
        <w:tblStyle w:val="19"/>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632"/>
        <w:gridCol w:w="823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367" w:hRule="atLeast"/>
          <w:jc w:val="center"/>
        </w:trPr>
        <w:tc>
          <w:tcPr>
            <w:tcW w:w="632" w:type="dxa"/>
            <w:vAlign w:val="center"/>
          </w:tcPr>
          <w:p>
            <w:pPr>
              <w:autoSpaceDE w:val="0"/>
              <w:autoSpaceDN w:val="0"/>
              <w:adjustRightInd w:val="0"/>
              <w:snapToGrid w:val="0"/>
              <w:jc w:val="center"/>
              <w:rPr>
                <w:rFonts w:ascii="宋体" w:hAnsi="宋体" w:cs="宋体"/>
                <w:color w:val="auto"/>
                <w:kern w:val="0"/>
                <w:sz w:val="24"/>
              </w:rPr>
            </w:pPr>
            <w:r>
              <w:rPr>
                <w:rFonts w:hint="eastAsia" w:ascii="宋体" w:hAnsi="宋体" w:cs="宋体"/>
                <w:color w:val="auto"/>
                <w:kern w:val="0"/>
                <w:sz w:val="24"/>
              </w:rPr>
              <w:t>其他符合性分析</w:t>
            </w:r>
          </w:p>
        </w:tc>
        <w:tc>
          <w:tcPr>
            <w:tcW w:w="8238" w:type="dxa"/>
            <w:vAlign w:val="center"/>
          </w:tcPr>
          <w:p>
            <w:pPr>
              <w:autoSpaceDE w:val="0"/>
              <w:autoSpaceDN w:val="0"/>
              <w:adjustRightInd w:val="0"/>
              <w:snapToGrid w:val="0"/>
              <w:spacing w:line="360" w:lineRule="auto"/>
              <w:jc w:val="left"/>
              <w:rPr>
                <w:rFonts w:ascii="宋体" w:hAnsi="宋体" w:cs="宋体"/>
                <w:b/>
                <w:bCs/>
                <w:color w:val="auto"/>
                <w:kern w:val="0"/>
                <w:sz w:val="24"/>
              </w:rPr>
            </w:pPr>
            <w:r>
              <w:rPr>
                <w:rFonts w:hint="eastAsia" w:ascii="宋体" w:hAnsi="宋体" w:cs="宋体"/>
                <w:b/>
                <w:bCs/>
                <w:color w:val="auto"/>
                <w:kern w:val="0"/>
                <w:sz w:val="24"/>
              </w:rPr>
              <w:t>1、与产业政策符合性分析</w:t>
            </w:r>
          </w:p>
          <w:p>
            <w:pPr>
              <w:autoSpaceDE w:val="0"/>
              <w:autoSpaceDN w:val="0"/>
              <w:adjustRightInd w:val="0"/>
              <w:snapToGrid w:val="0"/>
              <w:spacing w:line="360" w:lineRule="auto"/>
              <w:ind w:firstLine="480" w:firstLineChars="200"/>
              <w:jc w:val="left"/>
              <w:rPr>
                <w:rFonts w:ascii="宋体" w:hAnsi="宋体" w:cs="宋体"/>
                <w:color w:val="auto"/>
                <w:kern w:val="0"/>
                <w:sz w:val="24"/>
              </w:rPr>
            </w:pPr>
            <w:r>
              <w:rPr>
                <w:rFonts w:hint="eastAsia" w:ascii="宋体" w:hAnsi="宋体" w:cs="宋体"/>
                <w:color w:val="auto"/>
                <w:kern w:val="0"/>
                <w:sz w:val="24"/>
              </w:rPr>
              <w:t>本项目为油泥暂存点建设项目（不处理，交有资质危险废物处置单位处理），根据中华人民共和国发展和改革委员会第29号令《产业结构调整指导目录（2019年本）》，本项目属于“第一类鼓励类”中的“四十三、环境保护与资源节约综合利用”中的“15、“三废”综合利用与治理技术、装备和工程”，因此，本项目建设符合国家产业政策的要求。</w:t>
            </w:r>
          </w:p>
          <w:p>
            <w:pPr>
              <w:autoSpaceDE w:val="0"/>
              <w:autoSpaceDN w:val="0"/>
              <w:adjustRightInd w:val="0"/>
              <w:snapToGrid w:val="0"/>
              <w:spacing w:line="360" w:lineRule="auto"/>
              <w:jc w:val="left"/>
              <w:rPr>
                <w:rFonts w:ascii="宋体" w:hAnsi="宋体" w:cs="宋体"/>
                <w:b/>
                <w:bCs/>
                <w:color w:val="auto"/>
                <w:kern w:val="0"/>
                <w:sz w:val="24"/>
              </w:rPr>
            </w:pPr>
            <w:r>
              <w:rPr>
                <w:rFonts w:hint="eastAsia" w:ascii="宋体" w:hAnsi="宋体" w:cs="宋体"/>
                <w:b/>
                <w:bCs/>
                <w:color w:val="auto"/>
                <w:kern w:val="0"/>
                <w:sz w:val="24"/>
              </w:rPr>
              <w:t>2、与</w:t>
            </w:r>
            <w:r>
              <w:rPr>
                <w:rFonts w:hint="eastAsia" w:ascii="宋体" w:hAnsi="宋体" w:cs="宋体"/>
                <w:b/>
                <w:bCs/>
                <w:color w:val="auto"/>
                <w:kern w:val="0"/>
                <w:sz w:val="24"/>
                <w:lang w:eastAsia="zh-CN"/>
              </w:rPr>
              <w:t>“</w:t>
            </w:r>
            <w:r>
              <w:rPr>
                <w:rFonts w:hint="eastAsia" w:ascii="宋体" w:hAnsi="宋体" w:cs="宋体"/>
                <w:b/>
                <w:bCs/>
                <w:color w:val="auto"/>
                <w:kern w:val="0"/>
                <w:sz w:val="24"/>
                <w:lang w:val="en-US" w:eastAsia="zh-CN"/>
              </w:rPr>
              <w:t>三线一单</w:t>
            </w:r>
            <w:r>
              <w:rPr>
                <w:rFonts w:hint="eastAsia" w:ascii="宋体" w:hAnsi="宋体" w:cs="宋体"/>
                <w:b/>
                <w:bCs/>
                <w:color w:val="auto"/>
                <w:kern w:val="0"/>
                <w:sz w:val="24"/>
                <w:lang w:eastAsia="zh-CN"/>
              </w:rPr>
              <w:t>”</w:t>
            </w:r>
            <w:r>
              <w:rPr>
                <w:rFonts w:hint="eastAsia" w:ascii="宋体" w:hAnsi="宋体" w:cs="宋体"/>
                <w:b/>
                <w:bCs/>
                <w:color w:val="auto"/>
                <w:kern w:val="0"/>
                <w:sz w:val="24"/>
              </w:rPr>
              <w:t>符合性分析</w:t>
            </w:r>
          </w:p>
          <w:p>
            <w:pPr>
              <w:pStyle w:val="55"/>
              <w:keepNext w:val="0"/>
              <w:keepLines w:val="0"/>
              <w:pageBreakBefore w:val="0"/>
              <w:widowControl w:val="0"/>
              <w:kinsoku/>
              <w:wordWrap/>
              <w:overflowPunct/>
              <w:topLinePunct w:val="0"/>
              <w:autoSpaceDE/>
              <w:autoSpaceDN/>
              <w:bidi w:val="0"/>
              <w:adjustRightInd/>
              <w:snapToGrid/>
              <w:ind w:firstLine="480"/>
              <w:textAlignment w:val="auto"/>
              <w:rPr>
                <w:rFonts w:hint="eastAsia" w:ascii="宋体" w:hAnsi="宋体" w:eastAsia="宋体" w:cs="宋体"/>
                <w:color w:val="auto"/>
                <w:szCs w:val="20"/>
              </w:rPr>
            </w:pPr>
            <w:r>
              <w:rPr>
                <w:rFonts w:hint="eastAsia" w:ascii="宋体" w:hAnsi="宋体" w:eastAsia="宋体" w:cs="宋体"/>
                <w:color w:val="auto"/>
                <w:szCs w:val="20"/>
              </w:rPr>
              <w:t>（1）</w:t>
            </w:r>
            <w:r>
              <w:rPr>
                <w:rFonts w:hint="eastAsia" w:ascii="宋体" w:hAnsi="宋体" w:eastAsia="宋体" w:cs="宋体"/>
                <w:color w:val="auto"/>
              </w:rPr>
              <w:t>与《榆林市“三线一单”生态环境分区管控方案》的符合性分析</w:t>
            </w:r>
          </w:p>
          <w:p>
            <w:pPr>
              <w:pStyle w:val="18"/>
              <w:keepNext w:val="0"/>
              <w:keepLines w:val="0"/>
              <w:pageBreakBefore w:val="0"/>
              <w:widowControl w:val="0"/>
              <w:kinsoku/>
              <w:wordWrap/>
              <w:overflowPunct/>
              <w:topLinePunct w:val="0"/>
              <w:autoSpaceDE/>
              <w:autoSpaceDN/>
              <w:bidi w:val="0"/>
              <w:adjustRightInd/>
              <w:snapToGrid/>
              <w:spacing w:after="0" w:line="360" w:lineRule="auto"/>
              <w:ind w:left="0" w:leftChars="0" w:firstLine="480"/>
              <w:textAlignment w:val="auto"/>
              <w:rPr>
                <w:rFonts w:hint="eastAsia" w:ascii="宋体" w:hAnsi="宋体" w:eastAsia="宋体" w:cs="宋体"/>
                <w:color w:val="auto"/>
              </w:rPr>
            </w:pPr>
            <w:r>
              <w:rPr>
                <w:rFonts w:hint="eastAsia" w:ascii="宋体" w:hAnsi="宋体" w:eastAsia="宋体" w:cs="宋体"/>
                <w:color w:val="auto"/>
              </w:rPr>
              <w:t>根据《陕西省“三线一单“生态环境分区管控应用技术指南：环境影响评价（试行）》（陕环办发[2022] 76号），建设项目环评文件涉及“三线一单”生态环境分区管控符合性分析采取“一图一表一说明”的表达方式，对照分析结果，论证建设的符合性。</w:t>
            </w:r>
          </w:p>
          <w:p>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eastAsia" w:ascii="宋体" w:hAnsi="宋体" w:eastAsia="宋体" w:cs="宋体"/>
                <w:color w:val="auto"/>
                <w:kern w:val="0"/>
                <w:sz w:val="24"/>
                <w:szCs w:val="20"/>
                <w:lang w:val="en-US" w:eastAsia="zh-CN" w:bidi="ar-SA"/>
              </w:rPr>
            </w:pPr>
            <w:r>
              <w:rPr>
                <w:rFonts w:hint="eastAsia" w:ascii="宋体" w:hAnsi="宋体" w:eastAsia="宋体" w:cs="宋体"/>
                <w:color w:val="auto"/>
                <w:kern w:val="0"/>
                <w:sz w:val="24"/>
                <w:szCs w:val="20"/>
                <w:lang w:val="en-US" w:eastAsia="zh-CN" w:bidi="ar-SA"/>
              </w:rPr>
              <w:fldChar w:fldCharType="begin"/>
            </w:r>
            <w:r>
              <w:rPr>
                <w:rFonts w:hint="eastAsia" w:ascii="宋体" w:hAnsi="宋体" w:eastAsia="宋体" w:cs="宋体"/>
                <w:color w:val="auto"/>
                <w:kern w:val="0"/>
                <w:sz w:val="24"/>
                <w:szCs w:val="20"/>
                <w:lang w:val="en-US" w:eastAsia="zh-CN" w:bidi="ar-SA"/>
              </w:rPr>
              <w:instrText xml:space="preserve"> = 1 \* GB3 \* MERGEFORMAT </w:instrText>
            </w:r>
            <w:r>
              <w:rPr>
                <w:rFonts w:hint="eastAsia" w:ascii="宋体" w:hAnsi="宋体" w:eastAsia="宋体" w:cs="宋体"/>
                <w:color w:val="auto"/>
                <w:kern w:val="0"/>
                <w:sz w:val="24"/>
                <w:szCs w:val="20"/>
                <w:lang w:val="en-US" w:eastAsia="zh-CN" w:bidi="ar-SA"/>
              </w:rPr>
              <w:fldChar w:fldCharType="separate"/>
            </w:r>
            <w:r>
              <w:rPr>
                <w:rFonts w:hint="eastAsia" w:ascii="宋体" w:hAnsi="宋体" w:eastAsia="宋体" w:cs="宋体"/>
                <w:color w:val="auto"/>
                <w:kern w:val="0"/>
                <w:sz w:val="24"/>
                <w:szCs w:val="20"/>
                <w:lang w:val="en-US" w:eastAsia="zh-CN" w:bidi="ar-SA"/>
              </w:rPr>
              <w:t>①</w:t>
            </w:r>
            <w:r>
              <w:rPr>
                <w:rFonts w:hint="eastAsia" w:ascii="宋体" w:hAnsi="宋体" w:eastAsia="宋体" w:cs="宋体"/>
                <w:color w:val="auto"/>
                <w:kern w:val="0"/>
                <w:sz w:val="24"/>
                <w:szCs w:val="20"/>
                <w:lang w:val="en-US" w:eastAsia="zh-CN" w:bidi="ar-SA"/>
              </w:rPr>
              <w:fldChar w:fldCharType="end"/>
            </w:r>
            <w:r>
              <w:rPr>
                <w:rFonts w:hint="eastAsia" w:ascii="宋体" w:hAnsi="宋体" w:cs="宋体"/>
                <w:color w:val="auto"/>
                <w:kern w:val="0"/>
                <w:sz w:val="24"/>
                <w:szCs w:val="20"/>
                <w:lang w:val="en-US" w:eastAsia="zh-CN" w:bidi="ar-SA"/>
              </w:rPr>
              <w:t xml:space="preserve"> </w:t>
            </w:r>
            <w:r>
              <w:rPr>
                <w:rFonts w:hint="eastAsia" w:ascii="宋体" w:hAnsi="宋体" w:eastAsia="宋体" w:cs="宋体"/>
                <w:color w:val="auto"/>
                <w:kern w:val="0"/>
                <w:sz w:val="24"/>
                <w:szCs w:val="20"/>
                <w:lang w:val="en-US" w:eastAsia="zh-CN" w:bidi="ar-SA"/>
              </w:rPr>
              <w:t>一图</w:t>
            </w:r>
          </w:p>
          <w:p>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eastAsia" w:ascii="宋体" w:hAnsi="宋体" w:eastAsia="宋体" w:cs="宋体"/>
                <w:color w:val="auto"/>
                <w:kern w:val="0"/>
                <w:sz w:val="24"/>
                <w:szCs w:val="20"/>
                <w:lang w:val="en-US" w:eastAsia="zh-CN" w:bidi="ar-SA"/>
              </w:rPr>
            </w:pPr>
            <w:r>
              <w:rPr>
                <w:rFonts w:hint="eastAsia" w:ascii="宋体" w:hAnsi="宋体" w:eastAsia="宋体" w:cs="宋体"/>
                <w:color w:val="auto"/>
                <w:kern w:val="0"/>
                <w:sz w:val="24"/>
                <w:szCs w:val="20"/>
                <w:lang w:val="en-US" w:eastAsia="zh-CN" w:bidi="ar-SA"/>
              </w:rPr>
              <w:t>根据《关于印发榆林市“三线一单”生态环境分区管控方案的通知》（榆政发[2021]17号），结合“陕西省“三线一单”数据应用管理平台（V1.0）”分析，本项目涉及</w:t>
            </w:r>
            <w:r>
              <w:rPr>
                <w:rFonts w:hint="eastAsia" w:ascii="宋体" w:hAnsi="宋体" w:cs="宋体"/>
                <w:color w:val="auto"/>
                <w:kern w:val="0"/>
                <w:sz w:val="24"/>
                <w:szCs w:val="20"/>
                <w:lang w:val="en-US" w:eastAsia="zh-CN" w:bidi="ar-SA"/>
              </w:rPr>
              <w:t>靖</w:t>
            </w:r>
            <w:r>
              <w:rPr>
                <w:rFonts w:hint="eastAsia" w:ascii="宋体" w:hAnsi="宋体" w:eastAsia="宋体" w:cs="宋体"/>
                <w:color w:val="auto"/>
                <w:kern w:val="0"/>
                <w:sz w:val="24"/>
                <w:szCs w:val="20"/>
                <w:lang w:val="en-US" w:eastAsia="zh-CN" w:bidi="ar-SA"/>
              </w:rPr>
              <w:t>边县一般管控单元，项目选址不涉及生态红线和基本农田。项目选址与榆林市“三线一单”生态环境分区管控的位置关系见</w:t>
            </w:r>
            <w:r>
              <w:rPr>
                <w:rFonts w:hint="eastAsia" w:ascii="宋体" w:hAnsi="宋体" w:eastAsia="宋体" w:cs="宋体"/>
                <w:color w:val="auto"/>
                <w:kern w:val="0"/>
                <w:sz w:val="24"/>
                <w:szCs w:val="20"/>
                <w:highlight w:val="none"/>
                <w:lang w:val="en-US" w:eastAsia="zh-CN" w:bidi="ar-SA"/>
              </w:rPr>
              <w:t>附图</w:t>
            </w:r>
            <w:r>
              <w:rPr>
                <w:rFonts w:hint="eastAsia" w:ascii="宋体" w:hAnsi="宋体" w:eastAsia="宋体" w:cs="宋体"/>
                <w:color w:val="auto"/>
                <w:kern w:val="0"/>
                <w:sz w:val="24"/>
                <w:szCs w:val="20"/>
                <w:lang w:val="en-US" w:eastAsia="zh-CN" w:bidi="ar-SA"/>
              </w:rPr>
              <w:t>，陕西省“三线一单”生态环境管控单元对照分析报告见</w:t>
            </w:r>
            <w:r>
              <w:rPr>
                <w:rFonts w:hint="eastAsia" w:ascii="宋体" w:hAnsi="宋体" w:eastAsia="宋体" w:cs="宋体"/>
                <w:color w:val="auto"/>
                <w:kern w:val="0"/>
                <w:sz w:val="24"/>
                <w:szCs w:val="20"/>
                <w:highlight w:val="none"/>
                <w:lang w:val="en-US" w:eastAsia="zh-CN" w:bidi="ar-SA"/>
              </w:rPr>
              <w:t>附件</w:t>
            </w:r>
            <w:r>
              <w:rPr>
                <w:rFonts w:hint="eastAsia" w:ascii="宋体" w:hAnsi="宋体" w:eastAsia="宋体" w:cs="宋体"/>
                <w:color w:val="auto"/>
                <w:kern w:val="0"/>
                <w:sz w:val="24"/>
                <w:szCs w:val="20"/>
                <w:lang w:val="en-US" w:eastAsia="zh-CN" w:bidi="ar-SA"/>
              </w:rPr>
              <w:t>。</w:t>
            </w:r>
          </w:p>
          <w:p>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eastAsia" w:ascii="宋体" w:hAnsi="宋体" w:eastAsia="宋体" w:cs="宋体"/>
                <w:color w:val="auto"/>
                <w:kern w:val="0"/>
                <w:sz w:val="24"/>
                <w:szCs w:val="20"/>
                <w:lang w:val="en-US" w:eastAsia="zh-CN" w:bidi="ar-SA"/>
              </w:rPr>
            </w:pPr>
            <w:r>
              <w:rPr>
                <w:rFonts w:hint="eastAsia" w:ascii="宋体" w:hAnsi="宋体" w:eastAsia="宋体" w:cs="宋体"/>
                <w:color w:val="auto"/>
                <w:kern w:val="0"/>
                <w:sz w:val="24"/>
                <w:szCs w:val="20"/>
                <w:lang w:val="en-US" w:eastAsia="zh-CN" w:bidi="ar-SA"/>
              </w:rPr>
              <w:fldChar w:fldCharType="begin"/>
            </w:r>
            <w:r>
              <w:rPr>
                <w:rFonts w:hint="eastAsia" w:ascii="宋体" w:hAnsi="宋体" w:eastAsia="宋体" w:cs="宋体"/>
                <w:color w:val="auto"/>
                <w:kern w:val="0"/>
                <w:sz w:val="24"/>
                <w:szCs w:val="20"/>
                <w:lang w:val="en-US" w:eastAsia="zh-CN" w:bidi="ar-SA"/>
              </w:rPr>
              <w:instrText xml:space="preserve"> = 2 \* GB3 \* MERGEFORMAT </w:instrText>
            </w:r>
            <w:r>
              <w:rPr>
                <w:rFonts w:hint="eastAsia" w:ascii="宋体" w:hAnsi="宋体" w:eastAsia="宋体" w:cs="宋体"/>
                <w:color w:val="auto"/>
                <w:kern w:val="0"/>
                <w:sz w:val="24"/>
                <w:szCs w:val="20"/>
                <w:lang w:val="en-US" w:eastAsia="zh-CN" w:bidi="ar-SA"/>
              </w:rPr>
              <w:fldChar w:fldCharType="separate"/>
            </w:r>
            <w:r>
              <w:rPr>
                <w:rFonts w:hint="eastAsia" w:ascii="宋体" w:hAnsi="宋体" w:eastAsia="宋体" w:cs="宋体"/>
                <w:color w:val="auto"/>
                <w:kern w:val="0"/>
                <w:sz w:val="24"/>
                <w:szCs w:val="20"/>
                <w:lang w:val="en-US" w:eastAsia="zh-CN" w:bidi="ar-SA"/>
              </w:rPr>
              <w:t>②</w:t>
            </w:r>
            <w:r>
              <w:rPr>
                <w:rFonts w:hint="eastAsia" w:ascii="宋体" w:hAnsi="宋体" w:eastAsia="宋体" w:cs="宋体"/>
                <w:color w:val="auto"/>
                <w:kern w:val="0"/>
                <w:sz w:val="24"/>
                <w:szCs w:val="20"/>
                <w:lang w:val="en-US" w:eastAsia="zh-CN" w:bidi="ar-SA"/>
              </w:rPr>
              <w:fldChar w:fldCharType="end"/>
            </w:r>
            <w:r>
              <w:rPr>
                <w:rFonts w:hint="eastAsia" w:ascii="宋体" w:hAnsi="宋体" w:cs="宋体"/>
                <w:color w:val="auto"/>
                <w:kern w:val="0"/>
                <w:sz w:val="24"/>
                <w:szCs w:val="20"/>
                <w:lang w:val="en-US" w:eastAsia="zh-CN" w:bidi="ar-SA"/>
              </w:rPr>
              <w:t xml:space="preserve"> </w:t>
            </w:r>
            <w:r>
              <w:rPr>
                <w:rFonts w:hint="eastAsia" w:ascii="宋体" w:hAnsi="宋体" w:eastAsia="宋体" w:cs="宋体"/>
                <w:color w:val="auto"/>
                <w:kern w:val="0"/>
                <w:sz w:val="24"/>
                <w:szCs w:val="20"/>
                <w:lang w:val="en-US" w:eastAsia="zh-CN" w:bidi="ar-SA"/>
              </w:rPr>
              <w:t>一表</w:t>
            </w:r>
          </w:p>
          <w:p>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eastAsia" w:ascii="宋体" w:hAnsi="宋体" w:eastAsia="宋体" w:cs="宋体"/>
                <w:color w:val="auto"/>
                <w:kern w:val="0"/>
                <w:sz w:val="24"/>
                <w:szCs w:val="20"/>
                <w:lang w:val="en-US" w:eastAsia="zh-CN" w:bidi="ar-SA"/>
              </w:rPr>
            </w:pPr>
            <w:r>
              <w:rPr>
                <w:rFonts w:hint="eastAsia" w:ascii="宋体" w:hAnsi="宋体" w:eastAsia="宋体" w:cs="宋体"/>
                <w:color w:val="auto"/>
                <w:kern w:val="0"/>
                <w:sz w:val="24"/>
                <w:szCs w:val="20"/>
                <w:lang w:val="en-US" w:eastAsia="zh-CN" w:bidi="ar-SA"/>
              </w:rPr>
              <w:t>本项目建设范围涉及的生态环境管控单元准入清单具体见表1-1。</w:t>
            </w:r>
          </w:p>
          <w:p>
            <w:pPr>
              <w:spacing w:line="240" w:lineRule="auto"/>
              <w:ind w:firstLine="422" w:firstLineChars="200"/>
              <w:jc w:val="both"/>
              <w:rPr>
                <w:rFonts w:hint="eastAsia"/>
                <w:b/>
                <w:bCs/>
                <w:color w:val="auto"/>
              </w:rPr>
            </w:pPr>
            <w:r>
              <w:rPr>
                <w:b/>
                <w:bCs/>
                <w:color w:val="auto"/>
              </w:rPr>
              <w:t>表</w:t>
            </w:r>
            <w:r>
              <w:rPr>
                <w:rFonts w:hint="eastAsia"/>
                <w:b/>
                <w:bCs/>
                <w:color w:val="auto"/>
              </w:rPr>
              <w:t xml:space="preserve">1-1 </w:t>
            </w:r>
            <w:r>
              <w:rPr>
                <w:rFonts w:hint="eastAsia"/>
                <w:b/>
                <w:bCs/>
                <w:color w:val="auto"/>
                <w:lang w:val="en-US" w:eastAsia="zh-CN"/>
              </w:rPr>
              <w:t xml:space="preserve">     </w:t>
            </w:r>
            <w:r>
              <w:rPr>
                <w:rFonts w:hint="eastAsia"/>
                <w:b/>
                <w:bCs/>
                <w:color w:val="auto"/>
              </w:rPr>
              <w:t>本项目建设范围涉及的生态环境管控单元准入清单</w:t>
            </w:r>
          </w:p>
          <w:tbl>
            <w:tblPr>
              <w:tblStyle w:val="19"/>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1"/>
              <w:gridCol w:w="360"/>
              <w:gridCol w:w="387"/>
              <w:gridCol w:w="920"/>
              <w:gridCol w:w="740"/>
              <w:gridCol w:w="701"/>
              <w:gridCol w:w="447"/>
              <w:gridCol w:w="1600"/>
              <w:gridCol w:w="2058"/>
              <w:gridCol w:w="4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 w:type="pct"/>
                  <w:shd w:val="clear" w:color="auto" w:fill="auto"/>
                  <w:noWrap w:val="0"/>
                  <w:vAlign w:val="center"/>
                </w:tcPr>
                <w:p>
                  <w:pPr>
                    <w:tabs>
                      <w:tab w:val="left" w:pos="265"/>
                    </w:tabs>
                    <w:spacing w:line="240" w:lineRule="auto"/>
                    <w:ind w:left="-105" w:leftChars="-50" w:right="-105" w:rightChars="-50" w:firstLine="0" w:firstLineChars="0"/>
                    <w:jc w:val="center"/>
                    <w:rPr>
                      <w:b w:val="0"/>
                      <w:bCs w:val="0"/>
                      <w:color w:val="auto"/>
                      <w:sz w:val="21"/>
                      <w:szCs w:val="21"/>
                    </w:rPr>
                  </w:pPr>
                  <w:r>
                    <w:rPr>
                      <w:rFonts w:hint="eastAsia"/>
                      <w:b w:val="0"/>
                      <w:bCs w:val="0"/>
                      <w:color w:val="auto"/>
                      <w:sz w:val="21"/>
                      <w:szCs w:val="21"/>
                    </w:rPr>
                    <w:t>序号</w:t>
                  </w:r>
                </w:p>
              </w:tc>
              <w:tc>
                <w:tcPr>
                  <w:tcW w:w="224" w:type="pct"/>
                  <w:shd w:val="clear" w:color="auto" w:fill="auto"/>
                  <w:noWrap w:val="0"/>
                  <w:vAlign w:val="center"/>
                </w:tcPr>
                <w:p>
                  <w:pPr>
                    <w:tabs>
                      <w:tab w:val="left" w:pos="265"/>
                    </w:tabs>
                    <w:spacing w:line="240" w:lineRule="auto"/>
                    <w:ind w:left="-105" w:leftChars="-50" w:right="-105" w:rightChars="-50" w:firstLine="0" w:firstLineChars="0"/>
                    <w:jc w:val="center"/>
                    <w:rPr>
                      <w:b w:val="0"/>
                      <w:bCs w:val="0"/>
                      <w:color w:val="auto"/>
                      <w:sz w:val="21"/>
                      <w:szCs w:val="21"/>
                    </w:rPr>
                  </w:pPr>
                  <w:r>
                    <w:rPr>
                      <w:rFonts w:hint="eastAsia"/>
                      <w:b w:val="0"/>
                      <w:bCs w:val="0"/>
                      <w:color w:val="auto"/>
                      <w:sz w:val="21"/>
                      <w:szCs w:val="21"/>
                    </w:rPr>
                    <w:t>市</w:t>
                  </w:r>
                </w:p>
              </w:tc>
              <w:tc>
                <w:tcPr>
                  <w:tcW w:w="241" w:type="pct"/>
                  <w:shd w:val="clear" w:color="auto" w:fill="auto"/>
                  <w:noWrap w:val="0"/>
                  <w:vAlign w:val="center"/>
                </w:tcPr>
                <w:p>
                  <w:pPr>
                    <w:tabs>
                      <w:tab w:val="left" w:pos="265"/>
                    </w:tabs>
                    <w:spacing w:line="240" w:lineRule="auto"/>
                    <w:ind w:left="-105" w:leftChars="-50" w:right="-105" w:rightChars="-50" w:firstLine="0" w:firstLineChars="0"/>
                    <w:jc w:val="center"/>
                    <w:rPr>
                      <w:b w:val="0"/>
                      <w:bCs w:val="0"/>
                      <w:color w:val="auto"/>
                      <w:sz w:val="21"/>
                      <w:szCs w:val="21"/>
                    </w:rPr>
                  </w:pPr>
                  <w:r>
                    <w:rPr>
                      <w:rFonts w:hint="eastAsia"/>
                      <w:b w:val="0"/>
                      <w:bCs w:val="0"/>
                      <w:color w:val="auto"/>
                      <w:sz w:val="21"/>
                      <w:szCs w:val="21"/>
                    </w:rPr>
                    <w:t>区县</w:t>
                  </w:r>
                </w:p>
              </w:tc>
              <w:tc>
                <w:tcPr>
                  <w:tcW w:w="574" w:type="pct"/>
                  <w:shd w:val="clear" w:color="auto" w:fill="auto"/>
                  <w:noWrap w:val="0"/>
                  <w:vAlign w:val="center"/>
                </w:tcPr>
                <w:p>
                  <w:pPr>
                    <w:tabs>
                      <w:tab w:val="left" w:pos="265"/>
                    </w:tabs>
                    <w:spacing w:line="240" w:lineRule="auto"/>
                    <w:ind w:left="-105" w:leftChars="-50" w:right="-105" w:rightChars="-50" w:firstLine="0" w:firstLineChars="0"/>
                    <w:jc w:val="center"/>
                    <w:rPr>
                      <w:rFonts w:hint="eastAsia"/>
                      <w:b w:val="0"/>
                      <w:bCs w:val="0"/>
                      <w:color w:val="auto"/>
                      <w:sz w:val="21"/>
                      <w:szCs w:val="21"/>
                    </w:rPr>
                  </w:pPr>
                  <w:r>
                    <w:rPr>
                      <w:rFonts w:hint="eastAsia"/>
                      <w:b w:val="0"/>
                      <w:bCs w:val="0"/>
                      <w:color w:val="auto"/>
                      <w:sz w:val="21"/>
                      <w:szCs w:val="21"/>
                    </w:rPr>
                    <w:t>环境管控单元名称</w:t>
                  </w:r>
                </w:p>
              </w:tc>
              <w:tc>
                <w:tcPr>
                  <w:tcW w:w="462" w:type="pct"/>
                  <w:shd w:val="clear" w:color="auto" w:fill="auto"/>
                  <w:noWrap w:val="0"/>
                  <w:vAlign w:val="center"/>
                </w:tcPr>
                <w:p>
                  <w:pPr>
                    <w:tabs>
                      <w:tab w:val="left" w:pos="265"/>
                    </w:tabs>
                    <w:spacing w:line="240" w:lineRule="auto"/>
                    <w:ind w:left="-105" w:leftChars="-50" w:right="-105" w:rightChars="-50" w:firstLine="0" w:firstLineChars="0"/>
                    <w:jc w:val="center"/>
                    <w:rPr>
                      <w:rFonts w:hint="eastAsia"/>
                      <w:b w:val="0"/>
                      <w:bCs w:val="0"/>
                      <w:color w:val="auto"/>
                      <w:sz w:val="21"/>
                      <w:szCs w:val="21"/>
                    </w:rPr>
                  </w:pPr>
                  <w:r>
                    <w:rPr>
                      <w:rFonts w:hint="eastAsia"/>
                      <w:b w:val="0"/>
                      <w:bCs w:val="0"/>
                      <w:color w:val="auto"/>
                      <w:sz w:val="21"/>
                      <w:szCs w:val="21"/>
                    </w:rPr>
                    <w:t>单元要素属性</w:t>
                  </w:r>
                </w:p>
              </w:tc>
              <w:tc>
                <w:tcPr>
                  <w:tcW w:w="438" w:type="pct"/>
                  <w:shd w:val="clear" w:color="auto" w:fill="auto"/>
                  <w:noWrap w:val="0"/>
                  <w:vAlign w:val="center"/>
                </w:tcPr>
                <w:p>
                  <w:pPr>
                    <w:tabs>
                      <w:tab w:val="left" w:pos="265"/>
                    </w:tabs>
                    <w:spacing w:line="240" w:lineRule="auto"/>
                    <w:ind w:left="-105" w:leftChars="-50" w:right="-105" w:rightChars="-50" w:firstLine="0" w:firstLineChars="0"/>
                    <w:jc w:val="center"/>
                    <w:rPr>
                      <w:b w:val="0"/>
                      <w:bCs w:val="0"/>
                      <w:color w:val="auto"/>
                      <w:sz w:val="21"/>
                      <w:szCs w:val="21"/>
                    </w:rPr>
                  </w:pPr>
                  <w:r>
                    <w:rPr>
                      <w:rFonts w:hint="eastAsia"/>
                      <w:b w:val="0"/>
                      <w:bCs w:val="0"/>
                      <w:color w:val="auto"/>
                      <w:sz w:val="21"/>
                      <w:szCs w:val="21"/>
                    </w:rPr>
                    <w:t>管控单元分类</w:t>
                  </w:r>
                </w:p>
              </w:tc>
              <w:tc>
                <w:tcPr>
                  <w:tcW w:w="1277" w:type="pct"/>
                  <w:gridSpan w:val="2"/>
                  <w:shd w:val="clear" w:color="auto" w:fill="auto"/>
                  <w:noWrap w:val="0"/>
                  <w:vAlign w:val="center"/>
                </w:tcPr>
                <w:p>
                  <w:pPr>
                    <w:tabs>
                      <w:tab w:val="left" w:pos="265"/>
                    </w:tabs>
                    <w:spacing w:line="240" w:lineRule="auto"/>
                    <w:ind w:left="-105" w:leftChars="-50" w:right="-105" w:rightChars="-50" w:firstLine="0" w:firstLineChars="0"/>
                    <w:jc w:val="center"/>
                    <w:rPr>
                      <w:rFonts w:hint="eastAsia"/>
                      <w:b w:val="0"/>
                      <w:bCs w:val="0"/>
                      <w:color w:val="auto"/>
                      <w:sz w:val="21"/>
                      <w:szCs w:val="21"/>
                    </w:rPr>
                  </w:pPr>
                  <w:r>
                    <w:rPr>
                      <w:rFonts w:hint="eastAsia"/>
                      <w:b w:val="0"/>
                      <w:bCs w:val="0"/>
                      <w:color w:val="auto"/>
                      <w:sz w:val="21"/>
                      <w:szCs w:val="21"/>
                    </w:rPr>
                    <w:t>管控要求</w:t>
                  </w:r>
                </w:p>
              </w:tc>
              <w:tc>
                <w:tcPr>
                  <w:tcW w:w="1284" w:type="pct"/>
                  <w:shd w:val="clear" w:color="auto" w:fill="auto"/>
                  <w:noWrap w:val="0"/>
                  <w:vAlign w:val="center"/>
                </w:tcPr>
                <w:p>
                  <w:pPr>
                    <w:tabs>
                      <w:tab w:val="left" w:pos="265"/>
                    </w:tabs>
                    <w:spacing w:line="240" w:lineRule="auto"/>
                    <w:ind w:left="-105" w:leftChars="-50" w:right="-105" w:rightChars="-50" w:firstLine="0" w:firstLineChars="0"/>
                    <w:jc w:val="center"/>
                    <w:rPr>
                      <w:b w:val="0"/>
                      <w:bCs w:val="0"/>
                      <w:color w:val="auto"/>
                      <w:sz w:val="21"/>
                      <w:szCs w:val="21"/>
                    </w:rPr>
                  </w:pPr>
                  <w:r>
                    <w:rPr>
                      <w:rFonts w:hint="eastAsia"/>
                      <w:b w:val="0"/>
                      <w:bCs w:val="0"/>
                      <w:color w:val="auto"/>
                      <w:sz w:val="21"/>
                      <w:szCs w:val="21"/>
                    </w:rPr>
                    <w:t>本项目建设情况</w:t>
                  </w:r>
                </w:p>
              </w:tc>
              <w:tc>
                <w:tcPr>
                  <w:tcW w:w="284" w:type="pct"/>
                  <w:shd w:val="clear" w:color="auto" w:fill="auto"/>
                  <w:noWrap w:val="0"/>
                  <w:vAlign w:val="center"/>
                </w:tcPr>
                <w:p>
                  <w:pPr>
                    <w:tabs>
                      <w:tab w:val="left" w:pos="265"/>
                    </w:tabs>
                    <w:spacing w:line="240" w:lineRule="auto"/>
                    <w:ind w:left="-105" w:leftChars="-50" w:right="-105" w:rightChars="-50" w:firstLine="0" w:firstLineChars="0"/>
                    <w:jc w:val="center"/>
                    <w:rPr>
                      <w:b w:val="0"/>
                      <w:bCs w:val="0"/>
                      <w:color w:val="auto"/>
                      <w:sz w:val="21"/>
                      <w:szCs w:val="21"/>
                    </w:rPr>
                  </w:pPr>
                  <w:r>
                    <w:rPr>
                      <w:rFonts w:hint="eastAsia"/>
                      <w:b w:val="0"/>
                      <w:bCs w:val="0"/>
                      <w:color w:val="auto"/>
                      <w:sz w:val="21"/>
                      <w:szCs w:val="21"/>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 w:type="pct"/>
                  <w:shd w:val="clear" w:color="auto" w:fill="auto"/>
                  <w:noWrap w:val="0"/>
                  <w:vAlign w:val="center"/>
                </w:tcPr>
                <w:p>
                  <w:pPr>
                    <w:tabs>
                      <w:tab w:val="left" w:pos="265"/>
                    </w:tabs>
                    <w:spacing w:line="240" w:lineRule="auto"/>
                    <w:ind w:left="-105" w:leftChars="-50" w:right="-105" w:rightChars="-50" w:firstLine="0" w:firstLineChars="0"/>
                    <w:jc w:val="center"/>
                    <w:rPr>
                      <w:color w:val="auto"/>
                      <w:sz w:val="21"/>
                      <w:szCs w:val="21"/>
                    </w:rPr>
                  </w:pPr>
                  <w:r>
                    <w:rPr>
                      <w:rFonts w:hint="eastAsia"/>
                      <w:color w:val="auto"/>
                      <w:sz w:val="21"/>
                      <w:szCs w:val="21"/>
                    </w:rPr>
                    <w:t>1</w:t>
                  </w:r>
                </w:p>
              </w:tc>
              <w:tc>
                <w:tcPr>
                  <w:tcW w:w="224" w:type="pct"/>
                  <w:shd w:val="clear" w:color="auto" w:fill="auto"/>
                  <w:noWrap w:val="0"/>
                  <w:vAlign w:val="center"/>
                </w:tcPr>
                <w:p>
                  <w:pPr>
                    <w:spacing w:line="240" w:lineRule="auto"/>
                    <w:ind w:left="-105" w:leftChars="-50" w:right="-105" w:rightChars="-50" w:firstLine="0" w:firstLineChars="0"/>
                    <w:jc w:val="center"/>
                    <w:rPr>
                      <w:color w:val="auto"/>
                      <w:sz w:val="21"/>
                      <w:szCs w:val="21"/>
                    </w:rPr>
                  </w:pPr>
                  <w:r>
                    <w:rPr>
                      <w:bCs/>
                      <w:color w:val="auto"/>
                      <w:sz w:val="21"/>
                      <w:szCs w:val="21"/>
                      <w:lang w:bidi="ar"/>
                    </w:rPr>
                    <w:t>榆林市</w:t>
                  </w:r>
                </w:p>
              </w:tc>
              <w:tc>
                <w:tcPr>
                  <w:tcW w:w="241" w:type="pct"/>
                  <w:shd w:val="clear" w:color="auto" w:fill="auto"/>
                  <w:noWrap w:val="0"/>
                  <w:vAlign w:val="center"/>
                </w:tcPr>
                <w:p>
                  <w:pPr>
                    <w:spacing w:line="240" w:lineRule="auto"/>
                    <w:ind w:left="-105" w:leftChars="-50" w:right="-105" w:rightChars="-50" w:firstLine="0" w:firstLineChars="0"/>
                    <w:jc w:val="center"/>
                    <w:rPr>
                      <w:rFonts w:hint="eastAsia" w:eastAsia="宋体"/>
                      <w:bCs/>
                      <w:color w:val="auto"/>
                      <w:sz w:val="21"/>
                      <w:szCs w:val="21"/>
                      <w:lang w:val="en-US" w:eastAsia="zh-CN" w:bidi="ar"/>
                    </w:rPr>
                  </w:pPr>
                  <w:r>
                    <w:rPr>
                      <w:rFonts w:hint="eastAsia"/>
                      <w:bCs/>
                      <w:color w:val="auto"/>
                      <w:sz w:val="21"/>
                      <w:szCs w:val="21"/>
                      <w:lang w:val="en-US" w:eastAsia="zh-CN" w:bidi="ar"/>
                    </w:rPr>
                    <w:t>靖</w:t>
                  </w:r>
                </w:p>
                <w:p>
                  <w:pPr>
                    <w:spacing w:line="240" w:lineRule="auto"/>
                    <w:ind w:left="-105" w:leftChars="-50" w:right="-105" w:rightChars="-50" w:firstLine="0" w:firstLineChars="0"/>
                    <w:jc w:val="center"/>
                    <w:rPr>
                      <w:bCs/>
                      <w:color w:val="auto"/>
                      <w:sz w:val="21"/>
                      <w:szCs w:val="21"/>
                      <w:lang w:bidi="ar"/>
                    </w:rPr>
                  </w:pPr>
                  <w:r>
                    <w:rPr>
                      <w:bCs/>
                      <w:color w:val="auto"/>
                      <w:sz w:val="21"/>
                      <w:szCs w:val="21"/>
                      <w:lang w:bidi="ar"/>
                    </w:rPr>
                    <w:t>边</w:t>
                  </w:r>
                </w:p>
                <w:p>
                  <w:pPr>
                    <w:spacing w:line="240" w:lineRule="auto"/>
                    <w:ind w:left="-105" w:leftChars="-50" w:right="-105" w:rightChars="-50" w:firstLine="0" w:firstLineChars="0"/>
                    <w:jc w:val="center"/>
                    <w:rPr>
                      <w:color w:val="auto"/>
                      <w:sz w:val="21"/>
                      <w:szCs w:val="21"/>
                    </w:rPr>
                  </w:pPr>
                  <w:r>
                    <w:rPr>
                      <w:bCs/>
                      <w:color w:val="auto"/>
                      <w:sz w:val="21"/>
                      <w:szCs w:val="21"/>
                      <w:lang w:bidi="ar"/>
                    </w:rPr>
                    <w:t>县</w:t>
                  </w:r>
                </w:p>
              </w:tc>
              <w:tc>
                <w:tcPr>
                  <w:tcW w:w="574" w:type="pct"/>
                  <w:shd w:val="clear" w:color="auto" w:fill="auto"/>
                  <w:noWrap w:val="0"/>
                  <w:vAlign w:val="center"/>
                </w:tcPr>
                <w:p>
                  <w:pPr>
                    <w:tabs>
                      <w:tab w:val="left" w:pos="265"/>
                    </w:tabs>
                    <w:spacing w:line="240" w:lineRule="auto"/>
                    <w:ind w:left="-105" w:leftChars="-50" w:right="-105" w:rightChars="-50" w:firstLine="0" w:firstLineChars="0"/>
                    <w:jc w:val="center"/>
                    <w:rPr>
                      <w:rFonts w:hint="eastAsia"/>
                      <w:color w:val="auto"/>
                      <w:sz w:val="21"/>
                      <w:szCs w:val="21"/>
                    </w:rPr>
                  </w:pPr>
                  <w:r>
                    <w:rPr>
                      <w:rFonts w:hint="eastAsia"/>
                      <w:color w:val="auto"/>
                      <w:sz w:val="21"/>
                      <w:szCs w:val="21"/>
                    </w:rPr>
                    <w:t>一般管控单元</w:t>
                  </w:r>
                </w:p>
              </w:tc>
              <w:tc>
                <w:tcPr>
                  <w:tcW w:w="462" w:type="pct"/>
                  <w:shd w:val="clear" w:color="auto" w:fill="auto"/>
                  <w:noWrap w:val="0"/>
                  <w:vAlign w:val="center"/>
                </w:tcPr>
                <w:p>
                  <w:pPr>
                    <w:tabs>
                      <w:tab w:val="left" w:pos="265"/>
                    </w:tabs>
                    <w:spacing w:line="240" w:lineRule="auto"/>
                    <w:ind w:left="-105" w:leftChars="-50" w:right="-105" w:rightChars="-50" w:firstLine="0" w:firstLineChars="0"/>
                    <w:jc w:val="center"/>
                    <w:rPr>
                      <w:rFonts w:hint="eastAsia"/>
                      <w:color w:val="auto"/>
                      <w:sz w:val="21"/>
                      <w:szCs w:val="21"/>
                    </w:rPr>
                  </w:pPr>
                  <w:r>
                    <w:rPr>
                      <w:rFonts w:hint="eastAsia"/>
                      <w:color w:val="auto"/>
                      <w:sz w:val="21"/>
                      <w:szCs w:val="21"/>
                    </w:rPr>
                    <w:t>/</w:t>
                  </w:r>
                </w:p>
              </w:tc>
              <w:tc>
                <w:tcPr>
                  <w:tcW w:w="438" w:type="pct"/>
                  <w:shd w:val="clear" w:color="auto" w:fill="auto"/>
                  <w:noWrap w:val="0"/>
                  <w:vAlign w:val="center"/>
                </w:tcPr>
                <w:p>
                  <w:pPr>
                    <w:tabs>
                      <w:tab w:val="left" w:pos="265"/>
                    </w:tabs>
                    <w:spacing w:line="240" w:lineRule="auto"/>
                    <w:ind w:left="-105" w:leftChars="-50" w:right="-105" w:rightChars="-50" w:firstLine="0" w:firstLineChars="0"/>
                    <w:jc w:val="center"/>
                    <w:rPr>
                      <w:color w:val="auto"/>
                      <w:sz w:val="21"/>
                      <w:szCs w:val="21"/>
                    </w:rPr>
                  </w:pPr>
                  <w:r>
                    <w:rPr>
                      <w:rFonts w:hint="eastAsia"/>
                      <w:color w:val="auto"/>
                      <w:sz w:val="21"/>
                      <w:szCs w:val="21"/>
                    </w:rPr>
                    <w:t>一般管控单元</w:t>
                  </w:r>
                </w:p>
              </w:tc>
              <w:tc>
                <w:tcPr>
                  <w:tcW w:w="279" w:type="pct"/>
                  <w:shd w:val="clear" w:color="auto" w:fill="auto"/>
                  <w:noWrap w:val="0"/>
                  <w:vAlign w:val="center"/>
                </w:tcPr>
                <w:p>
                  <w:pPr>
                    <w:tabs>
                      <w:tab w:val="left" w:pos="265"/>
                    </w:tabs>
                    <w:spacing w:line="240" w:lineRule="auto"/>
                    <w:ind w:left="-105" w:leftChars="-50" w:right="-105" w:rightChars="-50" w:firstLine="0" w:firstLineChars="0"/>
                    <w:jc w:val="center"/>
                    <w:rPr>
                      <w:rFonts w:hint="eastAsia"/>
                      <w:color w:val="auto"/>
                      <w:sz w:val="21"/>
                      <w:szCs w:val="21"/>
                    </w:rPr>
                  </w:pPr>
                  <w:r>
                    <w:rPr>
                      <w:color w:val="auto"/>
                      <w:sz w:val="21"/>
                      <w:szCs w:val="21"/>
                    </w:rPr>
                    <w:t>空间布局约束</w:t>
                  </w:r>
                </w:p>
              </w:tc>
              <w:tc>
                <w:tcPr>
                  <w:tcW w:w="997" w:type="pct"/>
                  <w:shd w:val="clear" w:color="auto" w:fill="auto"/>
                  <w:noWrap w:val="0"/>
                  <w:vAlign w:val="center"/>
                </w:tcPr>
                <w:p>
                  <w:pPr>
                    <w:tabs>
                      <w:tab w:val="left" w:pos="265"/>
                    </w:tabs>
                    <w:spacing w:line="240" w:lineRule="auto"/>
                    <w:ind w:left="-105" w:leftChars="-50" w:right="-105" w:rightChars="-50" w:firstLine="0" w:firstLineChars="0"/>
                    <w:jc w:val="center"/>
                    <w:rPr>
                      <w:rFonts w:hint="eastAsia"/>
                      <w:color w:val="auto"/>
                      <w:sz w:val="21"/>
                      <w:szCs w:val="21"/>
                    </w:rPr>
                  </w:pPr>
                  <w:r>
                    <w:rPr>
                      <w:rFonts w:hint="eastAsia"/>
                      <w:color w:val="auto"/>
                      <w:sz w:val="21"/>
                      <w:szCs w:val="21"/>
                    </w:rPr>
                    <w:t>一般管控区内排放各类污染物的生产、生活活动，须严格遵守相关法律、法规、标准和政策文件的要求。</w:t>
                  </w:r>
                </w:p>
              </w:tc>
              <w:tc>
                <w:tcPr>
                  <w:tcW w:w="1284" w:type="pct"/>
                  <w:shd w:val="clear" w:color="auto" w:fill="auto"/>
                  <w:noWrap w:val="0"/>
                  <w:vAlign w:val="center"/>
                </w:tcPr>
                <w:p>
                  <w:pPr>
                    <w:tabs>
                      <w:tab w:val="left" w:pos="265"/>
                    </w:tabs>
                    <w:spacing w:line="240" w:lineRule="auto"/>
                    <w:ind w:left="-105" w:leftChars="-50" w:right="-105" w:rightChars="-50" w:firstLine="0" w:firstLineChars="0"/>
                    <w:jc w:val="center"/>
                    <w:rPr>
                      <w:color w:val="auto"/>
                      <w:sz w:val="21"/>
                      <w:szCs w:val="21"/>
                    </w:rPr>
                  </w:pPr>
                  <w:r>
                    <w:rPr>
                      <w:bCs/>
                      <w:snapToGrid w:val="0"/>
                      <w:color w:val="auto"/>
                      <w:kern w:val="0"/>
                      <w:sz w:val="21"/>
                      <w:szCs w:val="21"/>
                    </w:rPr>
                    <w:t>本</w:t>
                  </w:r>
                  <w:r>
                    <w:rPr>
                      <w:rFonts w:hint="eastAsia"/>
                      <w:color w:val="auto"/>
                      <w:sz w:val="21"/>
                      <w:szCs w:val="21"/>
                    </w:rPr>
                    <w:t>项目利用现有</w:t>
                  </w:r>
                  <w:r>
                    <w:rPr>
                      <w:rFonts w:hint="eastAsia"/>
                      <w:color w:val="auto"/>
                      <w:sz w:val="21"/>
                      <w:szCs w:val="21"/>
                      <w:lang w:val="en-US" w:eastAsia="zh-CN"/>
                    </w:rPr>
                    <w:t>井场内</w:t>
                  </w:r>
                  <w:r>
                    <w:rPr>
                      <w:rFonts w:hint="eastAsia"/>
                      <w:color w:val="auto"/>
                      <w:sz w:val="21"/>
                      <w:szCs w:val="21"/>
                    </w:rPr>
                    <w:t>进行</w:t>
                  </w:r>
                  <w:r>
                    <w:rPr>
                      <w:rFonts w:hint="eastAsia"/>
                      <w:color w:val="auto"/>
                      <w:sz w:val="21"/>
                      <w:szCs w:val="21"/>
                      <w:lang w:val="en-US" w:eastAsia="zh-CN"/>
                    </w:rPr>
                    <w:t>建设</w:t>
                  </w:r>
                  <w:r>
                    <w:rPr>
                      <w:rFonts w:hint="eastAsia"/>
                      <w:color w:val="auto"/>
                      <w:sz w:val="21"/>
                      <w:szCs w:val="21"/>
                    </w:rPr>
                    <w:t>，不新增用地，在采取各项污染防治措施后，污染可达标排放，固废可妥善处置，满足相关法律、法规、标准和政策文件的要求。</w:t>
                  </w:r>
                </w:p>
              </w:tc>
              <w:tc>
                <w:tcPr>
                  <w:tcW w:w="284" w:type="pct"/>
                  <w:shd w:val="clear" w:color="auto" w:fill="auto"/>
                  <w:noWrap w:val="0"/>
                  <w:vAlign w:val="center"/>
                </w:tcPr>
                <w:p>
                  <w:pPr>
                    <w:tabs>
                      <w:tab w:val="left" w:pos="265"/>
                    </w:tabs>
                    <w:spacing w:line="240" w:lineRule="auto"/>
                    <w:ind w:left="-105" w:leftChars="-50" w:right="-105" w:rightChars="-50" w:firstLine="0" w:firstLineChars="0"/>
                    <w:jc w:val="center"/>
                    <w:rPr>
                      <w:color w:val="auto"/>
                      <w:sz w:val="21"/>
                      <w:szCs w:val="21"/>
                    </w:rPr>
                  </w:pPr>
                  <w:r>
                    <w:rPr>
                      <w:rFonts w:hint="eastAsia"/>
                      <w:color w:val="auto"/>
                      <w:sz w:val="21"/>
                      <w:szCs w:val="21"/>
                    </w:rPr>
                    <w:t>符合</w:t>
                  </w:r>
                </w:p>
              </w:tc>
            </w:tr>
          </w:tbl>
          <w:p>
            <w:pPr>
              <w:keepNext w:val="0"/>
              <w:keepLines w:val="0"/>
              <w:pageBreakBefore w:val="0"/>
              <w:widowControl w:val="0"/>
              <w:kinsoku/>
              <w:wordWrap/>
              <w:overflowPunct/>
              <w:topLinePunct w:val="0"/>
              <w:autoSpaceDE/>
              <w:autoSpaceDN/>
              <w:bidi w:val="0"/>
              <w:adjustRightInd/>
              <w:snapToGrid/>
              <w:spacing w:before="157" w:beforeLines="50" w:line="360" w:lineRule="auto"/>
              <w:ind w:firstLine="482"/>
              <w:textAlignment w:val="auto"/>
              <w:rPr>
                <w:rFonts w:hint="eastAsia" w:ascii="宋体" w:hAnsi="宋体" w:eastAsia="宋体" w:cs="宋体"/>
                <w:color w:val="auto"/>
                <w:kern w:val="0"/>
                <w:sz w:val="24"/>
                <w:szCs w:val="20"/>
                <w:lang w:val="en-US" w:eastAsia="zh-CN" w:bidi="ar-SA"/>
              </w:rPr>
            </w:pPr>
            <w:r>
              <w:rPr>
                <w:rFonts w:hint="eastAsia" w:ascii="宋体" w:hAnsi="宋体" w:eastAsia="宋体" w:cs="宋体"/>
                <w:color w:val="auto"/>
                <w:kern w:val="0"/>
                <w:sz w:val="24"/>
                <w:szCs w:val="20"/>
                <w:lang w:val="en-US" w:eastAsia="zh-CN" w:bidi="ar-SA"/>
              </w:rPr>
              <w:fldChar w:fldCharType="begin"/>
            </w:r>
            <w:r>
              <w:rPr>
                <w:rFonts w:hint="eastAsia" w:ascii="宋体" w:hAnsi="宋体" w:eastAsia="宋体" w:cs="宋体"/>
                <w:color w:val="auto"/>
                <w:kern w:val="0"/>
                <w:sz w:val="24"/>
                <w:szCs w:val="20"/>
                <w:lang w:val="en-US" w:eastAsia="zh-CN" w:bidi="ar-SA"/>
              </w:rPr>
              <w:instrText xml:space="preserve"> = 3 \* GB3 \* MERGEFORMAT </w:instrText>
            </w:r>
            <w:r>
              <w:rPr>
                <w:rFonts w:hint="eastAsia" w:ascii="宋体" w:hAnsi="宋体" w:eastAsia="宋体" w:cs="宋体"/>
                <w:color w:val="auto"/>
                <w:kern w:val="0"/>
                <w:sz w:val="24"/>
                <w:szCs w:val="20"/>
                <w:lang w:val="en-US" w:eastAsia="zh-CN" w:bidi="ar-SA"/>
              </w:rPr>
              <w:fldChar w:fldCharType="separate"/>
            </w:r>
            <w:r>
              <w:rPr>
                <w:rFonts w:hint="eastAsia" w:ascii="宋体" w:hAnsi="宋体" w:eastAsia="宋体" w:cs="宋体"/>
                <w:color w:val="auto"/>
                <w:kern w:val="0"/>
                <w:sz w:val="24"/>
                <w:szCs w:val="20"/>
                <w:lang w:val="en-US" w:eastAsia="zh-CN" w:bidi="ar-SA"/>
              </w:rPr>
              <w:t>③</w:t>
            </w:r>
            <w:r>
              <w:rPr>
                <w:rFonts w:hint="eastAsia" w:ascii="宋体" w:hAnsi="宋体" w:eastAsia="宋体" w:cs="宋体"/>
                <w:color w:val="auto"/>
                <w:kern w:val="0"/>
                <w:sz w:val="24"/>
                <w:szCs w:val="20"/>
                <w:lang w:val="en-US" w:eastAsia="zh-CN" w:bidi="ar-SA"/>
              </w:rPr>
              <w:fldChar w:fldCharType="end"/>
            </w:r>
            <w:r>
              <w:rPr>
                <w:rFonts w:hint="eastAsia" w:ascii="宋体" w:hAnsi="宋体" w:cs="宋体"/>
                <w:color w:val="auto"/>
                <w:kern w:val="0"/>
                <w:sz w:val="24"/>
                <w:szCs w:val="20"/>
                <w:lang w:val="en-US" w:eastAsia="zh-CN" w:bidi="ar-SA"/>
              </w:rPr>
              <w:t xml:space="preserve"> </w:t>
            </w:r>
            <w:r>
              <w:rPr>
                <w:rFonts w:hint="eastAsia" w:ascii="宋体" w:hAnsi="宋体" w:eastAsia="宋体" w:cs="宋体"/>
                <w:color w:val="auto"/>
                <w:kern w:val="0"/>
                <w:sz w:val="24"/>
                <w:szCs w:val="20"/>
                <w:lang w:val="en-US" w:eastAsia="zh-CN" w:bidi="ar-SA"/>
              </w:rPr>
              <w:t>一说明</w:t>
            </w:r>
          </w:p>
          <w:p>
            <w:pPr>
              <w:pStyle w:val="18"/>
              <w:keepNext w:val="0"/>
              <w:keepLines w:val="0"/>
              <w:pageBreakBefore w:val="0"/>
              <w:widowControl w:val="0"/>
              <w:kinsoku/>
              <w:wordWrap/>
              <w:overflowPunct/>
              <w:topLinePunct w:val="0"/>
              <w:autoSpaceDE/>
              <w:autoSpaceDN/>
              <w:bidi w:val="0"/>
              <w:adjustRightInd/>
              <w:snapToGrid/>
              <w:spacing w:after="0" w:line="360" w:lineRule="auto"/>
              <w:ind w:left="0" w:leftChars="0" w:firstLine="480"/>
              <w:textAlignment w:val="auto"/>
              <w:rPr>
                <w:rFonts w:hint="eastAsia" w:ascii="宋体" w:hAnsi="宋体" w:eastAsia="宋体" w:cs="宋体"/>
                <w:color w:val="auto"/>
              </w:rPr>
            </w:pPr>
            <w:r>
              <w:rPr>
                <w:rFonts w:hint="eastAsia" w:ascii="宋体" w:hAnsi="宋体" w:eastAsia="宋体" w:cs="宋体"/>
                <w:color w:val="auto"/>
              </w:rPr>
              <w:t>本项目位于榆林市“三线一单”生态环境分区中一般管控单元，对照表1-1中的管控要求，项目建设符合榆林市生态环境准入清单中一般管控单元的环境分区管控的要求。</w:t>
            </w:r>
          </w:p>
          <w:p>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eastAsia" w:ascii="宋体" w:hAnsi="宋体" w:eastAsia="宋体" w:cs="宋体"/>
                <w:color w:val="auto"/>
                <w:kern w:val="0"/>
                <w:sz w:val="24"/>
                <w:szCs w:val="20"/>
                <w:lang w:val="en-US" w:eastAsia="zh-CN" w:bidi="ar-SA"/>
              </w:rPr>
            </w:pPr>
            <w:r>
              <w:rPr>
                <w:rFonts w:hint="eastAsia" w:ascii="宋体" w:hAnsi="宋体" w:eastAsia="宋体" w:cs="宋体"/>
                <w:color w:val="auto"/>
                <w:kern w:val="0"/>
                <w:sz w:val="24"/>
                <w:szCs w:val="20"/>
                <w:lang w:val="en-US" w:eastAsia="zh-CN" w:bidi="ar-SA"/>
              </w:rPr>
              <w:t>（2）与榆林市“三线一单”的符合性分析</w:t>
            </w:r>
          </w:p>
          <w:p>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eastAsia" w:ascii="宋体" w:hAnsi="宋体" w:eastAsia="宋体" w:cs="宋体"/>
                <w:color w:val="auto"/>
                <w:kern w:val="0"/>
                <w:sz w:val="24"/>
                <w:szCs w:val="20"/>
                <w:lang w:val="en-US" w:eastAsia="zh-CN" w:bidi="ar-SA"/>
              </w:rPr>
            </w:pPr>
            <w:r>
              <w:rPr>
                <w:rFonts w:hint="eastAsia" w:ascii="宋体" w:hAnsi="宋体" w:eastAsia="宋体" w:cs="宋体"/>
                <w:color w:val="auto"/>
                <w:kern w:val="0"/>
                <w:sz w:val="24"/>
                <w:szCs w:val="20"/>
                <w:lang w:val="en-US" w:eastAsia="zh-CN" w:bidi="ar-SA"/>
              </w:rPr>
              <w:t>本项目与榆林市“三线一单”符合性分析内容见表1-2。</w:t>
            </w:r>
          </w:p>
          <w:p>
            <w:pPr>
              <w:pStyle w:val="45"/>
              <w:snapToGrid w:val="0"/>
              <w:ind w:firstLine="422"/>
              <w:rPr>
                <w:color w:val="auto"/>
              </w:rPr>
            </w:pPr>
            <w:r>
              <w:rPr>
                <w:rFonts w:ascii="Times New Roman" w:hAnsi="Times New Roman"/>
                <w:b/>
                <w:bCs/>
                <w:color w:val="auto"/>
                <w:kern w:val="24"/>
                <w:szCs w:val="21"/>
              </w:rPr>
              <w:t>表</w:t>
            </w:r>
            <w:r>
              <w:rPr>
                <w:rFonts w:hint="eastAsia" w:ascii="Times New Roman" w:hAnsi="Times New Roman"/>
                <w:b/>
                <w:bCs/>
                <w:color w:val="auto"/>
                <w:kern w:val="24"/>
                <w:szCs w:val="21"/>
              </w:rPr>
              <w:t xml:space="preserve">1-2 </w:t>
            </w:r>
            <w:r>
              <w:rPr>
                <w:rFonts w:ascii="Times New Roman" w:hAnsi="Times New Roman"/>
                <w:b/>
                <w:bCs/>
                <w:color w:val="auto"/>
                <w:kern w:val="24"/>
                <w:szCs w:val="21"/>
              </w:rPr>
              <w:t xml:space="preserve">  </w:t>
            </w:r>
            <w:r>
              <w:rPr>
                <w:rFonts w:hint="eastAsia" w:ascii="Times New Roman" w:hAnsi="Times New Roman"/>
                <w:b/>
                <w:bCs/>
                <w:color w:val="auto"/>
                <w:kern w:val="24"/>
                <w:szCs w:val="21"/>
              </w:rPr>
              <w:t xml:space="preserve">            </w:t>
            </w:r>
            <w:r>
              <w:rPr>
                <w:rFonts w:ascii="Times New Roman" w:hAnsi="Times New Roman"/>
                <w:b/>
                <w:bCs/>
                <w:color w:val="auto"/>
                <w:kern w:val="24"/>
                <w:szCs w:val="21"/>
              </w:rPr>
              <w:t>项目</w:t>
            </w:r>
            <w:r>
              <w:rPr>
                <w:rFonts w:hint="eastAsia"/>
                <w:b/>
                <w:bCs/>
                <w:color w:val="auto"/>
                <w:szCs w:val="21"/>
              </w:rPr>
              <w:t>与三线一单符合性分析</w:t>
            </w:r>
          </w:p>
          <w:tbl>
            <w:tblPr>
              <w:tblStyle w:val="19"/>
              <w:tblW w:w="78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4"/>
              <w:gridCol w:w="5262"/>
              <w:gridCol w:w="8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664" w:type="dxa"/>
                  <w:vAlign w:val="center"/>
                </w:tcPr>
                <w:p>
                  <w:pPr>
                    <w:pStyle w:val="45"/>
                    <w:ind w:firstLine="0" w:firstLineChars="0"/>
                    <w:jc w:val="center"/>
                    <w:rPr>
                      <w:rFonts w:ascii="Times New Roman" w:hAnsi="Times New Roman"/>
                      <w:color w:val="auto"/>
                      <w:kern w:val="24"/>
                      <w:szCs w:val="21"/>
                    </w:rPr>
                  </w:pPr>
                  <w:r>
                    <w:rPr>
                      <w:rFonts w:hint="eastAsia" w:cs="宋体"/>
                      <w:color w:val="auto"/>
                      <w:kern w:val="24"/>
                      <w:szCs w:val="21"/>
                    </w:rPr>
                    <w:t>“三线一单”</w:t>
                  </w:r>
                </w:p>
              </w:tc>
              <w:tc>
                <w:tcPr>
                  <w:tcW w:w="5262" w:type="dxa"/>
                  <w:vAlign w:val="center"/>
                </w:tcPr>
                <w:p>
                  <w:pPr>
                    <w:pStyle w:val="45"/>
                    <w:ind w:firstLine="0" w:firstLineChars="0"/>
                    <w:jc w:val="center"/>
                    <w:rPr>
                      <w:rFonts w:ascii="Times New Roman" w:hAnsi="Times New Roman"/>
                      <w:color w:val="auto"/>
                      <w:kern w:val="24"/>
                      <w:szCs w:val="21"/>
                    </w:rPr>
                  </w:pPr>
                  <w:r>
                    <w:rPr>
                      <w:rFonts w:ascii="Times New Roman" w:hAnsi="Times New Roman"/>
                      <w:color w:val="auto"/>
                      <w:kern w:val="24"/>
                      <w:szCs w:val="21"/>
                    </w:rPr>
                    <w:t>本项目情况</w:t>
                  </w:r>
                </w:p>
              </w:tc>
              <w:tc>
                <w:tcPr>
                  <w:tcW w:w="892" w:type="dxa"/>
                  <w:vAlign w:val="center"/>
                </w:tcPr>
                <w:p>
                  <w:pPr>
                    <w:pStyle w:val="45"/>
                    <w:ind w:firstLine="0" w:firstLineChars="0"/>
                    <w:jc w:val="center"/>
                    <w:rPr>
                      <w:rFonts w:ascii="Times New Roman" w:hAnsi="Times New Roman"/>
                      <w:color w:val="auto"/>
                      <w:kern w:val="24"/>
                      <w:szCs w:val="21"/>
                    </w:rPr>
                  </w:pPr>
                  <w:r>
                    <w:rPr>
                      <w:rFonts w:ascii="Times New Roman" w:hAnsi="Times New Roman"/>
                      <w:color w:val="auto"/>
                      <w:kern w:val="24"/>
                      <w:szCs w:val="21"/>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 w:hRule="atLeast"/>
                <w:jc w:val="center"/>
              </w:trPr>
              <w:tc>
                <w:tcPr>
                  <w:tcW w:w="1664" w:type="dxa"/>
                  <w:vAlign w:val="center"/>
                </w:tcPr>
                <w:p>
                  <w:pPr>
                    <w:pStyle w:val="45"/>
                    <w:ind w:firstLine="0" w:firstLineChars="0"/>
                    <w:jc w:val="center"/>
                    <w:rPr>
                      <w:rFonts w:ascii="Times New Roman" w:hAnsi="Times New Roman"/>
                      <w:color w:val="auto"/>
                      <w:kern w:val="24"/>
                      <w:szCs w:val="21"/>
                    </w:rPr>
                  </w:pPr>
                  <w:r>
                    <w:rPr>
                      <w:rFonts w:ascii="Times New Roman" w:hAnsi="Times New Roman"/>
                      <w:color w:val="auto"/>
                      <w:kern w:val="24"/>
                      <w:szCs w:val="21"/>
                    </w:rPr>
                    <w:t>生态保护红线</w:t>
                  </w:r>
                </w:p>
              </w:tc>
              <w:tc>
                <w:tcPr>
                  <w:tcW w:w="5262" w:type="dxa"/>
                  <w:vAlign w:val="center"/>
                </w:tcPr>
                <w:p>
                  <w:pPr>
                    <w:pStyle w:val="45"/>
                    <w:ind w:firstLine="0" w:firstLineChars="0"/>
                    <w:jc w:val="left"/>
                    <w:rPr>
                      <w:rFonts w:ascii="Times New Roman" w:hAnsi="Times New Roman"/>
                      <w:color w:val="auto"/>
                      <w:kern w:val="24"/>
                      <w:szCs w:val="21"/>
                    </w:rPr>
                  </w:pPr>
                  <w:r>
                    <w:rPr>
                      <w:rFonts w:hint="eastAsia" w:ascii="Times New Roman" w:hAnsi="Times New Roman"/>
                      <w:color w:val="auto"/>
                      <w:szCs w:val="21"/>
                    </w:rPr>
                    <w:t>项目位于榆林市靖边县小河镇，</w:t>
                  </w:r>
                  <w:r>
                    <w:rPr>
                      <w:bCs/>
                      <w:snapToGrid w:val="0"/>
                      <w:color w:val="auto"/>
                      <w:kern w:val="0"/>
                      <w:sz w:val="21"/>
                      <w:szCs w:val="21"/>
                    </w:rPr>
                    <w:t>本</w:t>
                  </w:r>
                  <w:r>
                    <w:rPr>
                      <w:rFonts w:hint="eastAsia"/>
                      <w:color w:val="auto"/>
                      <w:sz w:val="21"/>
                      <w:szCs w:val="21"/>
                    </w:rPr>
                    <w:t>项目利用现有</w:t>
                  </w:r>
                  <w:r>
                    <w:rPr>
                      <w:rFonts w:hint="eastAsia"/>
                      <w:color w:val="auto"/>
                      <w:sz w:val="21"/>
                      <w:szCs w:val="21"/>
                      <w:lang w:val="en-US" w:eastAsia="zh-CN"/>
                    </w:rPr>
                    <w:t>井场内</w:t>
                  </w:r>
                  <w:r>
                    <w:rPr>
                      <w:rFonts w:hint="eastAsia"/>
                      <w:color w:val="auto"/>
                      <w:sz w:val="21"/>
                      <w:szCs w:val="21"/>
                    </w:rPr>
                    <w:t>进行</w:t>
                  </w:r>
                  <w:r>
                    <w:rPr>
                      <w:rFonts w:hint="eastAsia"/>
                      <w:color w:val="auto"/>
                      <w:sz w:val="21"/>
                      <w:szCs w:val="21"/>
                      <w:lang w:val="en-US" w:eastAsia="zh-CN"/>
                    </w:rPr>
                    <w:t>建设</w:t>
                  </w:r>
                  <w:r>
                    <w:rPr>
                      <w:rFonts w:hint="eastAsia"/>
                      <w:color w:val="auto"/>
                      <w:sz w:val="21"/>
                      <w:szCs w:val="21"/>
                    </w:rPr>
                    <w:t>，不新增用地</w:t>
                  </w:r>
                  <w:r>
                    <w:rPr>
                      <w:rFonts w:hint="eastAsia"/>
                      <w:color w:val="auto"/>
                      <w:sz w:val="21"/>
                      <w:szCs w:val="21"/>
                      <w:lang w:eastAsia="zh-CN"/>
                    </w:rPr>
                    <w:t>。</w:t>
                  </w:r>
                  <w:r>
                    <w:rPr>
                      <w:rFonts w:hint="eastAsia" w:ascii="Times New Roman" w:hAnsi="Times New Roman"/>
                      <w:color w:val="auto"/>
                      <w:szCs w:val="21"/>
                    </w:rPr>
                    <w:t>根据《榆林市投资项目选址“一张图”控制线检测报告》检测结果，项目不涉及文物保护红线、不涉及生态红线、不涉及基本农田等保护目标，符合榆林市投资项目选址“一张图”要求。</w:t>
                  </w:r>
                </w:p>
              </w:tc>
              <w:tc>
                <w:tcPr>
                  <w:tcW w:w="892" w:type="dxa"/>
                  <w:vAlign w:val="center"/>
                </w:tcPr>
                <w:p>
                  <w:pPr>
                    <w:pStyle w:val="45"/>
                    <w:ind w:firstLine="0" w:firstLineChars="0"/>
                    <w:jc w:val="center"/>
                    <w:rPr>
                      <w:rFonts w:ascii="Times New Roman" w:hAnsi="Times New Roman"/>
                      <w:color w:val="auto"/>
                      <w:kern w:val="24"/>
                      <w:szCs w:val="21"/>
                    </w:rPr>
                  </w:pPr>
                  <w:r>
                    <w:rPr>
                      <w:rFonts w:ascii="Times New Roman" w:hAnsi="Times New Roman"/>
                      <w:color w:val="auto"/>
                      <w:kern w:val="24"/>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1" w:hRule="atLeast"/>
                <w:jc w:val="center"/>
              </w:trPr>
              <w:tc>
                <w:tcPr>
                  <w:tcW w:w="1664" w:type="dxa"/>
                  <w:vAlign w:val="center"/>
                </w:tcPr>
                <w:p>
                  <w:pPr>
                    <w:pStyle w:val="45"/>
                    <w:ind w:firstLine="0" w:firstLineChars="0"/>
                    <w:jc w:val="center"/>
                    <w:rPr>
                      <w:rFonts w:ascii="Times New Roman" w:hAnsi="Times New Roman"/>
                      <w:color w:val="auto"/>
                      <w:kern w:val="24"/>
                      <w:szCs w:val="21"/>
                    </w:rPr>
                  </w:pPr>
                  <w:r>
                    <w:rPr>
                      <w:rFonts w:ascii="Times New Roman" w:hAnsi="Times New Roman"/>
                      <w:color w:val="auto"/>
                      <w:kern w:val="24"/>
                      <w:szCs w:val="21"/>
                    </w:rPr>
                    <w:t>环境质量底线</w:t>
                  </w:r>
                </w:p>
              </w:tc>
              <w:tc>
                <w:tcPr>
                  <w:tcW w:w="5262" w:type="dxa"/>
                  <w:vAlign w:val="center"/>
                </w:tcPr>
                <w:p>
                  <w:pPr>
                    <w:pStyle w:val="45"/>
                    <w:ind w:firstLine="0" w:firstLineChars="0"/>
                    <w:jc w:val="left"/>
                    <w:rPr>
                      <w:rFonts w:ascii="Times New Roman" w:hAnsi="Times New Roman"/>
                      <w:color w:val="auto"/>
                      <w:kern w:val="24"/>
                      <w:szCs w:val="21"/>
                    </w:rPr>
                  </w:pPr>
                  <w:r>
                    <w:rPr>
                      <w:rFonts w:ascii="Times New Roman" w:hAnsi="Times New Roman"/>
                      <w:color w:val="auto"/>
                      <w:szCs w:val="21"/>
                    </w:rPr>
                    <w:t>本</w:t>
                  </w:r>
                  <w:r>
                    <w:rPr>
                      <w:rFonts w:ascii="Times New Roman" w:hAnsi="Times New Roman"/>
                      <w:color w:val="auto"/>
                      <w:szCs w:val="21"/>
                      <w:lang w:val="zh-CN"/>
                    </w:rPr>
                    <w:t>项目</w:t>
                  </w:r>
                  <w:r>
                    <w:rPr>
                      <w:rFonts w:ascii="Times New Roman" w:hAnsi="Times New Roman"/>
                      <w:color w:val="auto"/>
                      <w:szCs w:val="21"/>
                    </w:rPr>
                    <w:t>在落实环评提出环保措施的前提下，污染物均能达标排放，</w:t>
                  </w:r>
                  <w:r>
                    <w:rPr>
                      <w:rFonts w:ascii="Times New Roman" w:hAnsi="Times New Roman"/>
                      <w:color w:val="auto"/>
                      <w:szCs w:val="21"/>
                      <w:lang w:val="zh-CN"/>
                    </w:rPr>
                    <w:t>不会对区域环境质量造成明显影响，</w:t>
                  </w:r>
                  <w:r>
                    <w:rPr>
                      <w:rFonts w:ascii="Times New Roman" w:hAnsi="Times New Roman"/>
                      <w:color w:val="auto"/>
                      <w:szCs w:val="21"/>
                    </w:rPr>
                    <w:t>符合环境质量底线。</w:t>
                  </w:r>
                </w:p>
              </w:tc>
              <w:tc>
                <w:tcPr>
                  <w:tcW w:w="892" w:type="dxa"/>
                  <w:vAlign w:val="center"/>
                </w:tcPr>
                <w:p>
                  <w:pPr>
                    <w:pStyle w:val="45"/>
                    <w:ind w:firstLine="0" w:firstLineChars="0"/>
                    <w:jc w:val="center"/>
                    <w:rPr>
                      <w:rFonts w:ascii="Times New Roman" w:hAnsi="Times New Roman"/>
                      <w:color w:val="auto"/>
                      <w:kern w:val="24"/>
                      <w:szCs w:val="21"/>
                    </w:rPr>
                  </w:pPr>
                  <w:r>
                    <w:rPr>
                      <w:rFonts w:ascii="Times New Roman" w:hAnsi="Times New Roman"/>
                      <w:color w:val="auto"/>
                      <w:kern w:val="24"/>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jc w:val="center"/>
              </w:trPr>
              <w:tc>
                <w:tcPr>
                  <w:tcW w:w="1664" w:type="dxa"/>
                  <w:vAlign w:val="center"/>
                </w:tcPr>
                <w:p>
                  <w:pPr>
                    <w:pStyle w:val="45"/>
                    <w:ind w:firstLine="0" w:firstLineChars="0"/>
                    <w:jc w:val="center"/>
                    <w:rPr>
                      <w:rFonts w:ascii="Times New Roman" w:hAnsi="Times New Roman"/>
                      <w:color w:val="auto"/>
                      <w:kern w:val="24"/>
                      <w:szCs w:val="21"/>
                    </w:rPr>
                  </w:pPr>
                  <w:r>
                    <w:rPr>
                      <w:rFonts w:ascii="Times New Roman" w:hAnsi="Times New Roman"/>
                      <w:color w:val="auto"/>
                      <w:kern w:val="24"/>
                      <w:szCs w:val="21"/>
                    </w:rPr>
                    <w:t>资源利用上线</w:t>
                  </w:r>
                </w:p>
              </w:tc>
              <w:tc>
                <w:tcPr>
                  <w:tcW w:w="5262" w:type="dxa"/>
                  <w:vAlign w:val="center"/>
                </w:tcPr>
                <w:p>
                  <w:pPr>
                    <w:jc w:val="left"/>
                    <w:rPr>
                      <w:color w:val="auto"/>
                      <w:szCs w:val="21"/>
                    </w:rPr>
                  </w:pPr>
                  <w:r>
                    <w:rPr>
                      <w:color w:val="auto"/>
                      <w:szCs w:val="21"/>
                    </w:rPr>
                    <w:t>本项目</w:t>
                  </w:r>
                  <w:r>
                    <w:rPr>
                      <w:rFonts w:hint="eastAsia"/>
                      <w:color w:val="auto"/>
                      <w:szCs w:val="21"/>
                    </w:rPr>
                    <w:t>为油泥暂存点建设项目</w:t>
                  </w:r>
                  <w:r>
                    <w:rPr>
                      <w:color w:val="auto"/>
                      <w:szCs w:val="21"/>
                    </w:rPr>
                    <w:t>，</w:t>
                  </w:r>
                  <w:r>
                    <w:rPr>
                      <w:rFonts w:hint="eastAsia"/>
                      <w:color w:val="auto"/>
                      <w:szCs w:val="21"/>
                    </w:rPr>
                    <w:t>运行过程不使用水、天然气等资源</w:t>
                  </w:r>
                  <w:r>
                    <w:rPr>
                      <w:rFonts w:ascii="宋体" w:hAnsi="宋体" w:cs="宋体"/>
                      <w:color w:val="auto"/>
                      <w:sz w:val="24"/>
                    </w:rPr>
                    <w:t>，</w:t>
                  </w:r>
                  <w:r>
                    <w:rPr>
                      <w:color w:val="auto"/>
                      <w:szCs w:val="21"/>
                    </w:rPr>
                    <w:t>不涉及资源利用上线。</w:t>
                  </w:r>
                </w:p>
              </w:tc>
              <w:tc>
                <w:tcPr>
                  <w:tcW w:w="892" w:type="dxa"/>
                  <w:vAlign w:val="center"/>
                </w:tcPr>
                <w:p>
                  <w:pPr>
                    <w:pStyle w:val="45"/>
                    <w:ind w:firstLine="0" w:firstLineChars="0"/>
                    <w:jc w:val="center"/>
                    <w:rPr>
                      <w:rFonts w:ascii="Times New Roman" w:hAnsi="Times New Roman"/>
                      <w:color w:val="auto"/>
                      <w:kern w:val="24"/>
                      <w:szCs w:val="21"/>
                    </w:rPr>
                  </w:pPr>
                  <w:r>
                    <w:rPr>
                      <w:rFonts w:ascii="Times New Roman" w:hAnsi="Times New Roman"/>
                      <w:color w:val="auto"/>
                      <w:kern w:val="24"/>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4" w:type="dxa"/>
                  <w:vAlign w:val="center"/>
                </w:tcPr>
                <w:p>
                  <w:pPr>
                    <w:pStyle w:val="45"/>
                    <w:ind w:firstLine="0" w:firstLineChars="0"/>
                    <w:jc w:val="center"/>
                    <w:rPr>
                      <w:rFonts w:ascii="Times New Roman" w:hAnsi="Times New Roman"/>
                      <w:color w:val="auto"/>
                      <w:kern w:val="24"/>
                      <w:szCs w:val="21"/>
                    </w:rPr>
                  </w:pPr>
                  <w:r>
                    <w:rPr>
                      <w:rFonts w:ascii="Times New Roman" w:hAnsi="Times New Roman"/>
                      <w:color w:val="auto"/>
                      <w:kern w:val="24"/>
                      <w:szCs w:val="21"/>
                    </w:rPr>
                    <w:t>生态环境准入清单</w:t>
                  </w:r>
                </w:p>
              </w:tc>
              <w:tc>
                <w:tcPr>
                  <w:tcW w:w="5262" w:type="dxa"/>
                  <w:vAlign w:val="center"/>
                </w:tcPr>
                <w:p>
                  <w:pPr>
                    <w:pStyle w:val="45"/>
                    <w:ind w:firstLine="0" w:firstLineChars="0"/>
                    <w:jc w:val="left"/>
                    <w:rPr>
                      <w:rFonts w:ascii="Times New Roman" w:hAnsi="Times New Roman"/>
                      <w:color w:val="auto"/>
                      <w:kern w:val="24"/>
                      <w:szCs w:val="21"/>
                    </w:rPr>
                  </w:pPr>
                  <w:r>
                    <w:rPr>
                      <w:rFonts w:ascii="Times New Roman" w:hAnsi="Times New Roman"/>
                      <w:color w:val="auto"/>
                      <w:kern w:val="0"/>
                      <w:szCs w:val="21"/>
                    </w:rPr>
                    <w:t>本项目属于</w:t>
                  </w:r>
                  <w:r>
                    <w:rPr>
                      <w:rFonts w:hint="eastAsia"/>
                      <w:color w:val="auto"/>
                      <w:szCs w:val="21"/>
                    </w:rPr>
                    <w:t>油泥暂存点建设项目（不处理，交有资质危险废物处置单位处理）</w:t>
                  </w:r>
                  <w:r>
                    <w:rPr>
                      <w:rFonts w:ascii="Times New Roman" w:hAnsi="Times New Roman"/>
                      <w:color w:val="auto"/>
                      <w:kern w:val="0"/>
                      <w:szCs w:val="21"/>
                    </w:rPr>
                    <w:t>，属于鼓励类。本项目</w:t>
                  </w:r>
                  <w:r>
                    <w:rPr>
                      <w:rFonts w:hint="eastAsia" w:ascii="Times New Roman" w:hAnsi="Times New Roman"/>
                      <w:color w:val="auto"/>
                      <w:kern w:val="0"/>
                      <w:szCs w:val="21"/>
                    </w:rPr>
                    <w:t>符合现行国家产业、行业政策，不在《陕西省重点生态功能区产业准入负面清单》禁止准入类和限制准入类中</w:t>
                  </w:r>
                  <w:r>
                    <w:rPr>
                      <w:rFonts w:ascii="Times New Roman" w:hAnsi="Times New Roman"/>
                      <w:color w:val="auto"/>
                      <w:kern w:val="0"/>
                      <w:szCs w:val="21"/>
                    </w:rPr>
                    <w:t>。</w:t>
                  </w:r>
                </w:p>
              </w:tc>
              <w:tc>
                <w:tcPr>
                  <w:tcW w:w="892" w:type="dxa"/>
                  <w:vAlign w:val="center"/>
                </w:tcPr>
                <w:p>
                  <w:pPr>
                    <w:pStyle w:val="45"/>
                    <w:ind w:firstLine="0" w:firstLineChars="0"/>
                    <w:jc w:val="center"/>
                    <w:rPr>
                      <w:rFonts w:ascii="Times New Roman" w:hAnsi="Times New Roman"/>
                      <w:color w:val="auto"/>
                      <w:kern w:val="24"/>
                      <w:szCs w:val="21"/>
                    </w:rPr>
                  </w:pPr>
                  <w:r>
                    <w:rPr>
                      <w:rFonts w:ascii="Times New Roman" w:hAnsi="Times New Roman"/>
                      <w:color w:val="auto"/>
                      <w:kern w:val="24"/>
                      <w:szCs w:val="21"/>
                    </w:rPr>
                    <w:t>符合</w:t>
                  </w:r>
                </w:p>
              </w:tc>
            </w:tr>
          </w:tbl>
          <w:p>
            <w:pPr>
              <w:keepNext w:val="0"/>
              <w:keepLines w:val="0"/>
              <w:pageBreakBefore w:val="0"/>
              <w:widowControl w:val="0"/>
              <w:kinsoku/>
              <w:wordWrap/>
              <w:overflowPunct/>
              <w:topLinePunct w:val="0"/>
              <w:autoSpaceDE w:val="0"/>
              <w:autoSpaceDN w:val="0"/>
              <w:bidi w:val="0"/>
              <w:adjustRightInd/>
              <w:snapToGrid/>
              <w:spacing w:before="157" w:beforeLines="50" w:line="360" w:lineRule="auto"/>
              <w:ind w:firstLine="482"/>
              <w:textAlignment w:val="auto"/>
              <w:rPr>
                <w:rFonts w:hint="eastAsia" w:ascii="宋体" w:hAnsi="宋体" w:eastAsia="宋体" w:cs="宋体"/>
                <w:b/>
                <w:color w:val="auto"/>
                <w:kern w:val="0"/>
                <w:sz w:val="24"/>
                <w:szCs w:val="32"/>
              </w:rPr>
            </w:pPr>
            <w:r>
              <w:rPr>
                <w:rFonts w:hint="eastAsia" w:ascii="宋体" w:hAnsi="宋体" w:eastAsia="宋体" w:cs="宋体"/>
                <w:b/>
                <w:color w:val="auto"/>
                <w:kern w:val="0"/>
                <w:sz w:val="24"/>
                <w:szCs w:val="32"/>
              </w:rPr>
              <w:t>3、与榆林市投资项目选址“一张图”控制线符合性分析</w:t>
            </w:r>
          </w:p>
          <w:p>
            <w:pPr>
              <w:spacing w:line="360" w:lineRule="auto"/>
              <w:ind w:firstLine="480" w:firstLineChars="200"/>
              <w:rPr>
                <w:rFonts w:hint="eastAsia" w:ascii="宋体" w:hAnsi="宋体" w:eastAsia="宋体" w:cs="宋体"/>
                <w:color w:val="auto"/>
                <w:sz w:val="24"/>
                <w:szCs w:val="32"/>
              </w:rPr>
            </w:pPr>
            <w:r>
              <w:rPr>
                <w:rFonts w:hint="eastAsia" w:ascii="宋体" w:hAnsi="宋体" w:eastAsia="宋体" w:cs="宋体"/>
                <w:color w:val="auto"/>
                <w:sz w:val="24"/>
                <w:szCs w:val="32"/>
              </w:rPr>
              <w:t>项目与榆林市“多规合一”控制线检测结果符合性分析见表1-</w:t>
            </w:r>
            <w:r>
              <w:rPr>
                <w:rFonts w:hint="eastAsia" w:ascii="宋体" w:hAnsi="宋体" w:eastAsia="宋体" w:cs="宋体"/>
                <w:color w:val="auto"/>
                <w:sz w:val="24"/>
                <w:szCs w:val="32"/>
                <w:lang w:val="en-US" w:eastAsia="zh-CN"/>
              </w:rPr>
              <w:t>3</w:t>
            </w:r>
            <w:r>
              <w:rPr>
                <w:rFonts w:hint="eastAsia" w:ascii="宋体" w:hAnsi="宋体" w:eastAsia="宋体" w:cs="宋体"/>
                <w:color w:val="auto"/>
                <w:sz w:val="24"/>
                <w:szCs w:val="32"/>
              </w:rPr>
              <w:t>，控制线检测报告见附件。</w:t>
            </w:r>
          </w:p>
          <w:p>
            <w:pPr>
              <w:pStyle w:val="43"/>
              <w:spacing w:line="240" w:lineRule="auto"/>
              <w:ind w:firstLine="422"/>
              <w:rPr>
                <w:b/>
                <w:bCs/>
                <w:color w:val="auto"/>
              </w:rPr>
            </w:pPr>
            <w:r>
              <w:rPr>
                <w:rFonts w:hint="eastAsia"/>
                <w:b/>
                <w:bCs/>
                <w:color w:val="auto"/>
              </w:rPr>
              <w:t>表1-</w:t>
            </w:r>
            <w:r>
              <w:rPr>
                <w:rFonts w:hint="eastAsia"/>
                <w:b/>
                <w:bCs/>
                <w:color w:val="auto"/>
                <w:lang w:val="en-US" w:eastAsia="zh-CN"/>
              </w:rPr>
              <w:t>3</w:t>
            </w:r>
            <w:r>
              <w:rPr>
                <w:rFonts w:hint="eastAsia"/>
                <w:b/>
                <w:bCs/>
                <w:color w:val="auto"/>
              </w:rPr>
              <w:t xml:space="preserve">      本项目与榆林市投资项目选址“一张图”符合性分析</w:t>
            </w:r>
          </w:p>
          <w:tbl>
            <w:tblPr>
              <w:tblStyle w:val="19"/>
              <w:tblW w:w="80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6"/>
              <w:gridCol w:w="3063"/>
              <w:gridCol w:w="986"/>
              <w:gridCol w:w="18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12" w:hRule="atLeast"/>
                <w:jc w:val="center"/>
              </w:trPr>
              <w:tc>
                <w:tcPr>
                  <w:tcW w:w="2076" w:type="dxa"/>
                  <w:vAlign w:val="center"/>
                </w:tcPr>
                <w:p>
                  <w:pPr>
                    <w:pStyle w:val="43"/>
                    <w:spacing w:line="240" w:lineRule="auto"/>
                    <w:ind w:firstLine="0" w:firstLineChars="0"/>
                    <w:jc w:val="center"/>
                    <w:rPr>
                      <w:color w:val="auto"/>
                    </w:rPr>
                  </w:pPr>
                  <w:r>
                    <w:rPr>
                      <w:rFonts w:hint="eastAsia"/>
                      <w:color w:val="auto"/>
                    </w:rPr>
                    <w:t>控制线名称</w:t>
                  </w:r>
                </w:p>
              </w:tc>
              <w:tc>
                <w:tcPr>
                  <w:tcW w:w="3063" w:type="dxa"/>
                  <w:vAlign w:val="center"/>
                </w:tcPr>
                <w:p>
                  <w:pPr>
                    <w:pStyle w:val="43"/>
                    <w:spacing w:line="240" w:lineRule="auto"/>
                    <w:ind w:firstLine="0" w:firstLineChars="0"/>
                    <w:jc w:val="center"/>
                    <w:rPr>
                      <w:color w:val="auto"/>
                    </w:rPr>
                  </w:pPr>
                  <w:r>
                    <w:rPr>
                      <w:rFonts w:hint="eastAsia"/>
                      <w:color w:val="auto"/>
                    </w:rPr>
                    <w:t>检测结果及意见</w:t>
                  </w:r>
                </w:p>
              </w:tc>
              <w:tc>
                <w:tcPr>
                  <w:tcW w:w="986" w:type="dxa"/>
                  <w:vAlign w:val="center"/>
                </w:tcPr>
                <w:p>
                  <w:pPr>
                    <w:pStyle w:val="43"/>
                    <w:spacing w:line="240" w:lineRule="auto"/>
                    <w:ind w:firstLine="0" w:firstLineChars="0"/>
                    <w:jc w:val="center"/>
                    <w:rPr>
                      <w:color w:val="auto"/>
                    </w:rPr>
                  </w:pPr>
                  <w:r>
                    <w:rPr>
                      <w:rFonts w:hint="eastAsia"/>
                      <w:color w:val="auto"/>
                    </w:rPr>
                    <w:t>符合性</w:t>
                  </w:r>
                </w:p>
              </w:tc>
              <w:tc>
                <w:tcPr>
                  <w:tcW w:w="1893" w:type="dxa"/>
                  <w:vAlign w:val="center"/>
                </w:tcPr>
                <w:p>
                  <w:pPr>
                    <w:pStyle w:val="43"/>
                    <w:spacing w:line="240" w:lineRule="auto"/>
                    <w:ind w:firstLine="0" w:firstLineChars="0"/>
                    <w:jc w:val="center"/>
                    <w:rPr>
                      <w:color w:val="auto"/>
                    </w:rPr>
                  </w:pPr>
                  <w:r>
                    <w:rPr>
                      <w:rFonts w:hint="eastAsia"/>
                      <w:color w:val="auto"/>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2076" w:type="dxa"/>
                  <w:vAlign w:val="center"/>
                </w:tcPr>
                <w:p>
                  <w:pPr>
                    <w:widowControl/>
                    <w:jc w:val="center"/>
                    <w:rPr>
                      <w:rFonts w:hint="eastAsia" w:ascii="宋体" w:hAnsi="宋体" w:cs="宋体"/>
                      <w:color w:val="auto"/>
                    </w:rPr>
                  </w:pPr>
                  <w:r>
                    <w:rPr>
                      <w:rFonts w:hint="eastAsia" w:ascii="宋体" w:hAnsi="宋体" w:cs="宋体"/>
                      <w:color w:val="auto"/>
                    </w:rPr>
                    <w:t>土地利用现状2021</w:t>
                  </w:r>
                </w:p>
                <w:p>
                  <w:pPr>
                    <w:widowControl/>
                    <w:jc w:val="center"/>
                    <w:rPr>
                      <w:color w:val="auto"/>
                    </w:rPr>
                  </w:pPr>
                  <w:r>
                    <w:rPr>
                      <w:rFonts w:hint="eastAsia" w:ascii="宋体" w:hAnsi="宋体" w:cs="宋体"/>
                      <w:color w:val="auto"/>
                    </w:rPr>
                    <w:t>(三调）</w:t>
                  </w:r>
                </w:p>
              </w:tc>
              <w:tc>
                <w:tcPr>
                  <w:tcW w:w="3063" w:type="dxa"/>
                  <w:vAlign w:val="center"/>
                </w:tcPr>
                <w:p>
                  <w:pPr>
                    <w:widowControl/>
                    <w:jc w:val="center"/>
                    <w:rPr>
                      <w:color w:val="auto"/>
                    </w:rPr>
                  </w:pPr>
                  <w:r>
                    <w:rPr>
                      <w:rFonts w:hint="eastAsia" w:ascii="宋体" w:hAnsi="宋体" w:cs="宋体"/>
                      <w:color w:val="auto"/>
                    </w:rPr>
                    <w:t>其中占用交通运输用地0.0026公顷、占用种植园用地0.0117公顷、占用工矿用地0.1707公顷、占用草地0.0161公顷。</w:t>
                  </w:r>
                </w:p>
              </w:tc>
              <w:tc>
                <w:tcPr>
                  <w:tcW w:w="986" w:type="dxa"/>
                  <w:vAlign w:val="center"/>
                </w:tcPr>
                <w:p>
                  <w:pPr>
                    <w:pStyle w:val="43"/>
                    <w:spacing w:line="240" w:lineRule="auto"/>
                    <w:ind w:firstLine="0" w:firstLineChars="0"/>
                    <w:jc w:val="center"/>
                    <w:rPr>
                      <w:rFonts w:ascii="宋体" w:hAnsi="宋体" w:cs="宋体"/>
                      <w:color w:val="auto"/>
                    </w:rPr>
                  </w:pPr>
                  <w:r>
                    <w:rPr>
                      <w:rFonts w:hint="eastAsia" w:ascii="宋体" w:hAnsi="宋体" w:cs="宋体"/>
                      <w:color w:val="auto"/>
                    </w:rPr>
                    <w:t>符合</w:t>
                  </w:r>
                </w:p>
              </w:tc>
              <w:tc>
                <w:tcPr>
                  <w:tcW w:w="1893" w:type="dxa"/>
                  <w:vMerge w:val="restart"/>
                  <w:vAlign w:val="center"/>
                </w:tcPr>
                <w:p>
                  <w:pPr>
                    <w:pStyle w:val="43"/>
                    <w:spacing w:line="240" w:lineRule="auto"/>
                    <w:ind w:firstLine="0" w:firstLineChars="0"/>
                    <w:jc w:val="center"/>
                    <w:rPr>
                      <w:rFonts w:hint="default" w:ascii="宋体" w:hAnsi="宋体" w:eastAsia="宋体" w:cs="宋体"/>
                      <w:color w:val="auto"/>
                      <w:lang w:val="en-US" w:eastAsia="zh-CN"/>
                    </w:rPr>
                  </w:pPr>
                  <w:r>
                    <w:rPr>
                      <w:rFonts w:hint="eastAsia" w:ascii="宋体" w:hAnsi="宋体" w:cs="宋体"/>
                      <w:color w:val="auto"/>
                    </w:rPr>
                    <w:t>现有井场已取得土地手续，符合土地利用总体规划。项目在现有场地内建设，不新增占地</w:t>
                  </w:r>
                  <w:r>
                    <w:rPr>
                      <w:rFonts w:hint="eastAsia" w:ascii="宋体" w:hAnsi="宋体" w:cs="宋体"/>
                      <w:color w:val="auto"/>
                      <w:lang w:eastAsia="zh-CN"/>
                    </w:rPr>
                    <w:t>，</w:t>
                  </w:r>
                  <w:r>
                    <w:rPr>
                      <w:rFonts w:hint="eastAsia" w:ascii="宋体" w:hAnsi="宋体" w:cs="宋体"/>
                      <w:color w:val="auto"/>
                      <w:lang w:val="en-US" w:eastAsia="zh-CN"/>
                    </w:rPr>
                    <w:t>占用性质为工矿用地。由于井场边界定位存在误差，拐点坐标偏移，实际检测结果与项目用地现状略有偏差，本次评价以实际占地为主。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2076" w:type="dxa"/>
                  <w:vAlign w:val="center"/>
                </w:tcPr>
                <w:p>
                  <w:pPr>
                    <w:widowControl/>
                    <w:jc w:val="center"/>
                    <w:rPr>
                      <w:rFonts w:hint="eastAsia" w:ascii="宋体" w:hAnsi="宋体" w:eastAsia="宋体" w:cs="宋体"/>
                      <w:color w:val="auto"/>
                    </w:rPr>
                  </w:pPr>
                  <w:r>
                    <w:rPr>
                      <w:rFonts w:hint="eastAsia" w:ascii="宋体" w:hAnsi="宋体" w:eastAsia="宋体" w:cs="宋体"/>
                      <w:color w:val="auto"/>
                    </w:rPr>
                    <w:t>林业规划</w:t>
                  </w:r>
                </w:p>
              </w:tc>
              <w:tc>
                <w:tcPr>
                  <w:tcW w:w="3063" w:type="dxa"/>
                  <w:vAlign w:val="center"/>
                </w:tcPr>
                <w:p>
                  <w:pPr>
                    <w:widowControl/>
                    <w:jc w:val="center"/>
                    <w:rPr>
                      <w:rFonts w:hint="eastAsia" w:ascii="宋体" w:hAnsi="宋体" w:eastAsia="宋体" w:cs="宋体"/>
                      <w:color w:val="auto"/>
                      <w:szCs w:val="21"/>
                    </w:rPr>
                  </w:pPr>
                  <w:r>
                    <w:rPr>
                      <w:rFonts w:hint="eastAsia" w:ascii="宋体" w:hAnsi="宋体" w:eastAsia="宋体" w:cs="宋体"/>
                      <w:color w:val="auto"/>
                      <w:highlight w:val="none"/>
                    </w:rPr>
                    <w:t>其中占用林地0.2011公顷。</w:t>
                  </w:r>
                </w:p>
              </w:tc>
              <w:tc>
                <w:tcPr>
                  <w:tcW w:w="986" w:type="dxa"/>
                  <w:vAlign w:val="center"/>
                </w:tcPr>
                <w:p>
                  <w:pPr>
                    <w:spacing w:before="120" w:beforeLines="50" w:line="360" w:lineRule="auto"/>
                    <w:jc w:val="center"/>
                    <w:rPr>
                      <w:rFonts w:hint="eastAsia" w:ascii="宋体" w:hAnsi="宋体" w:eastAsia="宋体" w:cs="宋体"/>
                      <w:color w:val="auto"/>
                    </w:rPr>
                  </w:pPr>
                  <w:r>
                    <w:rPr>
                      <w:rFonts w:hint="eastAsia" w:ascii="宋体" w:hAnsi="宋体" w:eastAsia="宋体" w:cs="宋体"/>
                      <w:color w:val="auto"/>
                    </w:rPr>
                    <w:t>符合</w:t>
                  </w:r>
                </w:p>
              </w:tc>
              <w:tc>
                <w:tcPr>
                  <w:tcW w:w="1893" w:type="dxa"/>
                  <w:vMerge w:val="continue"/>
                  <w:vAlign w:val="center"/>
                </w:tcPr>
                <w:p>
                  <w:pPr>
                    <w:spacing w:before="120" w:beforeLines="50" w:line="360" w:lineRule="auto"/>
                    <w:jc w:val="center"/>
                    <w:rPr>
                      <w:rFonts w:ascii="宋体" w:hAnsi="宋体" w:cs="宋体"/>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2076" w:type="dxa"/>
                  <w:vAlign w:val="center"/>
                </w:tcPr>
                <w:p>
                  <w:pPr>
                    <w:widowControl/>
                    <w:jc w:val="center"/>
                    <w:rPr>
                      <w:rFonts w:hint="eastAsia" w:ascii="宋体" w:hAnsi="宋体" w:eastAsia="宋体" w:cs="宋体"/>
                      <w:color w:val="auto"/>
                    </w:rPr>
                  </w:pPr>
                  <w:r>
                    <w:rPr>
                      <w:rFonts w:hint="eastAsia" w:ascii="宋体" w:hAnsi="宋体" w:eastAsia="宋体" w:cs="宋体"/>
                      <w:color w:val="auto"/>
                    </w:rPr>
                    <w:t>电磁环境保护区</w:t>
                  </w:r>
                </w:p>
              </w:tc>
              <w:tc>
                <w:tcPr>
                  <w:tcW w:w="3063" w:type="dxa"/>
                  <w:vAlign w:val="center"/>
                </w:tcPr>
                <w:p>
                  <w:pPr>
                    <w:widowControl/>
                    <w:jc w:val="center"/>
                    <w:rPr>
                      <w:rFonts w:hint="eastAsia" w:ascii="宋体" w:hAnsi="宋体" w:eastAsia="宋体" w:cs="宋体"/>
                      <w:color w:val="auto"/>
                      <w:szCs w:val="21"/>
                    </w:rPr>
                  </w:pPr>
                  <w:r>
                    <w:rPr>
                      <w:rFonts w:hint="eastAsia" w:ascii="宋体" w:hAnsi="宋体" w:eastAsia="宋体" w:cs="宋体"/>
                      <w:color w:val="auto"/>
                      <w:szCs w:val="21"/>
                    </w:rPr>
                    <w:t>不占用</w:t>
                  </w:r>
                </w:p>
              </w:tc>
              <w:tc>
                <w:tcPr>
                  <w:tcW w:w="986" w:type="dxa"/>
                  <w:vAlign w:val="center"/>
                </w:tcPr>
                <w:p>
                  <w:pPr>
                    <w:spacing w:before="120" w:beforeLines="50" w:line="360" w:lineRule="auto"/>
                    <w:jc w:val="center"/>
                    <w:rPr>
                      <w:rFonts w:hint="eastAsia" w:ascii="宋体" w:hAnsi="宋体" w:eastAsia="宋体" w:cs="宋体"/>
                      <w:color w:val="auto"/>
                    </w:rPr>
                  </w:pPr>
                  <w:r>
                    <w:rPr>
                      <w:rFonts w:hint="eastAsia" w:ascii="宋体" w:hAnsi="宋体" w:eastAsia="宋体" w:cs="宋体"/>
                      <w:color w:val="auto"/>
                    </w:rPr>
                    <w:t>符合</w:t>
                  </w:r>
                </w:p>
              </w:tc>
              <w:tc>
                <w:tcPr>
                  <w:tcW w:w="1893" w:type="dxa"/>
                  <w:vMerge w:val="continue"/>
                  <w:vAlign w:val="center"/>
                </w:tcPr>
                <w:p>
                  <w:pPr>
                    <w:spacing w:before="120" w:beforeLines="50" w:line="360" w:lineRule="auto"/>
                    <w:jc w:val="center"/>
                    <w:rPr>
                      <w:rFonts w:ascii="宋体" w:hAnsi="宋体" w:cs="宋体"/>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2076" w:type="dxa"/>
                  <w:vAlign w:val="center"/>
                </w:tcPr>
                <w:p>
                  <w:pPr>
                    <w:widowControl/>
                    <w:jc w:val="center"/>
                    <w:rPr>
                      <w:rFonts w:hint="eastAsia" w:ascii="宋体" w:hAnsi="宋体" w:eastAsia="宋体" w:cs="宋体"/>
                      <w:color w:val="auto"/>
                    </w:rPr>
                  </w:pPr>
                  <w:r>
                    <w:rPr>
                      <w:rFonts w:hint="eastAsia" w:ascii="宋体" w:hAnsi="宋体" w:eastAsia="宋体" w:cs="宋体"/>
                      <w:color w:val="auto"/>
                    </w:rPr>
                    <w:t>矿业权现状2022</w:t>
                  </w:r>
                </w:p>
              </w:tc>
              <w:tc>
                <w:tcPr>
                  <w:tcW w:w="3063" w:type="dxa"/>
                  <w:vAlign w:val="center"/>
                </w:tcPr>
                <w:p>
                  <w:pPr>
                    <w:widowControl/>
                    <w:jc w:val="center"/>
                    <w:rPr>
                      <w:rFonts w:hint="eastAsia" w:ascii="宋体" w:hAnsi="宋体" w:eastAsia="宋体" w:cs="宋体"/>
                      <w:color w:val="auto"/>
                      <w:szCs w:val="21"/>
                    </w:rPr>
                  </w:pPr>
                  <w:r>
                    <w:rPr>
                      <w:rFonts w:hint="eastAsia" w:ascii="宋体" w:hAnsi="宋体" w:eastAsia="宋体" w:cs="宋体"/>
                      <w:color w:val="auto"/>
                      <w:szCs w:val="21"/>
                    </w:rPr>
                    <w:t>不占用</w:t>
                  </w:r>
                </w:p>
              </w:tc>
              <w:tc>
                <w:tcPr>
                  <w:tcW w:w="986" w:type="dxa"/>
                  <w:vAlign w:val="center"/>
                </w:tcPr>
                <w:p>
                  <w:pPr>
                    <w:spacing w:before="120" w:beforeLines="50" w:line="360" w:lineRule="auto"/>
                    <w:jc w:val="center"/>
                    <w:rPr>
                      <w:rFonts w:hint="eastAsia" w:ascii="宋体" w:hAnsi="宋体" w:eastAsia="宋体" w:cs="宋体"/>
                      <w:color w:val="auto"/>
                    </w:rPr>
                  </w:pPr>
                  <w:r>
                    <w:rPr>
                      <w:rFonts w:hint="eastAsia" w:ascii="宋体" w:hAnsi="宋体" w:eastAsia="宋体" w:cs="宋体"/>
                      <w:color w:val="auto"/>
                    </w:rPr>
                    <w:t>符合</w:t>
                  </w:r>
                </w:p>
              </w:tc>
              <w:tc>
                <w:tcPr>
                  <w:tcW w:w="1893" w:type="dxa"/>
                  <w:vMerge w:val="continue"/>
                  <w:vAlign w:val="center"/>
                </w:tcPr>
                <w:p>
                  <w:pPr>
                    <w:spacing w:before="120" w:beforeLines="50" w:line="360" w:lineRule="auto"/>
                    <w:jc w:val="center"/>
                    <w:rPr>
                      <w:rFonts w:ascii="宋体" w:hAnsi="宋体" w:cs="宋体"/>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2076" w:type="dxa"/>
                  <w:vAlign w:val="center"/>
                </w:tcPr>
                <w:p>
                  <w:pPr>
                    <w:widowControl/>
                    <w:jc w:val="center"/>
                    <w:rPr>
                      <w:rFonts w:hint="eastAsia" w:ascii="宋体" w:hAnsi="宋体" w:eastAsia="宋体" w:cs="宋体"/>
                      <w:color w:val="auto"/>
                    </w:rPr>
                  </w:pPr>
                  <w:r>
                    <w:rPr>
                      <w:rFonts w:hint="eastAsia" w:ascii="宋体" w:hAnsi="宋体" w:eastAsia="宋体" w:cs="宋体"/>
                      <w:color w:val="auto"/>
                    </w:rPr>
                    <w:t>文物保护线</w:t>
                  </w:r>
                </w:p>
              </w:tc>
              <w:tc>
                <w:tcPr>
                  <w:tcW w:w="3063" w:type="dxa"/>
                  <w:vAlign w:val="center"/>
                </w:tcPr>
                <w:p>
                  <w:pPr>
                    <w:widowControl/>
                    <w:jc w:val="center"/>
                    <w:rPr>
                      <w:rFonts w:hint="eastAsia" w:ascii="宋体" w:hAnsi="宋体" w:eastAsia="宋体" w:cs="宋体"/>
                      <w:color w:val="auto"/>
                      <w:szCs w:val="21"/>
                    </w:rPr>
                  </w:pPr>
                  <w:r>
                    <w:rPr>
                      <w:rFonts w:hint="eastAsia" w:ascii="宋体" w:hAnsi="宋体" w:eastAsia="宋体" w:cs="宋体"/>
                      <w:color w:val="auto"/>
                      <w:szCs w:val="21"/>
                    </w:rPr>
                    <w:t>不占用</w:t>
                  </w:r>
                </w:p>
              </w:tc>
              <w:tc>
                <w:tcPr>
                  <w:tcW w:w="986" w:type="dxa"/>
                  <w:vAlign w:val="center"/>
                </w:tcPr>
                <w:p>
                  <w:pPr>
                    <w:spacing w:before="120" w:beforeLines="50" w:line="360" w:lineRule="auto"/>
                    <w:jc w:val="center"/>
                    <w:rPr>
                      <w:rFonts w:hint="eastAsia" w:ascii="宋体" w:hAnsi="宋体" w:eastAsia="宋体" w:cs="宋体"/>
                      <w:color w:val="auto"/>
                    </w:rPr>
                  </w:pPr>
                  <w:r>
                    <w:rPr>
                      <w:rFonts w:hint="eastAsia" w:ascii="宋体" w:hAnsi="宋体" w:eastAsia="宋体" w:cs="宋体"/>
                      <w:color w:val="auto"/>
                    </w:rPr>
                    <w:t>符合</w:t>
                  </w:r>
                </w:p>
              </w:tc>
              <w:tc>
                <w:tcPr>
                  <w:tcW w:w="1893" w:type="dxa"/>
                  <w:vMerge w:val="continue"/>
                  <w:vAlign w:val="center"/>
                </w:tcPr>
                <w:p>
                  <w:pPr>
                    <w:spacing w:before="120" w:beforeLines="50" w:line="360" w:lineRule="auto"/>
                    <w:jc w:val="center"/>
                    <w:rPr>
                      <w:rFonts w:ascii="宋体" w:hAnsi="宋体" w:cs="宋体"/>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atLeast"/>
                <w:jc w:val="center"/>
              </w:trPr>
              <w:tc>
                <w:tcPr>
                  <w:tcW w:w="2076" w:type="dxa"/>
                  <w:vAlign w:val="center"/>
                </w:tcPr>
                <w:p>
                  <w:pPr>
                    <w:widowControl/>
                    <w:jc w:val="center"/>
                    <w:rPr>
                      <w:rFonts w:hint="eastAsia" w:ascii="宋体" w:hAnsi="宋体" w:eastAsia="宋体" w:cs="宋体"/>
                      <w:color w:val="auto"/>
                    </w:rPr>
                  </w:pPr>
                  <w:r>
                    <w:rPr>
                      <w:rFonts w:hint="eastAsia" w:ascii="宋体" w:hAnsi="宋体" w:eastAsia="宋体" w:cs="宋体"/>
                      <w:color w:val="auto"/>
                    </w:rPr>
                    <w:t>生态保护红线</w:t>
                  </w:r>
                </w:p>
              </w:tc>
              <w:tc>
                <w:tcPr>
                  <w:tcW w:w="3063" w:type="dxa"/>
                  <w:vAlign w:val="center"/>
                </w:tcPr>
                <w:p>
                  <w:pPr>
                    <w:widowControl/>
                    <w:jc w:val="center"/>
                    <w:rPr>
                      <w:rFonts w:hint="eastAsia" w:ascii="宋体" w:hAnsi="宋体" w:eastAsia="宋体" w:cs="宋体"/>
                      <w:color w:val="auto"/>
                      <w:szCs w:val="21"/>
                    </w:rPr>
                  </w:pPr>
                  <w:r>
                    <w:rPr>
                      <w:rFonts w:hint="eastAsia" w:ascii="宋体" w:hAnsi="宋体" w:eastAsia="宋体" w:cs="宋体"/>
                      <w:color w:val="auto"/>
                      <w:szCs w:val="21"/>
                    </w:rPr>
                    <w:t>不占用</w:t>
                  </w:r>
                </w:p>
              </w:tc>
              <w:tc>
                <w:tcPr>
                  <w:tcW w:w="986" w:type="dxa"/>
                  <w:vAlign w:val="center"/>
                </w:tcPr>
                <w:p>
                  <w:pPr>
                    <w:spacing w:before="120" w:beforeLines="50" w:line="360" w:lineRule="auto"/>
                    <w:jc w:val="center"/>
                    <w:rPr>
                      <w:rFonts w:hint="eastAsia" w:ascii="宋体" w:hAnsi="宋体" w:eastAsia="宋体" w:cs="宋体"/>
                      <w:color w:val="auto"/>
                    </w:rPr>
                  </w:pPr>
                  <w:r>
                    <w:rPr>
                      <w:rFonts w:hint="eastAsia" w:ascii="宋体" w:hAnsi="宋体" w:eastAsia="宋体" w:cs="宋体"/>
                      <w:color w:val="auto"/>
                    </w:rPr>
                    <w:t>符合</w:t>
                  </w:r>
                </w:p>
              </w:tc>
              <w:tc>
                <w:tcPr>
                  <w:tcW w:w="1893" w:type="dxa"/>
                  <w:vMerge w:val="continue"/>
                  <w:vAlign w:val="center"/>
                </w:tcPr>
                <w:p>
                  <w:pPr>
                    <w:spacing w:before="120" w:beforeLines="50" w:line="360" w:lineRule="auto"/>
                    <w:jc w:val="center"/>
                    <w:rPr>
                      <w:rFonts w:ascii="宋体" w:hAnsi="宋体" w:cs="宋体"/>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2076" w:type="dxa"/>
                  <w:vAlign w:val="center"/>
                </w:tcPr>
                <w:p>
                  <w:pPr>
                    <w:widowControl/>
                    <w:jc w:val="center"/>
                    <w:rPr>
                      <w:rFonts w:hint="eastAsia" w:ascii="宋体" w:hAnsi="宋体" w:eastAsia="宋体" w:cs="宋体"/>
                      <w:color w:val="auto"/>
                    </w:rPr>
                  </w:pPr>
                  <w:r>
                    <w:rPr>
                      <w:rFonts w:hint="eastAsia" w:ascii="宋体" w:hAnsi="宋体" w:eastAsia="宋体" w:cs="宋体"/>
                      <w:color w:val="auto"/>
                    </w:rPr>
                    <w:t>永久基本农田</w:t>
                  </w:r>
                </w:p>
              </w:tc>
              <w:tc>
                <w:tcPr>
                  <w:tcW w:w="3063" w:type="dxa"/>
                  <w:vAlign w:val="center"/>
                </w:tcPr>
                <w:p>
                  <w:pPr>
                    <w:widowControl/>
                    <w:jc w:val="center"/>
                    <w:rPr>
                      <w:rFonts w:hint="eastAsia" w:ascii="宋体" w:hAnsi="宋体" w:eastAsia="宋体" w:cs="宋体"/>
                      <w:color w:val="auto"/>
                      <w:szCs w:val="21"/>
                    </w:rPr>
                  </w:pPr>
                  <w:r>
                    <w:rPr>
                      <w:rFonts w:hint="eastAsia" w:ascii="宋体" w:hAnsi="宋体" w:eastAsia="宋体" w:cs="宋体"/>
                      <w:color w:val="auto"/>
                      <w:szCs w:val="21"/>
                    </w:rPr>
                    <w:t>不占用</w:t>
                  </w:r>
                </w:p>
              </w:tc>
              <w:tc>
                <w:tcPr>
                  <w:tcW w:w="986" w:type="dxa"/>
                  <w:vAlign w:val="center"/>
                </w:tcPr>
                <w:p>
                  <w:pPr>
                    <w:spacing w:before="120" w:beforeLines="50" w:line="360" w:lineRule="auto"/>
                    <w:jc w:val="center"/>
                    <w:rPr>
                      <w:rFonts w:hint="eastAsia" w:ascii="宋体" w:hAnsi="宋体" w:eastAsia="宋体" w:cs="宋体"/>
                      <w:color w:val="auto"/>
                    </w:rPr>
                  </w:pPr>
                  <w:r>
                    <w:rPr>
                      <w:rFonts w:hint="eastAsia" w:ascii="宋体" w:hAnsi="宋体" w:eastAsia="宋体" w:cs="宋体"/>
                      <w:color w:val="auto"/>
                    </w:rPr>
                    <w:t>符合</w:t>
                  </w:r>
                </w:p>
              </w:tc>
              <w:tc>
                <w:tcPr>
                  <w:tcW w:w="1893" w:type="dxa"/>
                  <w:vMerge w:val="continue"/>
                  <w:vAlign w:val="center"/>
                </w:tcPr>
                <w:p>
                  <w:pPr>
                    <w:spacing w:before="120" w:beforeLines="50" w:line="360" w:lineRule="auto"/>
                    <w:jc w:val="center"/>
                    <w:rPr>
                      <w:rFonts w:ascii="宋体" w:hAnsi="宋体" w:cs="宋体"/>
                      <w:color w:val="auto"/>
                    </w:rPr>
                  </w:pPr>
                </w:p>
              </w:tc>
            </w:tr>
          </w:tbl>
          <w:p>
            <w:pPr>
              <w:pStyle w:val="43"/>
              <w:keepNext w:val="0"/>
              <w:keepLines w:val="0"/>
              <w:pageBreakBefore w:val="0"/>
              <w:widowControl w:val="0"/>
              <w:kinsoku/>
              <w:wordWrap/>
              <w:overflowPunct/>
              <w:topLinePunct w:val="0"/>
              <w:autoSpaceDE/>
              <w:autoSpaceDN/>
              <w:bidi w:val="0"/>
              <w:adjustRightInd w:val="0"/>
              <w:snapToGrid w:val="0"/>
              <w:spacing w:before="157" w:beforeLines="50"/>
              <w:ind w:firstLine="480"/>
              <w:textAlignment w:val="auto"/>
              <w:rPr>
                <w:b/>
                <w:bCs/>
                <w:color w:val="auto"/>
                <w:sz w:val="24"/>
              </w:rPr>
            </w:pPr>
            <w:r>
              <w:rPr>
                <w:rFonts w:hint="eastAsia" w:ascii="宋体" w:hAnsi="宋体" w:cs="宋体"/>
                <w:color w:val="auto"/>
                <w:sz w:val="24"/>
              </w:rPr>
              <w:t>因此，项目选址符合选址“一张图”控制线要求，项目建设不涉及生态红线，符合榆林市“多规合一”工作管理要求。</w:t>
            </w:r>
          </w:p>
          <w:p>
            <w:pPr>
              <w:pStyle w:val="18"/>
              <w:spacing w:after="0" w:line="360" w:lineRule="auto"/>
              <w:ind w:left="0" w:leftChars="0" w:firstLine="0" w:firstLineChars="0"/>
              <w:rPr>
                <w:b/>
                <w:bCs/>
                <w:color w:val="auto"/>
                <w:kern w:val="2"/>
                <w:szCs w:val="24"/>
              </w:rPr>
            </w:pPr>
            <w:r>
              <w:rPr>
                <w:rFonts w:hint="eastAsia"/>
                <w:b/>
                <w:bCs/>
                <w:color w:val="auto"/>
                <w:kern w:val="2"/>
                <w:szCs w:val="24"/>
              </w:rPr>
              <w:t>4、与相关环保政策符合性分析</w:t>
            </w:r>
          </w:p>
          <w:p>
            <w:pPr>
              <w:pStyle w:val="18"/>
              <w:spacing w:after="0" w:line="360" w:lineRule="auto"/>
              <w:ind w:left="0" w:leftChars="0" w:firstLine="480"/>
              <w:rPr>
                <w:color w:val="auto"/>
                <w:kern w:val="2"/>
                <w:szCs w:val="32"/>
              </w:rPr>
            </w:pPr>
            <w:r>
              <w:rPr>
                <w:rFonts w:hint="eastAsia"/>
                <w:color w:val="auto"/>
                <w:kern w:val="2"/>
                <w:szCs w:val="32"/>
              </w:rPr>
              <w:t>项目与相关政策符合性分析详见表1</w:t>
            </w:r>
            <w:r>
              <w:rPr>
                <w:color w:val="auto"/>
                <w:kern w:val="2"/>
                <w:szCs w:val="32"/>
              </w:rPr>
              <w:t>-</w:t>
            </w:r>
            <w:r>
              <w:rPr>
                <w:rFonts w:hint="eastAsia"/>
                <w:color w:val="auto"/>
                <w:kern w:val="2"/>
                <w:szCs w:val="32"/>
              </w:rPr>
              <w:t>3。</w:t>
            </w:r>
          </w:p>
          <w:p>
            <w:pPr>
              <w:ind w:firstLine="422" w:firstLineChars="200"/>
              <w:jc w:val="left"/>
              <w:rPr>
                <w:b/>
                <w:bCs/>
                <w:color w:val="auto"/>
              </w:rPr>
            </w:pPr>
            <w:r>
              <w:rPr>
                <w:rFonts w:hint="eastAsia"/>
                <w:b/>
                <w:bCs/>
                <w:color w:val="auto"/>
              </w:rPr>
              <w:t>表1-3             项目与相关政策符合性分析一览表</w:t>
            </w:r>
          </w:p>
          <w:tbl>
            <w:tblPr>
              <w:tblStyle w:val="19"/>
              <w:tblW w:w="80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6"/>
              <w:gridCol w:w="1472"/>
              <w:gridCol w:w="2945"/>
              <w:gridCol w:w="2125"/>
              <w:gridCol w:w="8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Align w:val="center"/>
                </w:tcPr>
                <w:p>
                  <w:pPr>
                    <w:pStyle w:val="43"/>
                    <w:spacing w:line="240" w:lineRule="auto"/>
                    <w:ind w:firstLine="0" w:firstLineChars="0"/>
                    <w:jc w:val="center"/>
                    <w:rPr>
                      <w:color w:val="auto"/>
                    </w:rPr>
                  </w:pPr>
                  <w:r>
                    <w:rPr>
                      <w:rFonts w:hint="eastAsia"/>
                      <w:color w:val="auto"/>
                    </w:rPr>
                    <w:t>序号</w:t>
                  </w:r>
                </w:p>
              </w:tc>
              <w:tc>
                <w:tcPr>
                  <w:tcW w:w="1472" w:type="dxa"/>
                  <w:vAlign w:val="center"/>
                </w:tcPr>
                <w:p>
                  <w:pPr>
                    <w:pStyle w:val="43"/>
                    <w:spacing w:line="240" w:lineRule="auto"/>
                    <w:ind w:firstLine="0" w:firstLineChars="0"/>
                    <w:jc w:val="center"/>
                    <w:rPr>
                      <w:color w:val="auto"/>
                    </w:rPr>
                  </w:pPr>
                  <w:r>
                    <w:rPr>
                      <w:rFonts w:hint="eastAsia"/>
                      <w:color w:val="auto"/>
                    </w:rPr>
                    <w:t>相关政策及规划</w:t>
                  </w:r>
                </w:p>
              </w:tc>
              <w:tc>
                <w:tcPr>
                  <w:tcW w:w="2945" w:type="dxa"/>
                  <w:vAlign w:val="center"/>
                </w:tcPr>
                <w:p>
                  <w:pPr>
                    <w:pStyle w:val="43"/>
                    <w:spacing w:line="240" w:lineRule="auto"/>
                    <w:ind w:firstLine="0" w:firstLineChars="0"/>
                    <w:jc w:val="center"/>
                    <w:rPr>
                      <w:color w:val="auto"/>
                    </w:rPr>
                  </w:pPr>
                  <w:r>
                    <w:rPr>
                      <w:rFonts w:hint="eastAsia"/>
                      <w:color w:val="auto"/>
                    </w:rPr>
                    <w:t>政策及规划要求（摘录）</w:t>
                  </w:r>
                </w:p>
              </w:tc>
              <w:tc>
                <w:tcPr>
                  <w:tcW w:w="2125" w:type="dxa"/>
                  <w:vAlign w:val="center"/>
                </w:tcPr>
                <w:p>
                  <w:pPr>
                    <w:pStyle w:val="43"/>
                    <w:spacing w:line="240" w:lineRule="auto"/>
                    <w:ind w:firstLine="0" w:firstLineChars="0"/>
                    <w:jc w:val="center"/>
                    <w:rPr>
                      <w:color w:val="auto"/>
                    </w:rPr>
                  </w:pPr>
                  <w:r>
                    <w:rPr>
                      <w:rFonts w:hint="eastAsia"/>
                      <w:color w:val="auto"/>
                    </w:rPr>
                    <w:t>本项目情况</w:t>
                  </w:r>
                </w:p>
              </w:tc>
              <w:tc>
                <w:tcPr>
                  <w:tcW w:w="819" w:type="dxa"/>
                  <w:vAlign w:val="center"/>
                </w:tcPr>
                <w:p>
                  <w:pPr>
                    <w:pStyle w:val="43"/>
                    <w:spacing w:line="240" w:lineRule="auto"/>
                    <w:ind w:firstLine="0" w:firstLineChars="0"/>
                    <w:jc w:val="center"/>
                    <w:rPr>
                      <w:color w:val="auto"/>
                    </w:rPr>
                  </w:pPr>
                  <w:r>
                    <w:rPr>
                      <w:rFonts w:hint="eastAsia"/>
                      <w:color w:val="auto"/>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Merge w:val="restart"/>
                  <w:vAlign w:val="center"/>
                </w:tcPr>
                <w:p>
                  <w:pPr>
                    <w:pStyle w:val="43"/>
                    <w:spacing w:line="240" w:lineRule="auto"/>
                    <w:ind w:firstLine="0" w:firstLineChars="0"/>
                    <w:jc w:val="center"/>
                    <w:rPr>
                      <w:color w:val="auto"/>
                    </w:rPr>
                  </w:pPr>
                  <w:r>
                    <w:rPr>
                      <w:rFonts w:hint="eastAsia"/>
                      <w:color w:val="auto"/>
                    </w:rPr>
                    <w:t>1</w:t>
                  </w:r>
                </w:p>
              </w:tc>
              <w:tc>
                <w:tcPr>
                  <w:tcW w:w="1472" w:type="dxa"/>
                  <w:vMerge w:val="restart"/>
                  <w:vAlign w:val="center"/>
                </w:tcPr>
                <w:p>
                  <w:pPr>
                    <w:pStyle w:val="43"/>
                    <w:spacing w:line="240" w:lineRule="auto"/>
                    <w:ind w:firstLine="0" w:firstLineChars="0"/>
                    <w:jc w:val="center"/>
                    <w:rPr>
                      <w:color w:val="auto"/>
                    </w:rPr>
                  </w:pPr>
                  <w:r>
                    <w:rPr>
                      <w:rFonts w:hint="eastAsia"/>
                      <w:color w:val="auto"/>
                    </w:rPr>
                    <w:t>关于印发《2020年挥发性有机物治理攻坚方案》的通知(环大气[2020]33号)</w:t>
                  </w:r>
                </w:p>
              </w:tc>
              <w:tc>
                <w:tcPr>
                  <w:tcW w:w="2945" w:type="dxa"/>
                  <w:vAlign w:val="center"/>
                </w:tcPr>
                <w:p>
                  <w:pPr>
                    <w:pStyle w:val="43"/>
                    <w:spacing w:line="240" w:lineRule="auto"/>
                    <w:ind w:firstLine="0" w:firstLineChars="0"/>
                    <w:jc w:val="left"/>
                    <w:rPr>
                      <w:color w:val="auto"/>
                    </w:rPr>
                  </w:pPr>
                  <w:r>
                    <w:rPr>
                      <w:rFonts w:hint="eastAsia"/>
                      <w:color w:val="auto"/>
                    </w:rPr>
                    <w:t>企业在无组织排放排查整治过程中，在保证安全的前提下，加强含VOCs物料全方位、全链条、全环节密闭管理。</w:t>
                  </w:r>
                </w:p>
              </w:tc>
              <w:tc>
                <w:tcPr>
                  <w:tcW w:w="2125" w:type="dxa"/>
                  <w:vAlign w:val="center"/>
                </w:tcPr>
                <w:p>
                  <w:pPr>
                    <w:pStyle w:val="43"/>
                    <w:spacing w:line="240" w:lineRule="auto"/>
                    <w:ind w:firstLine="0" w:firstLineChars="0"/>
                    <w:jc w:val="left"/>
                    <w:rPr>
                      <w:color w:val="auto"/>
                    </w:rPr>
                  </w:pPr>
                  <w:r>
                    <w:rPr>
                      <w:rFonts w:hint="eastAsia"/>
                      <w:color w:val="auto"/>
                    </w:rPr>
                    <w:t>本项目涉及的VOCs物料为落地油泥等危废产生，本次评价要求企业产生的落地油泥采用三层塑料包装袋密封包装后再装入</w:t>
                  </w:r>
                  <w:r>
                    <w:rPr>
                      <w:rFonts w:hint="eastAsia"/>
                      <w:color w:val="auto"/>
                      <w:lang w:val="en-US" w:eastAsia="zh-CN"/>
                    </w:rPr>
                    <w:t>专用包装</w:t>
                  </w:r>
                  <w:r>
                    <w:rPr>
                      <w:rFonts w:hint="eastAsia"/>
                      <w:color w:val="auto"/>
                    </w:rPr>
                    <w:t>袋暂存在暂存间内。</w:t>
                  </w:r>
                </w:p>
              </w:tc>
              <w:tc>
                <w:tcPr>
                  <w:tcW w:w="819" w:type="dxa"/>
                  <w:vAlign w:val="center"/>
                </w:tcPr>
                <w:p>
                  <w:pPr>
                    <w:pStyle w:val="43"/>
                    <w:spacing w:line="240" w:lineRule="auto"/>
                    <w:ind w:firstLine="0" w:firstLineChars="0"/>
                    <w:jc w:val="center"/>
                    <w:rPr>
                      <w:color w:val="auto"/>
                    </w:rPr>
                  </w:pPr>
                  <w:r>
                    <w:rPr>
                      <w:rFonts w:hint="eastAsia"/>
                      <w:color w:val="auto"/>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Merge w:val="continue"/>
                  <w:vAlign w:val="center"/>
                </w:tcPr>
                <w:p>
                  <w:pPr>
                    <w:pStyle w:val="43"/>
                    <w:spacing w:line="240" w:lineRule="auto"/>
                    <w:ind w:firstLine="0" w:firstLineChars="0"/>
                    <w:jc w:val="center"/>
                    <w:rPr>
                      <w:color w:val="auto"/>
                    </w:rPr>
                  </w:pPr>
                </w:p>
              </w:tc>
              <w:tc>
                <w:tcPr>
                  <w:tcW w:w="1472" w:type="dxa"/>
                  <w:vMerge w:val="continue"/>
                  <w:vAlign w:val="center"/>
                </w:tcPr>
                <w:p>
                  <w:pPr>
                    <w:pStyle w:val="43"/>
                    <w:spacing w:line="240" w:lineRule="auto"/>
                    <w:ind w:firstLine="0" w:firstLineChars="0"/>
                    <w:jc w:val="center"/>
                    <w:rPr>
                      <w:color w:val="auto"/>
                    </w:rPr>
                  </w:pPr>
                </w:p>
              </w:tc>
              <w:tc>
                <w:tcPr>
                  <w:tcW w:w="2945" w:type="dxa"/>
                  <w:vAlign w:val="center"/>
                </w:tcPr>
                <w:p>
                  <w:pPr>
                    <w:pStyle w:val="43"/>
                    <w:spacing w:line="240" w:lineRule="auto"/>
                    <w:ind w:firstLine="0" w:firstLineChars="0"/>
                    <w:jc w:val="left"/>
                    <w:rPr>
                      <w:color w:val="auto"/>
                    </w:rPr>
                  </w:pPr>
                  <w:r>
                    <w:rPr>
                      <w:rFonts w:hint="eastAsia"/>
                      <w:color w:val="auto"/>
                    </w:rPr>
                    <w:t>生产和使用环节应采用密闭设备，或密闭空间中操作并有效收集废气，或进行局部气体收集。</w:t>
                  </w:r>
                </w:p>
              </w:tc>
              <w:tc>
                <w:tcPr>
                  <w:tcW w:w="2125" w:type="dxa"/>
                  <w:vAlign w:val="center"/>
                </w:tcPr>
                <w:p>
                  <w:pPr>
                    <w:pStyle w:val="43"/>
                    <w:spacing w:line="240" w:lineRule="auto"/>
                    <w:ind w:firstLine="0" w:firstLineChars="0"/>
                    <w:jc w:val="left"/>
                    <w:rPr>
                      <w:color w:val="auto"/>
                    </w:rPr>
                  </w:pPr>
                  <w:r>
                    <w:rPr>
                      <w:rFonts w:hint="eastAsia"/>
                      <w:color w:val="auto"/>
                    </w:rPr>
                    <w:t>本项目产生的落地油泥均采用三层塑料包装袋密封包装后再装入</w:t>
                  </w:r>
                  <w:r>
                    <w:rPr>
                      <w:rFonts w:hint="eastAsia"/>
                      <w:color w:val="auto"/>
                      <w:lang w:val="en-US" w:eastAsia="zh-CN"/>
                    </w:rPr>
                    <w:t>专用包装</w:t>
                  </w:r>
                  <w:r>
                    <w:rPr>
                      <w:rFonts w:hint="eastAsia"/>
                      <w:color w:val="auto"/>
                    </w:rPr>
                    <w:t>袋暂存在暂存间内。</w:t>
                  </w:r>
                </w:p>
              </w:tc>
              <w:tc>
                <w:tcPr>
                  <w:tcW w:w="819" w:type="dxa"/>
                  <w:vAlign w:val="center"/>
                </w:tcPr>
                <w:p>
                  <w:pPr>
                    <w:pStyle w:val="43"/>
                    <w:spacing w:line="240" w:lineRule="auto"/>
                    <w:ind w:firstLine="0" w:firstLineChars="0"/>
                    <w:jc w:val="center"/>
                    <w:rPr>
                      <w:color w:val="auto"/>
                    </w:rPr>
                  </w:pPr>
                  <w:r>
                    <w:rPr>
                      <w:rFonts w:hint="eastAsia"/>
                      <w:color w:val="auto"/>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Align w:val="center"/>
                </w:tcPr>
                <w:p>
                  <w:pPr>
                    <w:pStyle w:val="43"/>
                    <w:spacing w:line="240" w:lineRule="auto"/>
                    <w:ind w:firstLine="0" w:firstLineChars="0"/>
                    <w:jc w:val="center"/>
                    <w:rPr>
                      <w:color w:val="auto"/>
                    </w:rPr>
                  </w:pPr>
                  <w:r>
                    <w:rPr>
                      <w:rFonts w:hint="eastAsia"/>
                      <w:color w:val="auto"/>
                    </w:rPr>
                    <w:t>2</w:t>
                  </w:r>
                </w:p>
              </w:tc>
              <w:tc>
                <w:tcPr>
                  <w:tcW w:w="1472" w:type="dxa"/>
                  <w:vAlign w:val="center"/>
                </w:tcPr>
                <w:p>
                  <w:pPr>
                    <w:pStyle w:val="43"/>
                    <w:spacing w:line="240" w:lineRule="auto"/>
                    <w:ind w:firstLine="0" w:firstLineChars="0"/>
                    <w:jc w:val="center"/>
                    <w:rPr>
                      <w:color w:val="auto"/>
                    </w:rPr>
                  </w:pPr>
                  <w:r>
                    <w:rPr>
                      <w:rFonts w:hint="eastAsia"/>
                      <w:color w:val="auto"/>
                      <w:szCs w:val="21"/>
                    </w:rPr>
                    <w:t>《</w:t>
                  </w:r>
                  <w:r>
                    <w:rPr>
                      <w:color w:val="auto"/>
                      <w:szCs w:val="21"/>
                    </w:rPr>
                    <w:t>榆林市2022年生态环境保护五十二项攻坚行动方案</w:t>
                  </w:r>
                  <w:r>
                    <w:rPr>
                      <w:rFonts w:hint="eastAsia"/>
                      <w:color w:val="auto"/>
                      <w:szCs w:val="21"/>
                    </w:rPr>
                    <w:t>》</w:t>
                  </w:r>
                  <w:r>
                    <w:rPr>
                      <w:color w:val="auto"/>
                      <w:szCs w:val="21"/>
                    </w:rPr>
                    <w:t>（榆办字〔2022〕11号）</w:t>
                  </w:r>
                </w:p>
              </w:tc>
              <w:tc>
                <w:tcPr>
                  <w:tcW w:w="2945" w:type="dxa"/>
                  <w:vAlign w:val="center"/>
                </w:tcPr>
                <w:p>
                  <w:pPr>
                    <w:pStyle w:val="43"/>
                    <w:spacing w:line="240" w:lineRule="auto"/>
                    <w:ind w:firstLine="0" w:firstLineChars="0"/>
                    <w:jc w:val="left"/>
                    <w:rPr>
                      <w:color w:val="auto"/>
                    </w:rPr>
                  </w:pPr>
                  <w:r>
                    <w:rPr>
                      <w:color w:val="auto"/>
                      <w:szCs w:val="21"/>
                    </w:rPr>
                    <w:t>建筑工地精细化管控行动。榆林中心城区和各县市区城区及周边所有建筑（道路工程、商砼站）施工做到工场周边围挡、物料裸土覆盏、土方开挖（拆迁）湿法作业、路面硬化、出入车辆清洗、渣土车辆密闭运输</w:t>
                  </w:r>
                  <w:r>
                    <w:rPr>
                      <w:rFonts w:hint="eastAsia"/>
                      <w:color w:val="auto"/>
                      <w:szCs w:val="21"/>
                    </w:rPr>
                    <w:t>“</w:t>
                  </w:r>
                  <w:r>
                    <w:rPr>
                      <w:color w:val="auto"/>
                      <w:szCs w:val="21"/>
                    </w:rPr>
                    <w:t>六个百分之百</w:t>
                  </w:r>
                  <w:r>
                    <w:rPr>
                      <w:rFonts w:hint="eastAsia"/>
                      <w:color w:val="auto"/>
                      <w:szCs w:val="21"/>
                    </w:rPr>
                    <w:t>”</w:t>
                  </w:r>
                  <w:r>
                    <w:rPr>
                      <w:color w:val="auto"/>
                      <w:szCs w:val="21"/>
                    </w:rPr>
                    <w:t>；严格落实车辆出入工地清洗制度，严禁带泥上路，杜绝燃烧木柴、竹胶板及露天焚烧垃圾等；建筑工地场界建设喷淋设施、视频监控、扬尘在线监测系统并联网管理。</w:t>
                  </w:r>
                </w:p>
              </w:tc>
              <w:tc>
                <w:tcPr>
                  <w:tcW w:w="2125" w:type="dxa"/>
                  <w:vAlign w:val="center"/>
                </w:tcPr>
                <w:p>
                  <w:pPr>
                    <w:pStyle w:val="43"/>
                    <w:spacing w:line="240" w:lineRule="auto"/>
                    <w:ind w:firstLine="0" w:firstLineChars="0"/>
                    <w:jc w:val="left"/>
                    <w:rPr>
                      <w:color w:val="auto"/>
                    </w:rPr>
                  </w:pPr>
                  <w:r>
                    <w:rPr>
                      <w:rFonts w:hint="eastAsia"/>
                      <w:color w:val="auto"/>
                      <w:szCs w:val="21"/>
                    </w:rPr>
                    <w:t>本次环评</w:t>
                  </w:r>
                  <w:r>
                    <w:rPr>
                      <w:color w:val="auto"/>
                      <w:szCs w:val="21"/>
                    </w:rPr>
                    <w:t>要求建设单位严格按照方案中各项扬尘控制措施进行施工，减缓了施工期扬尘污染。</w:t>
                  </w:r>
                </w:p>
              </w:tc>
              <w:tc>
                <w:tcPr>
                  <w:tcW w:w="819" w:type="dxa"/>
                  <w:vAlign w:val="center"/>
                </w:tcPr>
                <w:p>
                  <w:pPr>
                    <w:pStyle w:val="43"/>
                    <w:spacing w:line="240" w:lineRule="auto"/>
                    <w:ind w:firstLine="0" w:firstLineChars="0"/>
                    <w:jc w:val="center"/>
                    <w:rPr>
                      <w:color w:val="auto"/>
                    </w:rPr>
                  </w:pPr>
                  <w:r>
                    <w:rPr>
                      <w:rFonts w:hint="eastAsia"/>
                      <w:color w:val="auto"/>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Merge w:val="restart"/>
                  <w:vAlign w:val="center"/>
                </w:tcPr>
                <w:p>
                  <w:pPr>
                    <w:pStyle w:val="43"/>
                    <w:spacing w:line="240" w:lineRule="auto"/>
                    <w:ind w:firstLine="0" w:firstLineChars="0"/>
                    <w:jc w:val="center"/>
                    <w:rPr>
                      <w:color w:val="auto"/>
                    </w:rPr>
                  </w:pPr>
                  <w:r>
                    <w:rPr>
                      <w:rFonts w:hint="eastAsia"/>
                      <w:color w:val="auto"/>
                    </w:rPr>
                    <w:t>3</w:t>
                  </w:r>
                </w:p>
              </w:tc>
              <w:tc>
                <w:tcPr>
                  <w:tcW w:w="1472" w:type="dxa"/>
                  <w:vMerge w:val="restart"/>
                  <w:vAlign w:val="center"/>
                </w:tcPr>
                <w:p>
                  <w:pPr>
                    <w:pStyle w:val="43"/>
                    <w:spacing w:line="240" w:lineRule="auto"/>
                    <w:ind w:firstLine="0" w:firstLineChars="0"/>
                    <w:jc w:val="center"/>
                    <w:rPr>
                      <w:color w:val="auto"/>
                    </w:rPr>
                  </w:pPr>
                  <w:r>
                    <w:rPr>
                      <w:rFonts w:hint="eastAsia"/>
                      <w:color w:val="auto"/>
                    </w:rPr>
                    <w:t>关于印发《榆林市工业固体废物污染防治管理办法（试行）》的通知（榆政办发[2021]19号)</w:t>
                  </w:r>
                </w:p>
              </w:tc>
              <w:tc>
                <w:tcPr>
                  <w:tcW w:w="2945" w:type="dxa"/>
                  <w:vAlign w:val="center"/>
                </w:tcPr>
                <w:p>
                  <w:pPr>
                    <w:pStyle w:val="43"/>
                    <w:spacing w:line="240" w:lineRule="auto"/>
                    <w:ind w:firstLine="0" w:firstLineChars="0"/>
                    <w:jc w:val="left"/>
                    <w:rPr>
                      <w:color w:val="auto"/>
                    </w:rPr>
                  </w:pPr>
                  <w:r>
                    <w:rPr>
                      <w:rFonts w:hint="eastAsia"/>
                      <w:color w:val="auto"/>
                    </w:rPr>
                    <w:t>产生危险废物的单位应当建立危险废物管理计划及台账，如实记录产生危险废物的种类、数量、流向、贮存、利用、处置等信息。危险废物台账应当至少保存十年，企业重组、改制的,由承继企业接管保存;企业破产、倒闭的，应当将危险废物台账移交当地环境保护行政主管部门保存。</w:t>
                  </w:r>
                </w:p>
              </w:tc>
              <w:tc>
                <w:tcPr>
                  <w:tcW w:w="2125" w:type="dxa"/>
                  <w:vAlign w:val="center"/>
                </w:tcPr>
                <w:p>
                  <w:pPr>
                    <w:pStyle w:val="43"/>
                    <w:spacing w:line="240" w:lineRule="auto"/>
                    <w:ind w:firstLine="0" w:firstLineChars="0"/>
                    <w:jc w:val="left"/>
                    <w:rPr>
                      <w:color w:val="auto"/>
                    </w:rPr>
                  </w:pPr>
                  <w:r>
                    <w:rPr>
                      <w:rFonts w:hint="eastAsia"/>
                      <w:color w:val="auto"/>
                    </w:rPr>
                    <w:t>本次环评要求建设单位建立危险废物管理计划及台账，对危险废物进行记录，危险废物台账应当至少保存十年。</w:t>
                  </w:r>
                </w:p>
              </w:tc>
              <w:tc>
                <w:tcPr>
                  <w:tcW w:w="819" w:type="dxa"/>
                  <w:vAlign w:val="center"/>
                </w:tcPr>
                <w:p>
                  <w:pPr>
                    <w:pStyle w:val="43"/>
                    <w:spacing w:line="240" w:lineRule="auto"/>
                    <w:ind w:firstLine="0" w:firstLineChars="0"/>
                    <w:jc w:val="center"/>
                    <w:rPr>
                      <w:color w:val="auto"/>
                    </w:rPr>
                  </w:pPr>
                  <w:r>
                    <w:rPr>
                      <w:rFonts w:hint="eastAsia"/>
                      <w:color w:val="auto"/>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Merge w:val="continue"/>
                  <w:vAlign w:val="center"/>
                </w:tcPr>
                <w:p>
                  <w:pPr>
                    <w:pStyle w:val="43"/>
                    <w:spacing w:line="240" w:lineRule="auto"/>
                    <w:ind w:firstLine="0" w:firstLineChars="0"/>
                    <w:jc w:val="center"/>
                    <w:rPr>
                      <w:color w:val="auto"/>
                    </w:rPr>
                  </w:pPr>
                </w:p>
              </w:tc>
              <w:tc>
                <w:tcPr>
                  <w:tcW w:w="1472" w:type="dxa"/>
                  <w:vMerge w:val="continue"/>
                  <w:vAlign w:val="center"/>
                </w:tcPr>
                <w:p>
                  <w:pPr>
                    <w:pStyle w:val="43"/>
                    <w:spacing w:line="240" w:lineRule="auto"/>
                    <w:ind w:firstLine="0" w:firstLineChars="0"/>
                    <w:jc w:val="center"/>
                    <w:rPr>
                      <w:color w:val="auto"/>
                    </w:rPr>
                  </w:pPr>
                </w:p>
              </w:tc>
              <w:tc>
                <w:tcPr>
                  <w:tcW w:w="2945" w:type="dxa"/>
                  <w:vAlign w:val="center"/>
                </w:tcPr>
                <w:p>
                  <w:pPr>
                    <w:pStyle w:val="43"/>
                    <w:spacing w:line="240" w:lineRule="auto"/>
                    <w:ind w:firstLine="0" w:firstLineChars="0"/>
                    <w:jc w:val="left"/>
                    <w:rPr>
                      <w:color w:val="auto"/>
                    </w:rPr>
                  </w:pPr>
                  <w:r>
                    <w:rPr>
                      <w:rFonts w:hint="eastAsia"/>
                      <w:color w:val="auto"/>
                    </w:rPr>
                    <w:t>产生、收集、贮存、运输、利用和处置危险废物的单位，应当对本单位主管责任人及相关工作人员，进行危险废物相关法律法规和专业技术培训。</w:t>
                  </w:r>
                </w:p>
              </w:tc>
              <w:tc>
                <w:tcPr>
                  <w:tcW w:w="2125" w:type="dxa"/>
                  <w:vAlign w:val="center"/>
                </w:tcPr>
                <w:p>
                  <w:pPr>
                    <w:pStyle w:val="43"/>
                    <w:spacing w:line="240" w:lineRule="auto"/>
                    <w:ind w:firstLine="0" w:firstLineChars="0"/>
                    <w:jc w:val="left"/>
                    <w:rPr>
                      <w:color w:val="auto"/>
                    </w:rPr>
                  </w:pPr>
                  <w:r>
                    <w:rPr>
                      <w:rFonts w:hint="eastAsia"/>
                      <w:color w:val="auto"/>
                    </w:rPr>
                    <w:t>本次环评要求建设单位对本单位主管责任人及相关工作人员，定期进行危险废物相关法律法规和专业技术培训。</w:t>
                  </w:r>
                </w:p>
              </w:tc>
              <w:tc>
                <w:tcPr>
                  <w:tcW w:w="819" w:type="dxa"/>
                  <w:vAlign w:val="center"/>
                </w:tcPr>
                <w:p>
                  <w:pPr>
                    <w:pStyle w:val="43"/>
                    <w:spacing w:line="240" w:lineRule="auto"/>
                    <w:ind w:firstLine="0" w:firstLineChars="0"/>
                    <w:jc w:val="center"/>
                    <w:rPr>
                      <w:color w:val="auto"/>
                    </w:rPr>
                  </w:pPr>
                  <w:r>
                    <w:rPr>
                      <w:rFonts w:hint="eastAsia"/>
                      <w:color w:val="auto"/>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Align w:val="center"/>
                </w:tcPr>
                <w:p>
                  <w:pPr>
                    <w:pStyle w:val="43"/>
                    <w:spacing w:line="240" w:lineRule="auto"/>
                    <w:ind w:firstLine="0" w:firstLineChars="0"/>
                    <w:jc w:val="center"/>
                    <w:rPr>
                      <w:color w:val="auto"/>
                    </w:rPr>
                  </w:pPr>
                  <w:r>
                    <w:rPr>
                      <w:rFonts w:hint="eastAsia"/>
                      <w:color w:val="auto"/>
                    </w:rPr>
                    <w:t>4</w:t>
                  </w:r>
                </w:p>
              </w:tc>
              <w:tc>
                <w:tcPr>
                  <w:tcW w:w="1472" w:type="dxa"/>
                  <w:vAlign w:val="center"/>
                </w:tcPr>
                <w:p>
                  <w:pPr>
                    <w:pStyle w:val="43"/>
                    <w:spacing w:line="240" w:lineRule="auto"/>
                    <w:ind w:firstLine="0" w:firstLineChars="0"/>
                    <w:jc w:val="center"/>
                    <w:rPr>
                      <w:color w:val="auto"/>
                    </w:rPr>
                  </w:pPr>
                  <w:r>
                    <w:rPr>
                      <w:rFonts w:hint="eastAsia"/>
                      <w:color w:val="auto"/>
                    </w:rPr>
                    <w:t>《石油天然气开采业污染防治技术政策》</w:t>
                  </w:r>
                </w:p>
              </w:tc>
              <w:tc>
                <w:tcPr>
                  <w:tcW w:w="2945" w:type="dxa"/>
                  <w:vAlign w:val="center"/>
                </w:tcPr>
                <w:p>
                  <w:pPr>
                    <w:pStyle w:val="43"/>
                    <w:spacing w:line="240" w:lineRule="auto"/>
                    <w:ind w:firstLine="0" w:firstLineChars="0"/>
                    <w:rPr>
                      <w:color w:val="auto"/>
                    </w:rPr>
                  </w:pPr>
                  <w:r>
                    <w:rPr>
                      <w:rFonts w:hint="eastAsia"/>
                      <w:color w:val="auto"/>
                    </w:rPr>
                    <w:t>油气田建设应总体规划，优化布局，整体开发，减少占地和油气损失，实现油气和废物的集中收集、处理处置。</w:t>
                  </w:r>
                </w:p>
              </w:tc>
              <w:tc>
                <w:tcPr>
                  <w:tcW w:w="2125" w:type="dxa"/>
                  <w:vAlign w:val="center"/>
                </w:tcPr>
                <w:p>
                  <w:pPr>
                    <w:pStyle w:val="43"/>
                    <w:spacing w:line="240" w:lineRule="auto"/>
                    <w:ind w:firstLine="0" w:firstLineChars="0"/>
                    <w:rPr>
                      <w:color w:val="auto"/>
                    </w:rPr>
                  </w:pPr>
                  <w:r>
                    <w:rPr>
                      <w:rFonts w:hint="eastAsia"/>
                      <w:color w:val="auto"/>
                    </w:rPr>
                    <w:t>本项目在现有井场内进行建设，不新增占地，危险废物集中收集并定期交由有资质的单位进行处置。</w:t>
                  </w:r>
                </w:p>
              </w:tc>
              <w:tc>
                <w:tcPr>
                  <w:tcW w:w="819" w:type="dxa"/>
                  <w:vAlign w:val="center"/>
                </w:tcPr>
                <w:p>
                  <w:pPr>
                    <w:pStyle w:val="43"/>
                    <w:spacing w:line="240" w:lineRule="auto"/>
                    <w:ind w:firstLine="0" w:firstLineChars="0"/>
                    <w:jc w:val="center"/>
                    <w:rPr>
                      <w:color w:val="auto"/>
                    </w:rPr>
                  </w:pPr>
                  <w:r>
                    <w:rPr>
                      <w:rFonts w:hint="eastAsia"/>
                      <w:color w:val="auto"/>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Align w:val="center"/>
                </w:tcPr>
                <w:p>
                  <w:pPr>
                    <w:pStyle w:val="43"/>
                    <w:spacing w:line="240" w:lineRule="auto"/>
                    <w:ind w:firstLine="0" w:firstLineChars="0"/>
                    <w:jc w:val="center"/>
                    <w:rPr>
                      <w:color w:val="auto"/>
                    </w:rPr>
                  </w:pPr>
                  <w:r>
                    <w:rPr>
                      <w:rFonts w:hint="eastAsia"/>
                      <w:color w:val="auto"/>
                    </w:rPr>
                    <w:t>5</w:t>
                  </w:r>
                </w:p>
              </w:tc>
              <w:tc>
                <w:tcPr>
                  <w:tcW w:w="1472" w:type="dxa"/>
                  <w:vAlign w:val="center"/>
                </w:tcPr>
                <w:p>
                  <w:pPr>
                    <w:pStyle w:val="43"/>
                    <w:spacing w:line="240" w:lineRule="auto"/>
                    <w:ind w:firstLine="0" w:firstLineChars="0"/>
                    <w:jc w:val="center"/>
                    <w:rPr>
                      <w:color w:val="auto"/>
                    </w:rPr>
                  </w:pPr>
                  <w:r>
                    <w:rPr>
                      <w:rFonts w:hint="eastAsia"/>
                      <w:color w:val="auto"/>
                    </w:rPr>
                    <w:t>《陕西省煤炭石油天然气开发生态环境保护条例》</w:t>
                  </w:r>
                  <w:r>
                    <w:rPr>
                      <w:bCs/>
                      <w:snapToGrid w:val="0"/>
                      <w:color w:val="auto"/>
                      <w:szCs w:val="21"/>
                    </w:rPr>
                    <w:t>（2019年修订）</w:t>
                  </w:r>
                </w:p>
              </w:tc>
              <w:tc>
                <w:tcPr>
                  <w:tcW w:w="2945" w:type="dxa"/>
                  <w:vAlign w:val="center"/>
                </w:tcPr>
                <w:p>
                  <w:pPr>
                    <w:topLinePunct/>
                    <w:jc w:val="left"/>
                    <w:rPr>
                      <w:color w:val="auto"/>
                      <w:szCs w:val="21"/>
                    </w:rPr>
                  </w:pPr>
                  <w:r>
                    <w:rPr>
                      <w:rFonts w:hint="eastAsia"/>
                      <w:color w:val="auto"/>
                      <w:szCs w:val="21"/>
                    </w:rPr>
                    <w:t>第二十九条 煤炭、石油、天然气开发单位收集、贮存、运输、利用和处置危险废物，应当严格执行国家和本省有关规定，不得将危险废物交由不具备资质的单位处置。</w:t>
                  </w:r>
                </w:p>
                <w:p>
                  <w:pPr>
                    <w:topLinePunct/>
                    <w:jc w:val="left"/>
                    <w:rPr>
                      <w:color w:val="auto"/>
                      <w:szCs w:val="21"/>
                    </w:rPr>
                  </w:pPr>
                  <w:r>
                    <w:rPr>
                      <w:rFonts w:hint="eastAsia"/>
                      <w:color w:val="auto"/>
                      <w:szCs w:val="21"/>
                    </w:rPr>
                    <w:t>禁止在废弃矿坑、渗坑、裂隙、沟渠内储存或者排放含油的废水、泥浆和其他有毒有害物质。</w:t>
                  </w:r>
                </w:p>
              </w:tc>
              <w:tc>
                <w:tcPr>
                  <w:tcW w:w="2125" w:type="dxa"/>
                  <w:vAlign w:val="center"/>
                </w:tcPr>
                <w:p>
                  <w:pPr>
                    <w:topLinePunct/>
                    <w:rPr>
                      <w:color w:val="auto"/>
                      <w:szCs w:val="21"/>
                    </w:rPr>
                  </w:pPr>
                  <w:r>
                    <w:rPr>
                      <w:rFonts w:hint="eastAsia"/>
                      <w:color w:val="auto"/>
                      <w:szCs w:val="21"/>
                    </w:rPr>
                    <w:t>本项目为油泥</w:t>
                  </w:r>
                  <w:r>
                    <w:rPr>
                      <w:rFonts w:hint="eastAsia"/>
                      <w:color w:val="auto"/>
                    </w:rPr>
                    <w:t>暂存点新建项目，危险废物集中收集并定期交由有资质的单位进行处置。</w:t>
                  </w:r>
                </w:p>
              </w:tc>
              <w:tc>
                <w:tcPr>
                  <w:tcW w:w="819" w:type="dxa"/>
                  <w:vAlign w:val="center"/>
                </w:tcPr>
                <w:p>
                  <w:pPr>
                    <w:pStyle w:val="43"/>
                    <w:spacing w:line="240" w:lineRule="auto"/>
                    <w:ind w:firstLine="0" w:firstLineChars="0"/>
                    <w:jc w:val="center"/>
                    <w:rPr>
                      <w:color w:val="auto"/>
                      <w:szCs w:val="21"/>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Align w:val="center"/>
                </w:tcPr>
                <w:p>
                  <w:pPr>
                    <w:pStyle w:val="43"/>
                    <w:spacing w:line="240" w:lineRule="auto"/>
                    <w:ind w:firstLine="0" w:firstLineChars="0"/>
                    <w:jc w:val="center"/>
                    <w:rPr>
                      <w:color w:val="auto"/>
                    </w:rPr>
                  </w:pPr>
                  <w:r>
                    <w:rPr>
                      <w:rFonts w:hint="eastAsia"/>
                      <w:color w:val="auto"/>
                    </w:rPr>
                    <w:t>6</w:t>
                  </w:r>
                </w:p>
              </w:tc>
              <w:tc>
                <w:tcPr>
                  <w:tcW w:w="1472" w:type="dxa"/>
                  <w:vAlign w:val="center"/>
                </w:tcPr>
                <w:p>
                  <w:pPr>
                    <w:pStyle w:val="43"/>
                    <w:spacing w:line="240" w:lineRule="auto"/>
                    <w:ind w:firstLine="0" w:firstLineChars="0"/>
                    <w:jc w:val="center"/>
                    <w:rPr>
                      <w:color w:val="auto"/>
                    </w:rPr>
                  </w:pPr>
                  <w:r>
                    <w:rPr>
                      <w:rFonts w:hint="eastAsia"/>
                      <w:color w:val="auto"/>
                    </w:rPr>
                    <w:t>《挥发性有机物无组织排放控制标准》(GB37822-2019)</w:t>
                  </w:r>
                </w:p>
              </w:tc>
              <w:tc>
                <w:tcPr>
                  <w:tcW w:w="2945" w:type="dxa"/>
                  <w:vAlign w:val="center"/>
                </w:tcPr>
                <w:p>
                  <w:pPr>
                    <w:topLinePunct/>
                    <w:jc w:val="left"/>
                    <w:rPr>
                      <w:color w:val="auto"/>
                      <w:szCs w:val="21"/>
                    </w:rPr>
                  </w:pPr>
                  <w:r>
                    <w:rPr>
                      <w:rFonts w:hint="eastAsia"/>
                      <w:color w:val="auto"/>
                      <w:szCs w:val="21"/>
                    </w:rPr>
                    <w:t>VOCs物料应存储于密闭的容器、包装袋、储罐、储库、料仓中。盛装VOCs物料的容器或包装应存放于室内，或存放于设置有雨棚、遮阳和防渗设施的专用场地。盛装VOCs物料的容器或包装袋在非取用状态时应加盖、封口、保持密闭。</w:t>
                  </w:r>
                </w:p>
              </w:tc>
              <w:tc>
                <w:tcPr>
                  <w:tcW w:w="2125" w:type="dxa"/>
                  <w:vAlign w:val="center"/>
                </w:tcPr>
                <w:p>
                  <w:pPr>
                    <w:topLinePunct/>
                    <w:rPr>
                      <w:color w:val="auto"/>
                      <w:szCs w:val="21"/>
                    </w:rPr>
                  </w:pPr>
                  <w:r>
                    <w:rPr>
                      <w:rFonts w:hint="eastAsia"/>
                      <w:color w:val="auto"/>
                      <w:szCs w:val="21"/>
                    </w:rPr>
                    <w:t>本项目涉及的VOCs物料为落地油泥，本次评价要求企业产生的落地油泥采用三层塑料包装袋密封包装后再装入</w:t>
                  </w:r>
                  <w:r>
                    <w:rPr>
                      <w:rFonts w:hint="eastAsia"/>
                      <w:color w:val="auto"/>
                      <w:lang w:val="en-US" w:eastAsia="zh-CN"/>
                    </w:rPr>
                    <w:t>专用包装</w:t>
                  </w:r>
                  <w:r>
                    <w:rPr>
                      <w:rFonts w:hint="eastAsia"/>
                      <w:color w:val="auto"/>
                    </w:rPr>
                    <w:t>袋</w:t>
                  </w:r>
                  <w:r>
                    <w:rPr>
                      <w:rFonts w:hint="eastAsia"/>
                      <w:color w:val="auto"/>
                      <w:szCs w:val="21"/>
                    </w:rPr>
                    <w:t>暂存在暂存间内。</w:t>
                  </w:r>
                </w:p>
              </w:tc>
              <w:tc>
                <w:tcPr>
                  <w:tcW w:w="819" w:type="dxa"/>
                  <w:vAlign w:val="center"/>
                </w:tcPr>
                <w:p>
                  <w:pPr>
                    <w:pStyle w:val="43"/>
                    <w:spacing w:line="240" w:lineRule="auto"/>
                    <w:ind w:firstLine="0" w:firstLineChars="0"/>
                    <w:jc w:val="center"/>
                    <w:rPr>
                      <w:color w:val="auto"/>
                      <w:szCs w:val="21"/>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Align w:val="center"/>
                </w:tcPr>
                <w:p>
                  <w:pPr>
                    <w:pStyle w:val="43"/>
                    <w:spacing w:line="240" w:lineRule="auto"/>
                    <w:ind w:firstLine="0" w:firstLineChars="0"/>
                    <w:jc w:val="center"/>
                    <w:rPr>
                      <w:color w:val="auto"/>
                    </w:rPr>
                  </w:pPr>
                  <w:r>
                    <w:rPr>
                      <w:rFonts w:hint="eastAsia"/>
                      <w:color w:val="auto"/>
                    </w:rPr>
                    <w:t>7</w:t>
                  </w:r>
                </w:p>
              </w:tc>
              <w:tc>
                <w:tcPr>
                  <w:tcW w:w="1472" w:type="dxa"/>
                  <w:vAlign w:val="center"/>
                </w:tcPr>
                <w:p>
                  <w:pPr>
                    <w:pStyle w:val="43"/>
                    <w:spacing w:line="240" w:lineRule="auto"/>
                    <w:ind w:firstLine="0" w:firstLineChars="0"/>
                    <w:jc w:val="center"/>
                    <w:rPr>
                      <w:color w:val="auto"/>
                    </w:rPr>
                  </w:pPr>
                  <w:r>
                    <w:rPr>
                      <w:rFonts w:hint="eastAsia"/>
                      <w:color w:val="auto"/>
                    </w:rPr>
                    <w:t>榆林市环境保护局关于进一步加强全市工业企业挥发性有机物治理的通知</w:t>
                  </w:r>
                </w:p>
              </w:tc>
              <w:tc>
                <w:tcPr>
                  <w:tcW w:w="2945" w:type="dxa"/>
                  <w:vAlign w:val="center"/>
                </w:tcPr>
                <w:p>
                  <w:pPr>
                    <w:topLinePunct/>
                    <w:jc w:val="left"/>
                    <w:rPr>
                      <w:color w:val="auto"/>
                      <w:szCs w:val="21"/>
                    </w:rPr>
                  </w:pPr>
                  <w:r>
                    <w:rPr>
                      <w:rFonts w:hint="eastAsia"/>
                      <w:color w:val="auto"/>
                      <w:szCs w:val="21"/>
                    </w:rPr>
                    <w:t>各排污单位严格落实主体责任，建立并完善VOCs自行监测方案，对污染物排放口及周边环境质量开展自行监测，主动公开并定期向环保局报送VOCs排放情况。无监测能力的要委托有资质的第三方开展监测。</w:t>
                  </w:r>
                </w:p>
              </w:tc>
              <w:tc>
                <w:tcPr>
                  <w:tcW w:w="2125" w:type="dxa"/>
                  <w:vAlign w:val="center"/>
                </w:tcPr>
                <w:p>
                  <w:pPr>
                    <w:topLinePunct/>
                    <w:rPr>
                      <w:color w:val="auto"/>
                      <w:szCs w:val="21"/>
                    </w:rPr>
                  </w:pPr>
                  <w:r>
                    <w:rPr>
                      <w:rFonts w:hint="eastAsia"/>
                      <w:color w:val="auto"/>
                      <w:szCs w:val="21"/>
                    </w:rPr>
                    <w:t>本次评价要求建设单位按照环评提出的监测方案定期进行监测，并将监测结果定期报送至环保部门。</w:t>
                  </w:r>
                </w:p>
              </w:tc>
              <w:tc>
                <w:tcPr>
                  <w:tcW w:w="819" w:type="dxa"/>
                  <w:vAlign w:val="center"/>
                </w:tcPr>
                <w:p>
                  <w:pPr>
                    <w:pStyle w:val="43"/>
                    <w:spacing w:line="240" w:lineRule="auto"/>
                    <w:ind w:firstLine="0" w:firstLineChars="0"/>
                    <w:jc w:val="center"/>
                    <w:rPr>
                      <w:color w:val="auto"/>
                      <w:szCs w:val="21"/>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Align w:val="center"/>
                </w:tcPr>
                <w:p>
                  <w:pPr>
                    <w:pStyle w:val="43"/>
                    <w:spacing w:line="240" w:lineRule="auto"/>
                    <w:ind w:firstLine="0" w:firstLineChars="0"/>
                    <w:jc w:val="center"/>
                    <w:rPr>
                      <w:color w:val="auto"/>
                    </w:rPr>
                  </w:pPr>
                  <w:r>
                    <w:rPr>
                      <w:rFonts w:hint="eastAsia"/>
                      <w:color w:val="auto"/>
                    </w:rPr>
                    <w:t>8</w:t>
                  </w:r>
                </w:p>
              </w:tc>
              <w:tc>
                <w:tcPr>
                  <w:tcW w:w="1472" w:type="dxa"/>
                  <w:vAlign w:val="center"/>
                </w:tcPr>
                <w:p>
                  <w:pPr>
                    <w:pStyle w:val="43"/>
                    <w:spacing w:line="240" w:lineRule="auto"/>
                    <w:ind w:firstLine="0" w:firstLineChars="0"/>
                    <w:jc w:val="center"/>
                    <w:rPr>
                      <w:color w:val="auto"/>
                    </w:rPr>
                  </w:pPr>
                  <w:r>
                    <w:rPr>
                      <w:rFonts w:hint="eastAsia"/>
                      <w:color w:val="auto"/>
                    </w:rPr>
                    <w:t>《陕西省危险废物处置利用设施建设规划》(2018-2025年)</w:t>
                  </w:r>
                </w:p>
              </w:tc>
              <w:tc>
                <w:tcPr>
                  <w:tcW w:w="2945" w:type="dxa"/>
                  <w:vAlign w:val="center"/>
                </w:tcPr>
                <w:p>
                  <w:pPr>
                    <w:topLinePunct/>
                    <w:jc w:val="left"/>
                    <w:rPr>
                      <w:color w:val="auto"/>
                      <w:szCs w:val="21"/>
                    </w:rPr>
                  </w:pPr>
                  <w:r>
                    <w:rPr>
                      <w:rFonts w:hint="eastAsia"/>
                      <w:color w:val="auto"/>
                      <w:szCs w:val="21"/>
                    </w:rPr>
                    <w:t>推进危险废物收集网络建设；规范废铅蓄电池和废矿物油回收网络体系。</w:t>
                  </w:r>
                </w:p>
              </w:tc>
              <w:tc>
                <w:tcPr>
                  <w:tcW w:w="2125" w:type="dxa"/>
                  <w:vAlign w:val="center"/>
                </w:tcPr>
                <w:p>
                  <w:pPr>
                    <w:topLinePunct/>
                    <w:rPr>
                      <w:color w:val="auto"/>
                      <w:szCs w:val="21"/>
                    </w:rPr>
                  </w:pPr>
                  <w:r>
                    <w:rPr>
                      <w:rFonts w:hint="eastAsia"/>
                      <w:color w:val="auto"/>
                      <w:szCs w:val="21"/>
                    </w:rPr>
                    <w:t>本项目危险废物暂存点的建设可以有效收集储存</w:t>
                  </w:r>
                  <w:r>
                    <w:rPr>
                      <w:rFonts w:hint="eastAsia"/>
                      <w:color w:val="auto"/>
                      <w:szCs w:val="21"/>
                      <w:lang w:eastAsia="zh-CN"/>
                    </w:rPr>
                    <w:t>小河</w:t>
                  </w:r>
                  <w:r>
                    <w:rPr>
                      <w:rFonts w:hint="eastAsia"/>
                      <w:color w:val="auto"/>
                      <w:szCs w:val="21"/>
                    </w:rPr>
                    <w:t>作业区各井场、站点及作业产生的落地油泥，定期交由有资质的单位进行处置，危废处理率100%，完善了危险废物收集体系。</w:t>
                  </w:r>
                </w:p>
              </w:tc>
              <w:tc>
                <w:tcPr>
                  <w:tcW w:w="819" w:type="dxa"/>
                  <w:vAlign w:val="center"/>
                </w:tcPr>
                <w:p>
                  <w:pPr>
                    <w:pStyle w:val="43"/>
                    <w:spacing w:line="240" w:lineRule="auto"/>
                    <w:ind w:firstLine="0" w:firstLineChars="0"/>
                    <w:jc w:val="center"/>
                    <w:rPr>
                      <w:color w:val="auto"/>
                      <w:szCs w:val="21"/>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Merge w:val="restart"/>
                  <w:vAlign w:val="center"/>
                </w:tcPr>
                <w:p>
                  <w:pPr>
                    <w:pStyle w:val="43"/>
                    <w:spacing w:line="240" w:lineRule="auto"/>
                    <w:ind w:firstLine="0" w:firstLineChars="0"/>
                    <w:jc w:val="center"/>
                    <w:rPr>
                      <w:color w:val="auto"/>
                    </w:rPr>
                  </w:pPr>
                  <w:r>
                    <w:rPr>
                      <w:rFonts w:hint="eastAsia"/>
                      <w:color w:val="auto"/>
                    </w:rPr>
                    <w:t>9</w:t>
                  </w:r>
                </w:p>
              </w:tc>
              <w:tc>
                <w:tcPr>
                  <w:tcW w:w="1472" w:type="dxa"/>
                  <w:vMerge w:val="restart"/>
                  <w:vAlign w:val="center"/>
                </w:tcPr>
                <w:p>
                  <w:pPr>
                    <w:pStyle w:val="43"/>
                    <w:spacing w:line="240" w:lineRule="auto"/>
                    <w:ind w:firstLine="0" w:firstLineChars="0"/>
                    <w:jc w:val="center"/>
                    <w:rPr>
                      <w:color w:val="auto"/>
                    </w:rPr>
                  </w:pPr>
                  <w:r>
                    <w:rPr>
                      <w:rFonts w:hint="eastAsia"/>
                      <w:color w:val="auto"/>
                    </w:rPr>
                    <w:t>《陕西省固体废物污染环境防治条例》(2021年修正)</w:t>
                  </w:r>
                </w:p>
              </w:tc>
              <w:tc>
                <w:tcPr>
                  <w:tcW w:w="2945" w:type="dxa"/>
                  <w:vAlign w:val="center"/>
                </w:tcPr>
                <w:p>
                  <w:pPr>
                    <w:topLinePunct/>
                    <w:jc w:val="left"/>
                    <w:rPr>
                      <w:color w:val="auto"/>
                      <w:szCs w:val="21"/>
                    </w:rPr>
                  </w:pPr>
                  <w:r>
                    <w:rPr>
                      <w:rFonts w:hint="eastAsia"/>
                      <w:color w:val="auto"/>
                      <w:szCs w:val="21"/>
                    </w:rPr>
                    <w:t>第十三条 产生工业固体废物或者危险废物的单位应当建立固体废物管理台账。</w:t>
                  </w:r>
                </w:p>
                <w:p>
                  <w:pPr>
                    <w:topLinePunct/>
                    <w:jc w:val="left"/>
                    <w:rPr>
                      <w:color w:val="auto"/>
                      <w:szCs w:val="21"/>
                    </w:rPr>
                  </w:pPr>
                  <w:r>
                    <w:rPr>
                      <w:rFonts w:hint="eastAsia"/>
                      <w:color w:val="auto"/>
                      <w:szCs w:val="21"/>
                    </w:rPr>
                    <w:t>产生危险废物的单位，应当向县级生态环境行政主管部门申报危险废物的种类、产生量、流向、贮存、处置等有关资料。</w:t>
                  </w:r>
                </w:p>
              </w:tc>
              <w:tc>
                <w:tcPr>
                  <w:tcW w:w="2125" w:type="dxa"/>
                  <w:vAlign w:val="center"/>
                </w:tcPr>
                <w:p>
                  <w:pPr>
                    <w:topLinePunct/>
                    <w:rPr>
                      <w:color w:val="auto"/>
                      <w:szCs w:val="21"/>
                    </w:rPr>
                  </w:pPr>
                  <w:r>
                    <w:rPr>
                      <w:rFonts w:hint="eastAsia"/>
                      <w:color w:val="auto"/>
                    </w:rPr>
                    <w:t>本次环评要求建设单位建立危险废物管理计划及台账，</w:t>
                  </w:r>
                  <w:r>
                    <w:rPr>
                      <w:rFonts w:hint="eastAsia"/>
                      <w:color w:val="auto"/>
                      <w:szCs w:val="21"/>
                    </w:rPr>
                    <w:t>向靖边县生态环境局申报危险废物的种类、产生量、流向、贮存、处置等有关资料。</w:t>
                  </w:r>
                  <w:r>
                    <w:rPr>
                      <w:rFonts w:hint="eastAsia"/>
                      <w:color w:val="auto"/>
                    </w:rPr>
                    <w:t>对危险废物进行记录，危险废物台账应当至少保存十年。</w:t>
                  </w:r>
                </w:p>
              </w:tc>
              <w:tc>
                <w:tcPr>
                  <w:tcW w:w="819" w:type="dxa"/>
                  <w:vAlign w:val="center"/>
                </w:tcPr>
                <w:p>
                  <w:pPr>
                    <w:pStyle w:val="43"/>
                    <w:spacing w:line="240" w:lineRule="auto"/>
                    <w:ind w:firstLine="0" w:firstLineChars="0"/>
                    <w:jc w:val="center"/>
                    <w:rPr>
                      <w:color w:val="auto"/>
                      <w:szCs w:val="21"/>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6" w:type="dxa"/>
                  <w:vMerge w:val="continue"/>
                  <w:vAlign w:val="center"/>
                </w:tcPr>
                <w:p>
                  <w:pPr>
                    <w:pStyle w:val="43"/>
                    <w:spacing w:line="240" w:lineRule="auto"/>
                    <w:ind w:firstLine="0" w:firstLineChars="0"/>
                    <w:jc w:val="center"/>
                    <w:rPr>
                      <w:color w:val="auto"/>
                    </w:rPr>
                  </w:pPr>
                </w:p>
              </w:tc>
              <w:tc>
                <w:tcPr>
                  <w:tcW w:w="1472" w:type="dxa"/>
                  <w:vMerge w:val="continue"/>
                  <w:vAlign w:val="center"/>
                </w:tcPr>
                <w:p>
                  <w:pPr>
                    <w:pStyle w:val="43"/>
                    <w:spacing w:line="240" w:lineRule="auto"/>
                    <w:ind w:firstLine="0" w:firstLineChars="0"/>
                    <w:jc w:val="center"/>
                    <w:rPr>
                      <w:color w:val="auto"/>
                    </w:rPr>
                  </w:pPr>
                </w:p>
              </w:tc>
              <w:tc>
                <w:tcPr>
                  <w:tcW w:w="2945" w:type="dxa"/>
                  <w:vAlign w:val="center"/>
                </w:tcPr>
                <w:p>
                  <w:pPr>
                    <w:topLinePunct/>
                    <w:jc w:val="left"/>
                    <w:rPr>
                      <w:color w:val="auto"/>
                      <w:szCs w:val="21"/>
                    </w:rPr>
                  </w:pPr>
                  <w:r>
                    <w:rPr>
                      <w:rFonts w:hint="eastAsia"/>
                      <w:color w:val="auto"/>
                      <w:szCs w:val="21"/>
                    </w:rPr>
                    <w:t>第十七条 企业事业单位和生产经营者交由第三方利用或者处置固体废物的，第三方应当具备相应的固体废物利用、处置资质或者能力。</w:t>
                  </w:r>
                </w:p>
                <w:p>
                  <w:pPr>
                    <w:topLinePunct/>
                    <w:jc w:val="left"/>
                    <w:rPr>
                      <w:color w:val="auto"/>
                      <w:szCs w:val="21"/>
                    </w:rPr>
                  </w:pPr>
                  <w:r>
                    <w:rPr>
                      <w:rFonts w:hint="eastAsia"/>
                      <w:color w:val="auto"/>
                      <w:szCs w:val="21"/>
                    </w:rPr>
                    <w:t>企业事业单位和生产经营者应当对第三方利用或者处置固体废物的设施设备、技术工艺进行核实确认，不得将固体废物交由不具备固体废物利用、处置资质或者能力的单位处理。</w:t>
                  </w:r>
                </w:p>
              </w:tc>
              <w:tc>
                <w:tcPr>
                  <w:tcW w:w="2125" w:type="dxa"/>
                  <w:vAlign w:val="center"/>
                </w:tcPr>
                <w:p>
                  <w:pPr>
                    <w:topLinePunct/>
                    <w:rPr>
                      <w:color w:val="auto"/>
                      <w:szCs w:val="21"/>
                    </w:rPr>
                  </w:pPr>
                  <w:r>
                    <w:rPr>
                      <w:rFonts w:hint="eastAsia"/>
                      <w:color w:val="auto"/>
                      <w:szCs w:val="21"/>
                    </w:rPr>
                    <w:t>本项目油泥暂存点</w:t>
                  </w:r>
                  <w:r>
                    <w:rPr>
                      <w:rFonts w:hint="eastAsia"/>
                      <w:color w:val="auto"/>
                      <w:szCs w:val="21"/>
                      <w:lang w:val="en-US" w:eastAsia="zh-CN"/>
                    </w:rPr>
                    <w:t>暂存</w:t>
                  </w:r>
                  <w:r>
                    <w:rPr>
                      <w:rFonts w:hint="eastAsia"/>
                      <w:color w:val="auto"/>
                      <w:szCs w:val="21"/>
                    </w:rPr>
                    <w:t>的落地油泥，</w:t>
                  </w:r>
                  <w:r>
                    <w:rPr>
                      <w:rFonts w:hint="eastAsia"/>
                      <w:color w:val="auto"/>
                    </w:rPr>
                    <w:t>交由有资质的单位进行处置</w:t>
                  </w:r>
                  <w:r>
                    <w:rPr>
                      <w:rFonts w:hint="eastAsia"/>
                      <w:color w:val="auto"/>
                      <w:szCs w:val="21"/>
                    </w:rPr>
                    <w:t>，此单位具备危废处置资质。</w:t>
                  </w:r>
                </w:p>
              </w:tc>
              <w:tc>
                <w:tcPr>
                  <w:tcW w:w="819" w:type="dxa"/>
                  <w:vAlign w:val="center"/>
                </w:tcPr>
                <w:p>
                  <w:pPr>
                    <w:pStyle w:val="43"/>
                    <w:spacing w:line="240" w:lineRule="auto"/>
                    <w:ind w:firstLine="0" w:firstLineChars="0"/>
                    <w:jc w:val="center"/>
                    <w:rPr>
                      <w:color w:val="auto"/>
                      <w:szCs w:val="21"/>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6" w:hRule="atLeast"/>
                <w:jc w:val="center"/>
              </w:trPr>
              <w:tc>
                <w:tcPr>
                  <w:tcW w:w="656" w:type="dxa"/>
                  <w:vMerge w:val="continue"/>
                  <w:vAlign w:val="center"/>
                </w:tcPr>
                <w:p>
                  <w:pPr>
                    <w:pStyle w:val="43"/>
                    <w:spacing w:line="240" w:lineRule="auto"/>
                    <w:ind w:firstLine="0" w:firstLineChars="0"/>
                    <w:jc w:val="center"/>
                    <w:rPr>
                      <w:color w:val="auto"/>
                    </w:rPr>
                  </w:pPr>
                </w:p>
              </w:tc>
              <w:tc>
                <w:tcPr>
                  <w:tcW w:w="1472" w:type="dxa"/>
                  <w:vMerge w:val="continue"/>
                  <w:vAlign w:val="center"/>
                </w:tcPr>
                <w:p>
                  <w:pPr>
                    <w:pStyle w:val="43"/>
                    <w:spacing w:line="240" w:lineRule="auto"/>
                    <w:ind w:firstLine="0" w:firstLineChars="0"/>
                    <w:jc w:val="center"/>
                    <w:rPr>
                      <w:color w:val="auto"/>
                    </w:rPr>
                  </w:pPr>
                </w:p>
              </w:tc>
              <w:tc>
                <w:tcPr>
                  <w:tcW w:w="2945" w:type="dxa"/>
                  <w:vAlign w:val="center"/>
                </w:tcPr>
                <w:p>
                  <w:pPr>
                    <w:topLinePunct/>
                    <w:jc w:val="left"/>
                    <w:rPr>
                      <w:color w:val="auto"/>
                      <w:szCs w:val="21"/>
                    </w:rPr>
                  </w:pPr>
                  <w:r>
                    <w:rPr>
                      <w:rFonts w:hint="eastAsia"/>
                      <w:color w:val="auto"/>
                      <w:szCs w:val="21"/>
                    </w:rPr>
                    <w:t>危险废物的容器和包装物以及收集、贮存、运输、利用、处置危险废物的设施、场所，应当按照规定设置危险废物识别标志。</w:t>
                  </w:r>
                </w:p>
              </w:tc>
              <w:tc>
                <w:tcPr>
                  <w:tcW w:w="2125" w:type="dxa"/>
                  <w:vAlign w:val="center"/>
                </w:tcPr>
                <w:p>
                  <w:pPr>
                    <w:topLinePunct/>
                    <w:rPr>
                      <w:color w:val="auto"/>
                      <w:szCs w:val="21"/>
                    </w:rPr>
                  </w:pPr>
                  <w:r>
                    <w:rPr>
                      <w:rFonts w:hint="eastAsia"/>
                      <w:color w:val="auto"/>
                      <w:szCs w:val="21"/>
                    </w:rPr>
                    <w:t>本项目落地油泥均采用三层塑料包装袋密封包装后再装入</w:t>
                  </w:r>
                  <w:r>
                    <w:rPr>
                      <w:rFonts w:hint="eastAsia"/>
                      <w:color w:val="auto"/>
                      <w:lang w:val="en-US" w:eastAsia="zh-CN"/>
                    </w:rPr>
                    <w:t>专用包装</w:t>
                  </w:r>
                  <w:r>
                    <w:rPr>
                      <w:rFonts w:hint="eastAsia"/>
                      <w:color w:val="auto"/>
                    </w:rPr>
                    <w:t>袋</w:t>
                  </w:r>
                  <w:r>
                    <w:rPr>
                      <w:rFonts w:hint="eastAsia"/>
                      <w:color w:val="auto"/>
                      <w:szCs w:val="21"/>
                    </w:rPr>
                    <w:t>暂存在暂存间内，后期</w:t>
                  </w:r>
                  <w:r>
                    <w:rPr>
                      <w:rFonts w:hint="eastAsia"/>
                      <w:color w:val="auto"/>
                    </w:rPr>
                    <w:t>交由有资质的单位进行处置</w:t>
                  </w:r>
                  <w:r>
                    <w:rPr>
                      <w:rFonts w:hint="eastAsia"/>
                      <w:color w:val="auto"/>
                      <w:szCs w:val="21"/>
                    </w:rPr>
                    <w:t>，危废处理率100%，本次环评仅评价危废暂存工序。评价要求按照规范设置危险废物暂存标识。</w:t>
                  </w:r>
                </w:p>
              </w:tc>
              <w:tc>
                <w:tcPr>
                  <w:tcW w:w="819" w:type="dxa"/>
                  <w:vAlign w:val="center"/>
                </w:tcPr>
                <w:p>
                  <w:pPr>
                    <w:pStyle w:val="43"/>
                    <w:spacing w:line="240" w:lineRule="auto"/>
                    <w:ind w:firstLine="0" w:firstLineChars="0"/>
                    <w:jc w:val="center"/>
                    <w:rPr>
                      <w:color w:val="auto"/>
                      <w:szCs w:val="21"/>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Merge w:val="continue"/>
                  <w:vAlign w:val="center"/>
                </w:tcPr>
                <w:p>
                  <w:pPr>
                    <w:pStyle w:val="43"/>
                    <w:spacing w:line="240" w:lineRule="auto"/>
                    <w:ind w:firstLine="0" w:firstLineChars="0"/>
                    <w:jc w:val="center"/>
                    <w:rPr>
                      <w:color w:val="auto"/>
                    </w:rPr>
                  </w:pPr>
                </w:p>
              </w:tc>
              <w:tc>
                <w:tcPr>
                  <w:tcW w:w="1472" w:type="dxa"/>
                  <w:vMerge w:val="continue"/>
                  <w:vAlign w:val="center"/>
                </w:tcPr>
                <w:p>
                  <w:pPr>
                    <w:pStyle w:val="43"/>
                    <w:spacing w:line="240" w:lineRule="auto"/>
                    <w:ind w:firstLine="0" w:firstLineChars="0"/>
                    <w:jc w:val="center"/>
                    <w:rPr>
                      <w:color w:val="auto"/>
                    </w:rPr>
                  </w:pPr>
                </w:p>
              </w:tc>
              <w:tc>
                <w:tcPr>
                  <w:tcW w:w="2945" w:type="dxa"/>
                  <w:vAlign w:val="center"/>
                </w:tcPr>
                <w:p>
                  <w:pPr>
                    <w:topLinePunct/>
                    <w:jc w:val="left"/>
                    <w:rPr>
                      <w:color w:val="auto"/>
                      <w:szCs w:val="21"/>
                    </w:rPr>
                  </w:pPr>
                  <w:r>
                    <w:rPr>
                      <w:rFonts w:hint="eastAsia"/>
                      <w:color w:val="auto"/>
                      <w:szCs w:val="21"/>
                    </w:rPr>
                    <w:t>第三十四条  产生危险废物的单位应当建立健全危险废物分类管理规章制度，制定危险废物管理计划，落实管理责任。</w:t>
                  </w:r>
                </w:p>
                <w:p>
                  <w:pPr>
                    <w:topLinePunct/>
                    <w:jc w:val="left"/>
                    <w:rPr>
                      <w:color w:val="auto"/>
                      <w:szCs w:val="21"/>
                    </w:rPr>
                  </w:pPr>
                  <w:r>
                    <w:rPr>
                      <w:rFonts w:hint="eastAsia"/>
                      <w:color w:val="auto"/>
                      <w:szCs w:val="21"/>
                    </w:rPr>
                    <w:t>产生危险废物的单位应当按照危险废物产生、贮存、利用、处置管理流程建立台账，如实记载产生危险废物的种类、数量、流向、贮存、利用、处置等信息，并通过固体废物信息管理系统向所在地生态环境行政主管部门申报。危险废物台账应当至少保存十年，企业重组、改制的，由承继企业接管保存；企业破产、倒闭的，应当将危险废物台账移交当地生态环境行政主管部门保存。</w:t>
                  </w:r>
                </w:p>
              </w:tc>
              <w:tc>
                <w:tcPr>
                  <w:tcW w:w="2125" w:type="dxa"/>
                  <w:vAlign w:val="center"/>
                </w:tcPr>
                <w:p>
                  <w:pPr>
                    <w:topLinePunct/>
                    <w:rPr>
                      <w:color w:val="auto"/>
                      <w:szCs w:val="21"/>
                    </w:rPr>
                  </w:pPr>
                  <w:r>
                    <w:rPr>
                      <w:rFonts w:hint="eastAsia"/>
                      <w:color w:val="auto"/>
                    </w:rPr>
                    <w:t>本次环评要求建设单位建立危险废物管理计划及台账，</w:t>
                  </w:r>
                  <w:r>
                    <w:rPr>
                      <w:rFonts w:hint="eastAsia"/>
                      <w:color w:val="auto"/>
                      <w:szCs w:val="21"/>
                    </w:rPr>
                    <w:t>向靖边县生态环境局申报危险废物的种类、产生量、流向、贮存、处置等有关资料。</w:t>
                  </w:r>
                  <w:r>
                    <w:rPr>
                      <w:rFonts w:hint="eastAsia"/>
                      <w:color w:val="auto"/>
                    </w:rPr>
                    <w:t>对危险废物进行记录，危险废物台账应当至少保存十年。</w:t>
                  </w:r>
                </w:p>
              </w:tc>
              <w:tc>
                <w:tcPr>
                  <w:tcW w:w="819" w:type="dxa"/>
                  <w:vAlign w:val="center"/>
                </w:tcPr>
                <w:p>
                  <w:pPr>
                    <w:pStyle w:val="43"/>
                    <w:spacing w:line="240" w:lineRule="auto"/>
                    <w:ind w:firstLine="0" w:firstLineChars="0"/>
                    <w:jc w:val="center"/>
                    <w:rPr>
                      <w:color w:val="auto"/>
                      <w:szCs w:val="21"/>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Align w:val="center"/>
                </w:tcPr>
                <w:p>
                  <w:pPr>
                    <w:pStyle w:val="43"/>
                    <w:spacing w:line="240" w:lineRule="auto"/>
                    <w:ind w:firstLine="0" w:firstLineChars="0"/>
                    <w:jc w:val="center"/>
                    <w:rPr>
                      <w:rFonts w:hint="eastAsia" w:ascii="Times New Roman" w:hAnsi="Times New Roman" w:eastAsia="宋体" w:cs="Times New Roman"/>
                      <w:color w:val="auto"/>
                      <w:kern w:val="2"/>
                      <w:sz w:val="21"/>
                      <w:szCs w:val="24"/>
                      <w:lang w:val="en-US" w:eastAsia="zh-CN" w:bidi="ar-SA"/>
                    </w:rPr>
                  </w:pPr>
                  <w:r>
                    <w:rPr>
                      <w:rFonts w:hint="eastAsia"/>
                      <w:color w:val="auto"/>
                      <w:lang w:val="en-US" w:eastAsia="zh-CN"/>
                    </w:rPr>
                    <w:t>10</w:t>
                  </w:r>
                </w:p>
              </w:tc>
              <w:tc>
                <w:tcPr>
                  <w:tcW w:w="1472" w:type="dxa"/>
                  <w:vAlign w:val="center"/>
                </w:tcPr>
                <w:p>
                  <w:pPr>
                    <w:keepNext w:val="0"/>
                    <w:keepLines w:val="0"/>
                    <w:widowControl/>
                    <w:suppressLineNumbers w:val="0"/>
                    <w:jc w:val="left"/>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kern w:val="0"/>
                      <w:sz w:val="21"/>
                      <w:szCs w:val="21"/>
                      <w:lang w:val="en-US" w:eastAsia="zh-CN" w:bidi="ar"/>
                    </w:rPr>
                    <w:t>《陕西省大气污染治理专项行动方案（2023-2027）》</w:t>
                  </w:r>
                </w:p>
              </w:tc>
              <w:tc>
                <w:tcPr>
                  <w:tcW w:w="2945" w:type="dxa"/>
                  <w:vAlign w:val="center"/>
                </w:tcPr>
                <w:p>
                  <w:pPr>
                    <w:topLinePunct/>
                    <w:jc w:val="left"/>
                    <w:rPr>
                      <w:rFonts w:hint="eastAsia" w:ascii="宋体" w:hAnsi="宋体" w:eastAsia="宋体" w:cs="宋体"/>
                      <w:color w:val="auto"/>
                      <w:sz w:val="21"/>
                      <w:szCs w:val="21"/>
                    </w:rPr>
                  </w:pPr>
                  <w:r>
                    <w:rPr>
                      <w:rFonts w:hint="eastAsia" w:ascii="宋体" w:hAnsi="宋体" w:eastAsia="宋体" w:cs="宋体"/>
                      <w:color w:val="auto"/>
                      <w:sz w:val="21"/>
                      <w:szCs w:val="21"/>
                    </w:rPr>
                    <w:t>强化挥发性有机物无组织排放整治，确保达到相关标准要求。</w:t>
                  </w:r>
                </w:p>
              </w:tc>
              <w:tc>
                <w:tcPr>
                  <w:tcW w:w="2125" w:type="dxa"/>
                  <w:vAlign w:val="center"/>
                </w:tcPr>
                <w:p>
                  <w:pPr>
                    <w:topLinePunct/>
                    <w:rPr>
                      <w:rFonts w:hint="eastAsia" w:eastAsia="宋体"/>
                      <w:color w:val="auto"/>
                      <w:lang w:val="en-US" w:eastAsia="zh-CN"/>
                    </w:rPr>
                  </w:pPr>
                  <w:r>
                    <w:rPr>
                      <w:rFonts w:hint="eastAsia"/>
                      <w:color w:val="auto"/>
                      <w:szCs w:val="21"/>
                    </w:rPr>
                    <w:t>本项目涉及的VOCs物料为落地油泥，本次评价要求企业产生的落地油泥采用三层塑料包装袋密封包装后再装入</w:t>
                  </w:r>
                  <w:r>
                    <w:rPr>
                      <w:rFonts w:hint="eastAsia"/>
                      <w:color w:val="auto"/>
                      <w:lang w:val="en-US" w:eastAsia="zh-CN"/>
                    </w:rPr>
                    <w:t>专用包装</w:t>
                  </w:r>
                  <w:r>
                    <w:rPr>
                      <w:rFonts w:hint="eastAsia"/>
                      <w:color w:val="auto"/>
                    </w:rPr>
                    <w:t>袋</w:t>
                  </w:r>
                  <w:r>
                    <w:rPr>
                      <w:rFonts w:hint="eastAsia"/>
                      <w:color w:val="auto"/>
                      <w:szCs w:val="21"/>
                    </w:rPr>
                    <w:t>暂存在暂存间内。有效减少了烃类无组织排放，确保达到相关标准要求</w:t>
                  </w:r>
                  <w:r>
                    <w:rPr>
                      <w:rFonts w:hint="eastAsia"/>
                      <w:color w:val="auto"/>
                      <w:szCs w:val="21"/>
                      <w:lang w:eastAsia="zh-CN"/>
                    </w:rPr>
                    <w:t>。</w:t>
                  </w:r>
                </w:p>
              </w:tc>
              <w:tc>
                <w:tcPr>
                  <w:tcW w:w="819" w:type="dxa"/>
                  <w:vAlign w:val="center"/>
                </w:tcPr>
                <w:p>
                  <w:pPr>
                    <w:pStyle w:val="43"/>
                    <w:spacing w:line="240" w:lineRule="auto"/>
                    <w:ind w:firstLine="0" w:firstLineChars="0"/>
                    <w:jc w:val="center"/>
                    <w:rPr>
                      <w:rFonts w:hint="eastAsia" w:eastAsia="宋体"/>
                      <w:color w:val="auto"/>
                      <w:szCs w:val="21"/>
                      <w:lang w:val="en-US" w:eastAsia="zh-CN"/>
                    </w:rPr>
                  </w:pPr>
                  <w:r>
                    <w:rPr>
                      <w:rFonts w:hint="eastAsia"/>
                      <w:color w:val="auto"/>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Align w:val="center"/>
                </w:tcPr>
                <w:p>
                  <w:pPr>
                    <w:pStyle w:val="43"/>
                    <w:spacing w:line="240" w:lineRule="auto"/>
                    <w:ind w:firstLine="0" w:firstLineChars="0"/>
                    <w:jc w:val="center"/>
                    <w:rPr>
                      <w:rFonts w:hint="default" w:ascii="Times New Roman" w:hAnsi="Times New Roman" w:eastAsia="宋体" w:cs="Times New Roman"/>
                      <w:color w:val="auto"/>
                      <w:kern w:val="2"/>
                      <w:sz w:val="21"/>
                      <w:szCs w:val="24"/>
                      <w:lang w:val="en-US" w:eastAsia="zh-CN" w:bidi="ar-SA"/>
                    </w:rPr>
                  </w:pPr>
                  <w:r>
                    <w:rPr>
                      <w:rFonts w:hint="eastAsia"/>
                      <w:color w:val="auto"/>
                      <w:lang w:val="en-US" w:eastAsia="zh-CN"/>
                    </w:rPr>
                    <w:t>11</w:t>
                  </w:r>
                </w:p>
              </w:tc>
              <w:tc>
                <w:tcPr>
                  <w:tcW w:w="1472" w:type="dxa"/>
                  <w:vAlign w:val="center"/>
                </w:tcPr>
                <w:p>
                  <w:pPr>
                    <w:pStyle w:val="43"/>
                    <w:spacing w:line="240" w:lineRule="auto"/>
                    <w:ind w:firstLine="0" w:firstLineChars="0"/>
                    <w:jc w:val="center"/>
                    <w:rPr>
                      <w:color w:val="auto"/>
                    </w:rPr>
                  </w:pPr>
                  <w:r>
                    <w:rPr>
                      <w:rFonts w:hint="eastAsia" w:cs="Times New Roman"/>
                      <w:color w:val="auto"/>
                      <w:kern w:val="2"/>
                      <w:sz w:val="21"/>
                      <w:szCs w:val="21"/>
                      <w:lang w:val="en-US" w:eastAsia="zh-CN" w:bidi="ar-SA"/>
                    </w:rPr>
                    <w:t>《</w:t>
                  </w:r>
                  <w:r>
                    <w:rPr>
                      <w:rFonts w:hint="eastAsia" w:ascii="Times New Roman" w:hAnsi="Times New Roman" w:eastAsia="宋体" w:cs="Times New Roman"/>
                      <w:color w:val="auto"/>
                      <w:kern w:val="2"/>
                      <w:sz w:val="21"/>
                      <w:szCs w:val="21"/>
                      <w:lang w:val="en-US" w:eastAsia="zh-CN" w:bidi="ar-SA"/>
                    </w:rPr>
                    <w:t>榆林市大气污染治理专项行动方案（2023-2027年）</w:t>
                  </w:r>
                  <w:r>
                    <w:rPr>
                      <w:rFonts w:hint="eastAsia" w:cs="Times New Roman"/>
                      <w:color w:val="auto"/>
                      <w:kern w:val="2"/>
                      <w:sz w:val="21"/>
                      <w:szCs w:val="21"/>
                      <w:lang w:val="en-US" w:eastAsia="zh-CN" w:bidi="ar-SA"/>
                    </w:rPr>
                    <w:t>》</w:t>
                  </w:r>
                </w:p>
              </w:tc>
              <w:tc>
                <w:tcPr>
                  <w:tcW w:w="2945" w:type="dxa"/>
                  <w:vAlign w:val="center"/>
                </w:tcPr>
                <w:p>
                  <w:pPr>
                    <w:topLinePunct/>
                    <w:jc w:val="left"/>
                    <w:rPr>
                      <w:rFonts w:hint="eastAsia"/>
                      <w:color w:val="auto"/>
                      <w:szCs w:val="21"/>
                    </w:rPr>
                  </w:pPr>
                  <w:r>
                    <w:rPr>
                      <w:rFonts w:hint="eastAsia"/>
                      <w:color w:val="auto"/>
                      <w:szCs w:val="21"/>
                    </w:rPr>
                    <w:t>方案明确，将坚持先立后破、稳步调整和巩固提升，注重源头防治、标本兼治和多元共治，纵深推进大气污染防治，切实提升生态环境治理体系和治理能力现代化水平。</w:t>
                  </w:r>
                </w:p>
              </w:tc>
              <w:tc>
                <w:tcPr>
                  <w:tcW w:w="2125" w:type="dxa"/>
                  <w:vAlign w:val="center"/>
                </w:tcPr>
                <w:p>
                  <w:pPr>
                    <w:topLinePunct/>
                    <w:rPr>
                      <w:rFonts w:hint="eastAsia" w:eastAsia="宋体"/>
                      <w:color w:val="auto"/>
                      <w:lang w:val="en-US" w:eastAsia="zh-CN"/>
                    </w:rPr>
                  </w:pPr>
                  <w:r>
                    <w:rPr>
                      <w:rFonts w:hint="eastAsia"/>
                      <w:color w:val="auto"/>
                      <w:szCs w:val="21"/>
                    </w:rPr>
                    <w:t>项目施工期要求对场地周边进行围挡、物料堆放覆盖</w:t>
                  </w:r>
                  <w:r>
                    <w:rPr>
                      <w:rFonts w:hint="eastAsia"/>
                      <w:color w:val="auto"/>
                      <w:szCs w:val="21"/>
                      <w:lang w:val="en-US" w:eastAsia="zh-CN"/>
                    </w:rPr>
                    <w:t>等措施；</w:t>
                  </w:r>
                  <w:r>
                    <w:rPr>
                      <w:rFonts w:hint="eastAsia"/>
                      <w:color w:val="auto"/>
                    </w:rPr>
                    <w:t>本项目产生的落地油泥均采用三层塑料包装袋密封包装后再装入</w:t>
                  </w:r>
                  <w:r>
                    <w:rPr>
                      <w:rFonts w:hint="eastAsia"/>
                      <w:color w:val="auto"/>
                      <w:lang w:val="en-US" w:eastAsia="zh-CN"/>
                    </w:rPr>
                    <w:t>专用包装</w:t>
                  </w:r>
                  <w:r>
                    <w:rPr>
                      <w:rFonts w:hint="eastAsia"/>
                      <w:color w:val="auto"/>
                    </w:rPr>
                    <w:t>袋暂存在暂存间内</w:t>
                  </w:r>
                  <w:r>
                    <w:rPr>
                      <w:rFonts w:hint="eastAsia"/>
                      <w:color w:val="auto"/>
                      <w:lang w:eastAsia="zh-CN"/>
                    </w:rPr>
                    <w:t>，</w:t>
                  </w:r>
                  <w:r>
                    <w:rPr>
                      <w:rFonts w:hint="eastAsia"/>
                      <w:color w:val="auto"/>
                      <w:szCs w:val="21"/>
                    </w:rPr>
                    <w:t>确保达到相关标准要求</w:t>
                  </w:r>
                  <w:r>
                    <w:rPr>
                      <w:rFonts w:hint="eastAsia"/>
                      <w:color w:val="auto"/>
                      <w:szCs w:val="21"/>
                      <w:lang w:eastAsia="zh-CN"/>
                    </w:rPr>
                    <w:t>。</w:t>
                  </w:r>
                </w:p>
              </w:tc>
              <w:tc>
                <w:tcPr>
                  <w:tcW w:w="819" w:type="dxa"/>
                  <w:vAlign w:val="center"/>
                </w:tcPr>
                <w:p>
                  <w:pPr>
                    <w:pStyle w:val="43"/>
                    <w:spacing w:line="240" w:lineRule="auto"/>
                    <w:ind w:firstLine="0" w:firstLineChars="0"/>
                    <w:jc w:val="center"/>
                    <w:rPr>
                      <w:rFonts w:hint="eastAsia" w:eastAsia="宋体"/>
                      <w:color w:val="auto"/>
                      <w:szCs w:val="21"/>
                      <w:lang w:val="en-US" w:eastAsia="zh-CN"/>
                    </w:rPr>
                  </w:pPr>
                  <w:r>
                    <w:rPr>
                      <w:rFonts w:hint="eastAsia"/>
                      <w:color w:val="auto"/>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Align w:val="center"/>
                </w:tcPr>
                <w:p>
                  <w:pPr>
                    <w:pStyle w:val="43"/>
                    <w:spacing w:line="240" w:lineRule="auto"/>
                    <w:ind w:firstLine="0" w:firstLineChars="0"/>
                    <w:jc w:val="center"/>
                    <w:rPr>
                      <w:rFonts w:hint="default" w:ascii="Times New Roman" w:hAnsi="Times New Roman" w:eastAsia="宋体" w:cs="Times New Roman"/>
                      <w:color w:val="auto"/>
                      <w:kern w:val="2"/>
                      <w:sz w:val="21"/>
                      <w:szCs w:val="24"/>
                      <w:lang w:val="en-US" w:eastAsia="zh-CN" w:bidi="ar-SA"/>
                    </w:rPr>
                  </w:pPr>
                  <w:r>
                    <w:rPr>
                      <w:rFonts w:hint="eastAsia"/>
                      <w:color w:val="auto"/>
                      <w:lang w:val="en-US" w:eastAsia="zh-CN"/>
                    </w:rPr>
                    <w:t>12</w:t>
                  </w:r>
                </w:p>
              </w:tc>
              <w:tc>
                <w:tcPr>
                  <w:tcW w:w="1472" w:type="dxa"/>
                  <w:vAlign w:val="center"/>
                </w:tcPr>
                <w:p>
                  <w:pPr>
                    <w:topLinePunct/>
                    <w:rPr>
                      <w:rFonts w:hint="eastAsia"/>
                      <w:color w:val="auto"/>
                      <w:szCs w:val="21"/>
                      <w:lang w:val="en-US" w:eastAsia="zh-CN"/>
                    </w:rPr>
                  </w:pPr>
                  <w:r>
                    <w:rPr>
                      <w:rFonts w:hint="eastAsia"/>
                      <w:color w:val="auto"/>
                      <w:szCs w:val="21"/>
                      <w:lang w:eastAsia="zh-CN"/>
                    </w:rPr>
                    <w:t>《</w:t>
                  </w:r>
                  <w:r>
                    <w:rPr>
                      <w:rFonts w:hint="eastAsia"/>
                      <w:color w:val="auto"/>
                      <w:szCs w:val="21"/>
                    </w:rPr>
                    <w:t>靖边县2023年生态环境保护二十六项攻坚行动方案</w:t>
                  </w:r>
                  <w:r>
                    <w:rPr>
                      <w:rFonts w:hint="eastAsia"/>
                      <w:color w:val="auto"/>
                      <w:szCs w:val="21"/>
                      <w:lang w:eastAsia="zh-CN"/>
                    </w:rPr>
                    <w:t>》</w:t>
                  </w:r>
                </w:p>
              </w:tc>
              <w:tc>
                <w:tcPr>
                  <w:tcW w:w="2945" w:type="dxa"/>
                  <w:vAlign w:val="center"/>
                </w:tcPr>
                <w:p>
                  <w:pPr>
                    <w:topLinePunct/>
                    <w:rPr>
                      <w:rFonts w:hint="eastAsia"/>
                      <w:color w:val="auto"/>
                      <w:szCs w:val="21"/>
                      <w:lang w:val="en-US" w:eastAsia="zh-CN"/>
                    </w:rPr>
                  </w:pPr>
                  <w:r>
                    <w:rPr>
                      <w:rFonts w:hint="eastAsia"/>
                      <w:color w:val="auto"/>
                      <w:szCs w:val="21"/>
                    </w:rPr>
                    <w:t>3.建筑工地精细化管控行动。县城区及周边所有建筑（道路工程、商砼站）施工场地必须做到工地周边围挡、物料裸土覆盖、土方开挖（拆迁）湿法作业、路面硬化、出入车辆清洗、渣土车辆密闭运输“六个百分之百”</w:t>
                  </w:r>
                  <w:r>
                    <w:rPr>
                      <w:rFonts w:hint="eastAsia"/>
                      <w:color w:val="auto"/>
                      <w:szCs w:val="21"/>
                      <w:lang w:eastAsia="zh-CN"/>
                    </w:rPr>
                    <w:t>；</w:t>
                  </w:r>
                  <w:r>
                    <w:rPr>
                      <w:rFonts w:hint="eastAsia"/>
                      <w:color w:val="auto"/>
                      <w:szCs w:val="21"/>
                    </w:rPr>
                    <w:t>地基开挖、桩基施工、渣土运输等施工阶段，洒水、覆盖、冲洗等防尘措施持续进行</w:t>
                  </w:r>
                  <w:r>
                    <w:rPr>
                      <w:rFonts w:hint="eastAsia"/>
                      <w:color w:val="auto"/>
                      <w:szCs w:val="21"/>
                      <w:lang w:eastAsia="zh-CN"/>
                    </w:rPr>
                    <w:t>；</w:t>
                  </w:r>
                  <w:r>
                    <w:rPr>
                      <w:rFonts w:hint="eastAsia"/>
                      <w:color w:val="auto"/>
                      <w:szCs w:val="21"/>
                    </w:rPr>
                    <w:t>严格落实车辆出入工地清洗制度，严禁带泥上路，杜绝燃烧木柴、竹胶板及露天焚烧垃圾等</w:t>
                  </w:r>
                  <w:r>
                    <w:rPr>
                      <w:rFonts w:hint="eastAsia"/>
                      <w:color w:val="auto"/>
                      <w:szCs w:val="21"/>
                      <w:lang w:eastAsia="zh-CN"/>
                    </w:rPr>
                    <w:t>；</w:t>
                  </w:r>
                  <w:r>
                    <w:rPr>
                      <w:rFonts w:hint="eastAsia"/>
                      <w:color w:val="auto"/>
                      <w:szCs w:val="21"/>
                    </w:rPr>
                    <w:t>建筑工地场界建设喷淋设施、视频监控、扬尘在线监测系统并联网管理。严格执行“红黄绿”牌联席管理制度，纳入“黄牌”的限期整改，纳入“红牌”的依法停工整改，一年内两次纳入“红牌”的取消评选文明工地资格;城市市区施工工地禁止现场搅拌混凝土和砂浆。县住建局牵头每月组织开展一次建筑施工联合执法检查，对产生扬尘污染的工地按职责权属依法查处，对拒不改正的工地责令停工整治。</w:t>
                  </w:r>
                </w:p>
              </w:tc>
              <w:tc>
                <w:tcPr>
                  <w:tcW w:w="2125" w:type="dxa"/>
                  <w:vAlign w:val="center"/>
                </w:tcPr>
                <w:p>
                  <w:pPr>
                    <w:topLinePunct/>
                    <w:rPr>
                      <w:rFonts w:hint="eastAsia" w:ascii="Times New Roman" w:hAnsi="Times New Roman" w:eastAsia="宋体" w:cs="Times New Roman"/>
                      <w:color w:val="auto"/>
                      <w:kern w:val="2"/>
                      <w:sz w:val="21"/>
                      <w:szCs w:val="24"/>
                      <w:lang w:val="en-US" w:eastAsia="zh-CN" w:bidi="ar-SA"/>
                    </w:rPr>
                  </w:pPr>
                  <w:r>
                    <w:rPr>
                      <w:rFonts w:hint="eastAsia"/>
                      <w:color w:val="auto"/>
                      <w:sz w:val="21"/>
                      <w:szCs w:val="21"/>
                    </w:rPr>
                    <w:t>本项目建设地点虽不在</w:t>
                  </w:r>
                  <w:r>
                    <w:rPr>
                      <w:rFonts w:hint="eastAsia"/>
                      <w:color w:val="auto"/>
                      <w:sz w:val="21"/>
                      <w:szCs w:val="21"/>
                      <w:lang w:val="en-US" w:eastAsia="zh-CN"/>
                    </w:rPr>
                    <w:t>靖</w:t>
                  </w:r>
                  <w:r>
                    <w:rPr>
                      <w:rFonts w:hint="eastAsia"/>
                      <w:color w:val="auto"/>
                      <w:sz w:val="21"/>
                      <w:szCs w:val="21"/>
                    </w:rPr>
                    <w:t>边县城区，但本次评价参照方案要求，提出了相应的施工期施工场地及道路运输扬尘控制要求</w:t>
                  </w:r>
                  <w:r>
                    <w:rPr>
                      <w:rFonts w:hint="eastAsia"/>
                      <w:color w:val="auto"/>
                      <w:sz w:val="21"/>
                      <w:szCs w:val="21"/>
                      <w:lang w:eastAsia="zh-CN"/>
                    </w:rPr>
                    <w:t>。</w:t>
                  </w:r>
                </w:p>
              </w:tc>
              <w:tc>
                <w:tcPr>
                  <w:tcW w:w="819" w:type="dxa"/>
                  <w:vAlign w:val="center"/>
                </w:tcPr>
                <w:p>
                  <w:pPr>
                    <w:pStyle w:val="43"/>
                    <w:spacing w:line="240" w:lineRule="auto"/>
                    <w:ind w:firstLine="0" w:firstLineChars="0"/>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Merge w:val="restart"/>
                  <w:vAlign w:val="center"/>
                </w:tcPr>
                <w:p>
                  <w:pPr>
                    <w:pStyle w:val="43"/>
                    <w:spacing w:line="240" w:lineRule="auto"/>
                    <w:ind w:firstLine="0" w:firstLineChars="0"/>
                    <w:jc w:val="center"/>
                    <w:rPr>
                      <w:rFonts w:hint="default"/>
                      <w:color w:val="auto"/>
                      <w:lang w:val="en-US" w:eastAsia="zh-CN"/>
                    </w:rPr>
                  </w:pPr>
                  <w:r>
                    <w:rPr>
                      <w:rFonts w:hint="eastAsia"/>
                      <w:color w:val="auto"/>
                      <w:lang w:val="en-US" w:eastAsia="zh-CN"/>
                    </w:rPr>
                    <w:t>13</w:t>
                  </w:r>
                </w:p>
              </w:tc>
              <w:tc>
                <w:tcPr>
                  <w:tcW w:w="1472" w:type="dxa"/>
                  <w:vMerge w:val="restart"/>
                  <w:vAlign w:val="center"/>
                </w:tcPr>
                <w:p>
                  <w:pPr>
                    <w:topLinePunct/>
                    <w:rPr>
                      <w:rFonts w:hint="eastAsia"/>
                      <w:color w:val="auto"/>
                      <w:szCs w:val="21"/>
                      <w:lang w:eastAsia="zh-CN"/>
                    </w:rPr>
                  </w:pPr>
                  <w:r>
                    <w:rPr>
                      <w:rFonts w:hint="eastAsia"/>
                      <w:color w:val="auto"/>
                      <w:szCs w:val="21"/>
                      <w:lang w:eastAsia="zh-CN"/>
                    </w:rPr>
                    <w:t>《</w:t>
                  </w:r>
                  <w:r>
                    <w:rPr>
                      <w:rFonts w:hint="eastAsia"/>
                      <w:color w:val="auto"/>
                      <w:szCs w:val="21"/>
                      <w:lang w:val="en-US" w:eastAsia="zh-CN"/>
                    </w:rPr>
                    <w:t>陕北油</w:t>
                  </w:r>
                  <w:r>
                    <w:rPr>
                      <w:rFonts w:hint="eastAsia"/>
                      <w:color w:val="auto"/>
                      <w:szCs w:val="21"/>
                      <w:lang w:eastAsia="zh-CN"/>
                    </w:rPr>
                    <w:t>气田开采清洁文明井场验收标准》（陕环办发[2016]31号</w:t>
                  </w:r>
                </w:p>
              </w:tc>
              <w:tc>
                <w:tcPr>
                  <w:tcW w:w="2945" w:type="dxa"/>
                  <w:vAlign w:val="center"/>
                </w:tcPr>
                <w:p>
                  <w:pPr>
                    <w:topLinePunct/>
                    <w:rPr>
                      <w:rFonts w:hint="eastAsia"/>
                      <w:color w:val="auto"/>
                      <w:szCs w:val="21"/>
                    </w:rPr>
                  </w:pPr>
                  <w:r>
                    <w:rPr>
                      <w:rFonts w:hint="eastAsia"/>
                      <w:color w:val="auto"/>
                      <w:szCs w:val="21"/>
                    </w:rPr>
                    <w:t>井场要平整清洁，建有雨水收集池。雨水收集池应参照当地最大暴雨量设计容积（最大暴雨量×井场面积）。</w:t>
                  </w:r>
                </w:p>
              </w:tc>
              <w:tc>
                <w:tcPr>
                  <w:tcW w:w="2125" w:type="dxa"/>
                  <w:vAlign w:val="center"/>
                </w:tcPr>
                <w:p>
                  <w:pPr>
                    <w:topLinePunct/>
                    <w:rPr>
                      <w:rFonts w:hint="eastAsia"/>
                      <w:color w:val="auto"/>
                      <w:szCs w:val="21"/>
                    </w:rPr>
                  </w:pPr>
                  <w:r>
                    <w:rPr>
                      <w:rFonts w:hint="eastAsia"/>
                      <w:color w:val="auto"/>
                      <w:szCs w:val="21"/>
                      <w:lang w:val="en-US" w:eastAsia="zh-CN"/>
                    </w:rPr>
                    <w:t>本项目所在杨18井场已建设有</w:t>
                  </w:r>
                  <w:r>
                    <w:rPr>
                      <w:rFonts w:hint="default"/>
                      <w:color w:val="auto"/>
                      <w:szCs w:val="21"/>
                      <w:lang w:val="en-US" w:eastAsia="zh-CN"/>
                    </w:rPr>
                    <w:t>1</w:t>
                  </w:r>
                  <w:r>
                    <w:rPr>
                      <w:rFonts w:hint="eastAsia"/>
                      <w:color w:val="auto"/>
                      <w:szCs w:val="21"/>
                      <w:lang w:val="en-US" w:eastAsia="zh-CN"/>
                    </w:rPr>
                    <w:t>座雨水收集池，容积满足雨水收集要求。</w:t>
                  </w:r>
                </w:p>
              </w:tc>
              <w:tc>
                <w:tcPr>
                  <w:tcW w:w="819" w:type="dxa"/>
                  <w:vAlign w:val="center"/>
                </w:tcPr>
                <w:p>
                  <w:pPr>
                    <w:topLinePunct/>
                    <w:rPr>
                      <w:rFonts w:hint="eastAsia"/>
                      <w:color w:val="auto"/>
                      <w:szCs w:val="21"/>
                      <w:lang w:val="en-US" w:eastAsia="zh-CN"/>
                    </w:rPr>
                  </w:pPr>
                  <w:r>
                    <w:rPr>
                      <w:rFonts w:hint="eastAsia"/>
                      <w:color w:val="auto"/>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Merge w:val="continue"/>
                  <w:vAlign w:val="center"/>
                </w:tcPr>
                <w:p>
                  <w:pPr>
                    <w:pStyle w:val="43"/>
                    <w:spacing w:line="240" w:lineRule="auto"/>
                    <w:ind w:firstLine="0" w:firstLineChars="0"/>
                    <w:jc w:val="center"/>
                    <w:rPr>
                      <w:rFonts w:hint="eastAsia"/>
                      <w:color w:val="auto"/>
                      <w:lang w:val="en-US" w:eastAsia="zh-CN"/>
                    </w:rPr>
                  </w:pPr>
                </w:p>
              </w:tc>
              <w:tc>
                <w:tcPr>
                  <w:tcW w:w="1472" w:type="dxa"/>
                  <w:vMerge w:val="continue"/>
                  <w:vAlign w:val="center"/>
                </w:tcPr>
                <w:p>
                  <w:pPr>
                    <w:topLinePunct/>
                    <w:rPr>
                      <w:rFonts w:hint="eastAsia"/>
                      <w:color w:val="auto"/>
                      <w:szCs w:val="21"/>
                      <w:lang w:eastAsia="zh-CN"/>
                    </w:rPr>
                  </w:pPr>
                </w:p>
              </w:tc>
              <w:tc>
                <w:tcPr>
                  <w:tcW w:w="2945" w:type="dxa"/>
                  <w:vAlign w:val="center"/>
                </w:tcPr>
                <w:p>
                  <w:pPr>
                    <w:topLinePunct/>
                    <w:rPr>
                      <w:rFonts w:hint="eastAsia"/>
                      <w:color w:val="auto"/>
                      <w:szCs w:val="21"/>
                    </w:rPr>
                  </w:pPr>
                  <w:r>
                    <w:rPr>
                      <w:rFonts w:hint="eastAsia"/>
                      <w:color w:val="auto"/>
                      <w:szCs w:val="21"/>
                    </w:rPr>
                    <w:t>油井盘根处要安装集油槽，导油槽、污油回收池必须采取防渗漏措施，上沿口高出地面0.1米。污油回收池应加盖或设置护栏，且容积应不小于该井场日最大产液量（超过50吨的，可控制在50立方米）</w:t>
                  </w:r>
                </w:p>
              </w:tc>
              <w:tc>
                <w:tcPr>
                  <w:tcW w:w="2125" w:type="dxa"/>
                  <w:vAlign w:val="center"/>
                </w:tcPr>
                <w:p>
                  <w:pPr>
                    <w:topLinePunct/>
                    <w:rPr>
                      <w:rFonts w:hint="eastAsia"/>
                      <w:color w:val="auto"/>
                      <w:szCs w:val="21"/>
                    </w:rPr>
                  </w:pPr>
                  <w:r>
                    <w:rPr>
                      <w:rFonts w:hint="eastAsia"/>
                      <w:color w:val="auto"/>
                      <w:szCs w:val="21"/>
                      <w:lang w:val="en-US" w:eastAsia="zh-CN"/>
                    </w:rPr>
                    <w:t>井场建设集油槽，现有污油池为砖混结构，上方加盖，四周设置护栏。污油池容积不小于日最大产液量，池体四周设0.12m砖砌挡水墙。评价要求集油槽、污油池采取防渗及防腐措施。</w:t>
                  </w:r>
                </w:p>
              </w:tc>
              <w:tc>
                <w:tcPr>
                  <w:tcW w:w="819" w:type="dxa"/>
                  <w:vAlign w:val="center"/>
                </w:tcPr>
                <w:p>
                  <w:pPr>
                    <w:topLinePunct/>
                    <w:rPr>
                      <w:rFonts w:hint="eastAsia"/>
                      <w:color w:val="auto"/>
                      <w:szCs w:val="21"/>
                      <w:lang w:val="en-US" w:eastAsia="zh-CN"/>
                    </w:rPr>
                  </w:pPr>
                  <w:r>
                    <w:rPr>
                      <w:rFonts w:hint="eastAsia"/>
                      <w:color w:val="auto"/>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Merge w:val="continue"/>
                  <w:vAlign w:val="center"/>
                </w:tcPr>
                <w:p>
                  <w:pPr>
                    <w:pStyle w:val="43"/>
                    <w:spacing w:line="240" w:lineRule="auto"/>
                    <w:ind w:firstLine="0" w:firstLineChars="0"/>
                    <w:jc w:val="center"/>
                    <w:rPr>
                      <w:rFonts w:hint="eastAsia"/>
                      <w:color w:val="auto"/>
                      <w:lang w:val="en-US" w:eastAsia="zh-CN"/>
                    </w:rPr>
                  </w:pPr>
                </w:p>
              </w:tc>
              <w:tc>
                <w:tcPr>
                  <w:tcW w:w="1472" w:type="dxa"/>
                  <w:vMerge w:val="continue"/>
                  <w:vAlign w:val="center"/>
                </w:tcPr>
                <w:p>
                  <w:pPr>
                    <w:topLinePunct/>
                    <w:rPr>
                      <w:rFonts w:hint="eastAsia"/>
                      <w:color w:val="auto"/>
                      <w:szCs w:val="21"/>
                      <w:lang w:eastAsia="zh-CN"/>
                    </w:rPr>
                  </w:pPr>
                </w:p>
              </w:tc>
              <w:tc>
                <w:tcPr>
                  <w:tcW w:w="2945" w:type="dxa"/>
                  <w:vAlign w:val="center"/>
                </w:tcPr>
                <w:p>
                  <w:pPr>
                    <w:topLinePunct/>
                    <w:rPr>
                      <w:rFonts w:hint="eastAsia"/>
                      <w:color w:val="auto"/>
                      <w:szCs w:val="21"/>
                    </w:rPr>
                  </w:pPr>
                  <w:r>
                    <w:rPr>
                      <w:rFonts w:hint="eastAsia"/>
                      <w:color w:val="auto"/>
                      <w:szCs w:val="21"/>
                    </w:rPr>
                    <w:t>禁止在井场内进行油水分离操作。含水原油应运至联合站集中脱水，脱出水处理达标后回注油层。</w:t>
                  </w:r>
                </w:p>
              </w:tc>
              <w:tc>
                <w:tcPr>
                  <w:tcW w:w="2125" w:type="dxa"/>
                  <w:vAlign w:val="center"/>
                </w:tcPr>
                <w:p>
                  <w:pPr>
                    <w:topLinePunct/>
                    <w:rPr>
                      <w:rFonts w:hint="eastAsia"/>
                      <w:color w:val="auto"/>
                      <w:szCs w:val="21"/>
                    </w:rPr>
                  </w:pPr>
                  <w:r>
                    <w:rPr>
                      <w:rFonts w:hint="eastAsia"/>
                      <w:color w:val="auto"/>
                      <w:szCs w:val="21"/>
                      <w:lang w:val="en-US" w:eastAsia="zh-CN"/>
                    </w:rPr>
                    <w:t>本项目井场内不进行油水分离，含水油输送至现有联合站、增压点、拉油点等站场，进行集中脱水，脱出水处理达标后回注油层。</w:t>
                  </w:r>
                </w:p>
              </w:tc>
              <w:tc>
                <w:tcPr>
                  <w:tcW w:w="819" w:type="dxa"/>
                  <w:vAlign w:val="center"/>
                </w:tcPr>
                <w:p>
                  <w:pPr>
                    <w:topLinePunct/>
                    <w:rPr>
                      <w:rFonts w:hint="eastAsia"/>
                      <w:color w:val="auto"/>
                      <w:szCs w:val="21"/>
                      <w:lang w:val="en-US" w:eastAsia="zh-CN"/>
                    </w:rPr>
                  </w:pPr>
                  <w:r>
                    <w:rPr>
                      <w:rFonts w:hint="eastAsia"/>
                      <w:color w:val="auto"/>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Merge w:val="continue"/>
                  <w:vAlign w:val="center"/>
                </w:tcPr>
                <w:p>
                  <w:pPr>
                    <w:pStyle w:val="43"/>
                    <w:spacing w:line="240" w:lineRule="auto"/>
                    <w:ind w:firstLine="0" w:firstLineChars="0"/>
                    <w:jc w:val="center"/>
                    <w:rPr>
                      <w:rFonts w:hint="eastAsia"/>
                      <w:color w:val="auto"/>
                      <w:lang w:val="en-US" w:eastAsia="zh-CN"/>
                    </w:rPr>
                  </w:pPr>
                </w:p>
              </w:tc>
              <w:tc>
                <w:tcPr>
                  <w:tcW w:w="1472" w:type="dxa"/>
                  <w:vMerge w:val="continue"/>
                  <w:vAlign w:val="center"/>
                </w:tcPr>
                <w:p>
                  <w:pPr>
                    <w:topLinePunct/>
                    <w:rPr>
                      <w:rFonts w:hint="eastAsia"/>
                      <w:color w:val="auto"/>
                      <w:szCs w:val="21"/>
                      <w:lang w:eastAsia="zh-CN"/>
                    </w:rPr>
                  </w:pPr>
                </w:p>
              </w:tc>
              <w:tc>
                <w:tcPr>
                  <w:tcW w:w="2945" w:type="dxa"/>
                  <w:vAlign w:val="center"/>
                </w:tcPr>
                <w:p>
                  <w:pPr>
                    <w:topLinePunct/>
                    <w:rPr>
                      <w:rFonts w:hint="eastAsia"/>
                      <w:color w:val="auto"/>
                      <w:szCs w:val="21"/>
                    </w:rPr>
                  </w:pPr>
                  <w:r>
                    <w:rPr>
                      <w:rFonts w:hint="eastAsia"/>
                      <w:color w:val="auto"/>
                      <w:szCs w:val="21"/>
                      <w:lang w:val="en-US" w:eastAsia="zh-CN"/>
                    </w:rPr>
                    <w:t>井场的道路两侧和围墙内外宜绿化区域应实现林草覆盖，有效覆盖面积不低于98％。</w:t>
                  </w:r>
                </w:p>
              </w:tc>
              <w:tc>
                <w:tcPr>
                  <w:tcW w:w="2125" w:type="dxa"/>
                  <w:vAlign w:val="center"/>
                </w:tcPr>
                <w:p>
                  <w:pPr>
                    <w:topLinePunct/>
                    <w:rPr>
                      <w:rFonts w:hint="eastAsia"/>
                      <w:color w:val="auto"/>
                      <w:szCs w:val="21"/>
                    </w:rPr>
                  </w:pPr>
                  <w:r>
                    <w:rPr>
                      <w:rFonts w:hint="eastAsia"/>
                      <w:color w:val="auto"/>
                      <w:szCs w:val="21"/>
                      <w:lang w:val="en-US" w:eastAsia="zh-CN"/>
                    </w:rPr>
                    <w:t>评价建议井场内在不影响采油生产的区域根据情况绿化，道路两侧植树绿化，有效覆盖面积不低于</w:t>
                  </w:r>
                  <w:r>
                    <w:rPr>
                      <w:rFonts w:hint="default"/>
                      <w:color w:val="auto"/>
                      <w:szCs w:val="21"/>
                      <w:lang w:val="en-US" w:eastAsia="zh-CN"/>
                    </w:rPr>
                    <w:t>98%</w:t>
                  </w:r>
                  <w:r>
                    <w:rPr>
                      <w:rFonts w:hint="eastAsia"/>
                      <w:color w:val="auto"/>
                      <w:szCs w:val="21"/>
                      <w:lang w:val="en-US" w:eastAsia="zh-CN"/>
                    </w:rPr>
                    <w:t>。</w:t>
                  </w:r>
                </w:p>
              </w:tc>
              <w:tc>
                <w:tcPr>
                  <w:tcW w:w="819" w:type="dxa"/>
                  <w:vAlign w:val="center"/>
                </w:tcPr>
                <w:p>
                  <w:pPr>
                    <w:topLinePunct/>
                    <w:rPr>
                      <w:rFonts w:hint="eastAsia"/>
                      <w:color w:val="auto"/>
                      <w:szCs w:val="21"/>
                      <w:lang w:val="en-US" w:eastAsia="zh-CN"/>
                    </w:rPr>
                  </w:pPr>
                  <w:r>
                    <w:rPr>
                      <w:rFonts w:hint="eastAsia"/>
                      <w:color w:val="auto"/>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Merge w:val="continue"/>
                  <w:vAlign w:val="center"/>
                </w:tcPr>
                <w:p>
                  <w:pPr>
                    <w:pStyle w:val="43"/>
                    <w:spacing w:line="240" w:lineRule="auto"/>
                    <w:ind w:firstLine="0" w:firstLineChars="0"/>
                    <w:jc w:val="center"/>
                    <w:rPr>
                      <w:rFonts w:hint="eastAsia" w:ascii="Times New Roman" w:hAnsi="Times New Roman" w:eastAsia="宋体" w:cs="Times New Roman"/>
                      <w:color w:val="auto"/>
                      <w:kern w:val="0"/>
                      <w:sz w:val="21"/>
                      <w:szCs w:val="21"/>
                      <w:lang w:val="en-US" w:eastAsia="zh-CN" w:bidi="ar-SA"/>
                    </w:rPr>
                  </w:pPr>
                </w:p>
              </w:tc>
              <w:tc>
                <w:tcPr>
                  <w:tcW w:w="1472" w:type="dxa"/>
                  <w:vMerge w:val="continue"/>
                  <w:vAlign w:val="center"/>
                </w:tcPr>
                <w:p>
                  <w:pPr>
                    <w:topLinePunct/>
                    <w:rPr>
                      <w:rFonts w:hint="eastAsia"/>
                      <w:color w:val="auto"/>
                      <w:szCs w:val="21"/>
                      <w:lang w:val="en-US" w:eastAsia="zh-CN"/>
                    </w:rPr>
                  </w:pPr>
                </w:p>
              </w:tc>
              <w:tc>
                <w:tcPr>
                  <w:tcW w:w="2945" w:type="dxa"/>
                  <w:vAlign w:val="center"/>
                </w:tcPr>
                <w:p>
                  <w:pPr>
                    <w:topLinePunct/>
                    <w:rPr>
                      <w:rFonts w:hint="eastAsia"/>
                      <w:color w:val="auto"/>
                      <w:szCs w:val="21"/>
                      <w:lang w:val="en-US" w:eastAsia="zh-CN"/>
                    </w:rPr>
                  </w:pPr>
                  <w:r>
                    <w:rPr>
                      <w:rFonts w:hint="eastAsia"/>
                      <w:color w:val="auto"/>
                      <w:szCs w:val="21"/>
                      <w:lang w:val="en-US" w:eastAsia="zh-CN"/>
                    </w:rPr>
                    <w:t>修路和开挖井场造成植被破坏或地表裸露的，必须采取有效的修复措施，所有生态措施应在井场投运半年内完成。</w:t>
                  </w:r>
                </w:p>
              </w:tc>
              <w:tc>
                <w:tcPr>
                  <w:tcW w:w="2125" w:type="dxa"/>
                  <w:vAlign w:val="center"/>
                </w:tcPr>
                <w:p>
                  <w:pPr>
                    <w:topLinePunct/>
                    <w:rPr>
                      <w:rFonts w:hint="eastAsia"/>
                      <w:color w:val="auto"/>
                      <w:szCs w:val="21"/>
                      <w:lang w:val="en-US" w:eastAsia="zh-CN"/>
                    </w:rPr>
                  </w:pPr>
                  <w:r>
                    <w:rPr>
                      <w:rFonts w:hint="eastAsia"/>
                      <w:color w:val="auto"/>
                      <w:szCs w:val="21"/>
                      <w:lang w:val="en-US" w:eastAsia="zh-CN"/>
                    </w:rPr>
                    <w:t>项目施工完毕后根据原有植被覆盖情况对井场及周边进行相应的生态恢复及复垦</w:t>
                  </w:r>
                </w:p>
              </w:tc>
              <w:tc>
                <w:tcPr>
                  <w:tcW w:w="819" w:type="dxa"/>
                  <w:vAlign w:val="center"/>
                </w:tcPr>
                <w:p>
                  <w:pPr>
                    <w:topLinePunct/>
                    <w:rPr>
                      <w:rFonts w:hint="default"/>
                      <w:color w:val="auto"/>
                      <w:szCs w:val="21"/>
                      <w:lang w:val="en-US" w:eastAsia="zh-CN"/>
                    </w:rPr>
                  </w:pPr>
                  <w:r>
                    <w:rPr>
                      <w:rFonts w:hint="eastAsia"/>
                      <w:color w:val="auto"/>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Merge w:val="continue"/>
                  <w:vAlign w:val="center"/>
                </w:tcPr>
                <w:p>
                  <w:pPr>
                    <w:pStyle w:val="43"/>
                    <w:spacing w:line="240" w:lineRule="auto"/>
                    <w:ind w:firstLine="0" w:firstLineChars="0"/>
                    <w:jc w:val="center"/>
                    <w:rPr>
                      <w:rFonts w:hint="eastAsia" w:ascii="Times New Roman" w:hAnsi="Times New Roman" w:eastAsia="宋体" w:cs="Times New Roman"/>
                      <w:color w:val="auto"/>
                      <w:kern w:val="0"/>
                      <w:sz w:val="21"/>
                      <w:szCs w:val="21"/>
                      <w:lang w:val="en-US" w:eastAsia="zh-CN" w:bidi="ar-SA"/>
                    </w:rPr>
                  </w:pPr>
                </w:p>
              </w:tc>
              <w:tc>
                <w:tcPr>
                  <w:tcW w:w="1472" w:type="dxa"/>
                  <w:vMerge w:val="continue"/>
                  <w:vAlign w:val="center"/>
                </w:tcPr>
                <w:p>
                  <w:pPr>
                    <w:topLinePunct/>
                    <w:rPr>
                      <w:rFonts w:hint="eastAsia"/>
                      <w:color w:val="auto"/>
                      <w:szCs w:val="21"/>
                      <w:lang w:val="en-US" w:eastAsia="zh-CN"/>
                    </w:rPr>
                  </w:pPr>
                </w:p>
              </w:tc>
              <w:tc>
                <w:tcPr>
                  <w:tcW w:w="2945" w:type="dxa"/>
                  <w:vAlign w:val="center"/>
                </w:tcPr>
                <w:p>
                  <w:pPr>
                    <w:topLinePunct/>
                    <w:rPr>
                      <w:rFonts w:hint="eastAsia"/>
                      <w:color w:val="auto"/>
                      <w:szCs w:val="21"/>
                      <w:lang w:val="en-US" w:eastAsia="zh-CN"/>
                    </w:rPr>
                  </w:pPr>
                  <w:r>
                    <w:rPr>
                      <w:rFonts w:hint="eastAsia"/>
                      <w:color w:val="auto"/>
                      <w:szCs w:val="21"/>
                      <w:lang w:val="en-US" w:eastAsia="zh-CN"/>
                    </w:rPr>
                    <w:t xml:space="preserve">关闭油（气）井应封堵油（气） </w:t>
                  </w:r>
                </w:p>
                <w:p>
                  <w:pPr>
                    <w:topLinePunct/>
                    <w:rPr>
                      <w:rFonts w:hint="eastAsia"/>
                      <w:color w:val="auto"/>
                      <w:szCs w:val="21"/>
                      <w:lang w:val="en-US" w:eastAsia="zh-CN"/>
                    </w:rPr>
                  </w:pPr>
                  <w:r>
                    <w:rPr>
                      <w:rFonts w:hint="eastAsia"/>
                      <w:color w:val="auto"/>
                      <w:szCs w:val="21"/>
                      <w:lang w:val="en-US" w:eastAsia="zh-CN"/>
                    </w:rPr>
                    <w:t>层、封闭井口，并同步实施井场复垦还田或植树种草工程措施。</w:t>
                  </w:r>
                </w:p>
              </w:tc>
              <w:tc>
                <w:tcPr>
                  <w:tcW w:w="2125" w:type="dxa"/>
                  <w:vAlign w:val="center"/>
                </w:tcPr>
                <w:p>
                  <w:pPr>
                    <w:topLinePunct/>
                    <w:rPr>
                      <w:rFonts w:hint="eastAsia"/>
                      <w:color w:val="auto"/>
                      <w:szCs w:val="21"/>
                      <w:lang w:val="en-US" w:eastAsia="zh-CN"/>
                    </w:rPr>
                  </w:pPr>
                  <w:r>
                    <w:rPr>
                      <w:rFonts w:hint="eastAsia"/>
                      <w:color w:val="auto"/>
                      <w:szCs w:val="21"/>
                      <w:lang w:val="en-US" w:eastAsia="zh-CN"/>
                    </w:rPr>
                    <w:t>封井后及时对生态进行恢复。</w:t>
                  </w:r>
                </w:p>
              </w:tc>
              <w:tc>
                <w:tcPr>
                  <w:tcW w:w="819" w:type="dxa"/>
                  <w:vAlign w:val="center"/>
                </w:tcPr>
                <w:p>
                  <w:pPr>
                    <w:topLinePunct/>
                    <w:rPr>
                      <w:rFonts w:hint="default"/>
                      <w:color w:val="auto"/>
                      <w:szCs w:val="21"/>
                      <w:lang w:val="en-US" w:eastAsia="zh-CN"/>
                    </w:rPr>
                  </w:pPr>
                  <w:r>
                    <w:rPr>
                      <w:rFonts w:hint="eastAsia"/>
                      <w:color w:val="auto"/>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Merge w:val="continue"/>
                  <w:vAlign w:val="center"/>
                </w:tcPr>
                <w:p>
                  <w:pPr>
                    <w:pStyle w:val="43"/>
                    <w:spacing w:line="240" w:lineRule="auto"/>
                    <w:ind w:firstLine="0" w:firstLineChars="0"/>
                    <w:jc w:val="center"/>
                    <w:rPr>
                      <w:rFonts w:hint="eastAsia" w:ascii="Times New Roman" w:hAnsi="Times New Roman" w:eastAsia="宋体" w:cs="Times New Roman"/>
                      <w:color w:val="auto"/>
                      <w:kern w:val="0"/>
                      <w:sz w:val="21"/>
                      <w:szCs w:val="21"/>
                      <w:lang w:val="en-US" w:eastAsia="zh-CN" w:bidi="ar-SA"/>
                    </w:rPr>
                  </w:pPr>
                </w:p>
              </w:tc>
              <w:tc>
                <w:tcPr>
                  <w:tcW w:w="1472" w:type="dxa"/>
                  <w:vMerge w:val="continue"/>
                  <w:vAlign w:val="center"/>
                </w:tcPr>
                <w:p>
                  <w:pPr>
                    <w:topLinePunct/>
                    <w:rPr>
                      <w:rFonts w:hint="eastAsia"/>
                      <w:color w:val="auto"/>
                      <w:szCs w:val="21"/>
                      <w:lang w:val="en-US" w:eastAsia="zh-CN"/>
                    </w:rPr>
                  </w:pPr>
                </w:p>
              </w:tc>
              <w:tc>
                <w:tcPr>
                  <w:tcW w:w="2945" w:type="dxa"/>
                  <w:vAlign w:val="center"/>
                </w:tcPr>
                <w:p>
                  <w:pPr>
                    <w:topLinePunct/>
                    <w:rPr>
                      <w:rFonts w:hint="eastAsia" w:ascii="Times New Roman" w:hAnsi="Times New Roman" w:eastAsia="宋体" w:cs="Times New Roman"/>
                      <w:color w:val="auto"/>
                      <w:kern w:val="2"/>
                      <w:sz w:val="21"/>
                      <w:szCs w:val="21"/>
                      <w:lang w:val="en-US" w:eastAsia="zh-CN" w:bidi="ar-SA"/>
                    </w:rPr>
                  </w:pPr>
                  <w:r>
                    <w:rPr>
                      <w:rFonts w:hint="eastAsia"/>
                      <w:color w:val="auto"/>
                      <w:szCs w:val="21"/>
                      <w:lang w:val="en-US" w:eastAsia="zh-CN"/>
                    </w:rPr>
                    <w:t>井场应做到清洁卫生，无跑、冒、滴、漏现象，场外无油污、无垃圾，杜绝污染物乱堆乱放。</w:t>
                  </w:r>
                </w:p>
              </w:tc>
              <w:tc>
                <w:tcPr>
                  <w:tcW w:w="2125" w:type="dxa"/>
                  <w:vAlign w:val="center"/>
                </w:tcPr>
                <w:p>
                  <w:pPr>
                    <w:topLinePunct/>
                    <w:rPr>
                      <w:rFonts w:hint="eastAsia" w:ascii="Times New Roman" w:hAnsi="Times New Roman" w:eastAsia="宋体" w:cs="Times New Roman"/>
                      <w:color w:val="auto"/>
                      <w:kern w:val="2"/>
                      <w:sz w:val="21"/>
                      <w:szCs w:val="21"/>
                      <w:lang w:val="en-US" w:eastAsia="zh-CN" w:bidi="ar-SA"/>
                    </w:rPr>
                  </w:pPr>
                  <w:r>
                    <w:rPr>
                      <w:rFonts w:hint="eastAsia"/>
                      <w:color w:val="auto"/>
                      <w:szCs w:val="21"/>
                      <w:lang w:val="en-US" w:eastAsia="zh-CN"/>
                    </w:rPr>
                    <w:t>区块设立专职人员进行管理，可减少环境污染。</w:t>
                  </w:r>
                </w:p>
              </w:tc>
              <w:tc>
                <w:tcPr>
                  <w:tcW w:w="819" w:type="dxa"/>
                  <w:vAlign w:val="center"/>
                </w:tcPr>
                <w:p>
                  <w:pPr>
                    <w:topLinePunct/>
                    <w:rPr>
                      <w:rFonts w:hint="eastAsia" w:ascii="Times New Roman" w:hAnsi="Times New Roman" w:eastAsia="宋体" w:cs="Times New Roman"/>
                      <w:color w:val="auto"/>
                      <w:kern w:val="2"/>
                      <w:sz w:val="21"/>
                      <w:szCs w:val="21"/>
                      <w:lang w:val="en-US" w:eastAsia="zh-CN" w:bidi="ar-SA"/>
                    </w:rPr>
                  </w:pPr>
                  <w:r>
                    <w:rPr>
                      <w:rFonts w:hint="eastAsia"/>
                      <w:color w:val="auto"/>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Merge w:val="continue"/>
                  <w:vAlign w:val="center"/>
                </w:tcPr>
                <w:p>
                  <w:pPr>
                    <w:pStyle w:val="43"/>
                    <w:spacing w:line="240" w:lineRule="auto"/>
                    <w:ind w:firstLine="0" w:firstLineChars="0"/>
                    <w:jc w:val="center"/>
                    <w:rPr>
                      <w:rFonts w:hint="eastAsia" w:ascii="Times New Roman" w:hAnsi="Times New Roman" w:eastAsia="宋体" w:cs="Times New Roman"/>
                      <w:color w:val="auto"/>
                      <w:kern w:val="0"/>
                      <w:sz w:val="21"/>
                      <w:szCs w:val="21"/>
                      <w:lang w:val="en-US" w:eastAsia="zh-CN" w:bidi="ar-SA"/>
                    </w:rPr>
                  </w:pPr>
                </w:p>
              </w:tc>
              <w:tc>
                <w:tcPr>
                  <w:tcW w:w="1472" w:type="dxa"/>
                  <w:vMerge w:val="continue"/>
                  <w:vAlign w:val="center"/>
                </w:tcPr>
                <w:p>
                  <w:pPr>
                    <w:topLinePunct/>
                    <w:rPr>
                      <w:rFonts w:hint="eastAsia"/>
                      <w:color w:val="auto"/>
                      <w:szCs w:val="21"/>
                      <w:lang w:val="en-US" w:eastAsia="zh-CN"/>
                    </w:rPr>
                  </w:pPr>
                </w:p>
              </w:tc>
              <w:tc>
                <w:tcPr>
                  <w:tcW w:w="2945" w:type="dxa"/>
                  <w:vAlign w:val="center"/>
                </w:tcPr>
                <w:p>
                  <w:pPr>
                    <w:topLinePunct/>
                    <w:rPr>
                      <w:rFonts w:hint="eastAsia" w:ascii="Times New Roman" w:hAnsi="Times New Roman" w:eastAsia="宋体" w:cs="Times New Roman"/>
                      <w:color w:val="auto"/>
                      <w:kern w:val="2"/>
                      <w:sz w:val="21"/>
                      <w:szCs w:val="21"/>
                      <w:lang w:val="en-US" w:eastAsia="zh-CN" w:bidi="ar-SA"/>
                    </w:rPr>
                  </w:pPr>
                  <w:r>
                    <w:rPr>
                      <w:rFonts w:hint="eastAsia"/>
                      <w:color w:val="auto"/>
                      <w:szCs w:val="21"/>
                      <w:lang w:val="en-US" w:eastAsia="zh-CN"/>
                    </w:rPr>
                    <w:t>泥浆池、泥浆槽、集油槽、导油槽、污油回收池及钻井、修井等作业的防渗漏措施必须经环保部门验收合格后，方可投入使用。</w:t>
                  </w:r>
                </w:p>
              </w:tc>
              <w:tc>
                <w:tcPr>
                  <w:tcW w:w="2125" w:type="dxa"/>
                  <w:vAlign w:val="center"/>
                </w:tcPr>
                <w:p>
                  <w:pPr>
                    <w:topLinePunct/>
                    <w:rPr>
                      <w:rFonts w:hint="eastAsia" w:ascii="Times New Roman" w:hAnsi="Times New Roman" w:eastAsia="宋体" w:cs="Times New Roman"/>
                      <w:color w:val="auto"/>
                      <w:kern w:val="2"/>
                      <w:sz w:val="21"/>
                      <w:szCs w:val="21"/>
                      <w:lang w:val="en-US" w:eastAsia="zh-CN" w:bidi="ar-SA"/>
                    </w:rPr>
                  </w:pPr>
                  <w:r>
                    <w:rPr>
                      <w:rFonts w:hint="eastAsia"/>
                      <w:color w:val="auto"/>
                      <w:szCs w:val="21"/>
                      <w:lang w:val="en-US" w:eastAsia="zh-CN"/>
                    </w:rPr>
                    <w:t>评价要求井场设立的防渗工程必须全部验收合格方可投运。</w:t>
                  </w:r>
                </w:p>
              </w:tc>
              <w:tc>
                <w:tcPr>
                  <w:tcW w:w="819" w:type="dxa"/>
                  <w:vAlign w:val="center"/>
                </w:tcPr>
                <w:p>
                  <w:pPr>
                    <w:topLinePunct/>
                    <w:rPr>
                      <w:rFonts w:hint="eastAsia" w:ascii="Times New Roman" w:hAnsi="Times New Roman" w:eastAsia="宋体" w:cs="Times New Roman"/>
                      <w:color w:val="auto"/>
                      <w:kern w:val="2"/>
                      <w:sz w:val="21"/>
                      <w:szCs w:val="21"/>
                      <w:lang w:val="en-US" w:eastAsia="zh-CN" w:bidi="ar-SA"/>
                    </w:rPr>
                  </w:pPr>
                  <w:r>
                    <w:rPr>
                      <w:rFonts w:hint="eastAsia"/>
                      <w:color w:val="auto"/>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656" w:type="dxa"/>
                  <w:vMerge w:val="continue"/>
                  <w:vAlign w:val="center"/>
                </w:tcPr>
                <w:p>
                  <w:pPr>
                    <w:pStyle w:val="43"/>
                    <w:spacing w:line="240" w:lineRule="auto"/>
                    <w:ind w:firstLine="0" w:firstLineChars="0"/>
                    <w:jc w:val="center"/>
                    <w:rPr>
                      <w:rFonts w:hint="eastAsia" w:ascii="Times New Roman" w:hAnsi="Times New Roman" w:eastAsia="宋体" w:cs="Times New Roman"/>
                      <w:color w:val="auto"/>
                      <w:kern w:val="0"/>
                      <w:sz w:val="21"/>
                      <w:szCs w:val="21"/>
                      <w:lang w:val="en-US" w:eastAsia="zh-CN" w:bidi="ar-SA"/>
                    </w:rPr>
                  </w:pPr>
                </w:p>
              </w:tc>
              <w:tc>
                <w:tcPr>
                  <w:tcW w:w="1472" w:type="dxa"/>
                  <w:vMerge w:val="continue"/>
                  <w:vAlign w:val="center"/>
                </w:tcPr>
                <w:p>
                  <w:pPr>
                    <w:spacing w:line="240" w:lineRule="auto"/>
                    <w:ind w:firstLine="0" w:firstLineChars="0"/>
                    <w:rPr>
                      <w:rFonts w:hint="eastAsia" w:ascii="Times New Roman" w:hAnsi="Times New Roman" w:eastAsia="宋体" w:cs="Times New Roman"/>
                      <w:color w:val="auto"/>
                      <w:kern w:val="0"/>
                      <w:sz w:val="21"/>
                      <w:szCs w:val="21"/>
                      <w:lang w:val="en-US" w:eastAsia="zh-CN" w:bidi="ar-SA"/>
                    </w:rPr>
                  </w:pPr>
                </w:p>
              </w:tc>
              <w:tc>
                <w:tcPr>
                  <w:tcW w:w="2945" w:type="dxa"/>
                  <w:vAlign w:val="center"/>
                </w:tcPr>
                <w:p>
                  <w:pPr>
                    <w:topLinePunct/>
                    <w:rPr>
                      <w:rFonts w:hint="eastAsia" w:ascii="Times New Roman" w:hAnsi="Times New Roman" w:eastAsia="宋体" w:cs="Times New Roman"/>
                      <w:color w:val="auto"/>
                      <w:kern w:val="2"/>
                      <w:sz w:val="21"/>
                      <w:szCs w:val="21"/>
                      <w:lang w:val="en-US" w:eastAsia="zh-CN" w:bidi="ar-SA"/>
                    </w:rPr>
                  </w:pPr>
                  <w:r>
                    <w:rPr>
                      <w:rFonts w:hint="eastAsia"/>
                      <w:color w:val="auto"/>
                      <w:szCs w:val="21"/>
                      <w:lang w:val="en-US" w:eastAsia="zh-CN"/>
                    </w:rPr>
                    <w:t>按照环境事故应急预案，要对井场操作人员进行应急培训，并储备相应抢险应急物资。</w:t>
                  </w:r>
                </w:p>
              </w:tc>
              <w:tc>
                <w:tcPr>
                  <w:tcW w:w="2125" w:type="dxa"/>
                  <w:vAlign w:val="center"/>
                </w:tcPr>
                <w:p>
                  <w:pPr>
                    <w:topLinePunct/>
                    <w:rPr>
                      <w:rFonts w:hint="eastAsia" w:ascii="Times New Roman" w:hAnsi="Times New Roman" w:eastAsia="宋体" w:cs="Times New Roman"/>
                      <w:color w:val="auto"/>
                      <w:kern w:val="2"/>
                      <w:sz w:val="21"/>
                      <w:szCs w:val="21"/>
                      <w:lang w:val="en-US" w:eastAsia="zh-CN" w:bidi="ar-SA"/>
                    </w:rPr>
                  </w:pPr>
                  <w:r>
                    <w:rPr>
                      <w:rFonts w:hint="eastAsia"/>
                      <w:color w:val="auto"/>
                      <w:szCs w:val="21"/>
                      <w:lang w:val="en-US" w:eastAsia="zh-CN"/>
                    </w:rPr>
                    <w:t>井场配套应急物资，第三采油制定有突发环境事件应急预案，环评要求按照预案进行培训并定期演练。第三采油厂应及时修编突发环境事件应急预案。</w:t>
                  </w:r>
                </w:p>
              </w:tc>
              <w:tc>
                <w:tcPr>
                  <w:tcW w:w="819" w:type="dxa"/>
                  <w:vAlign w:val="center"/>
                </w:tcPr>
                <w:p>
                  <w:pPr>
                    <w:topLinePunct/>
                    <w:rPr>
                      <w:rFonts w:hint="eastAsia" w:ascii="Times New Roman" w:hAnsi="Times New Roman" w:eastAsia="宋体" w:cs="Times New Roman"/>
                      <w:color w:val="auto"/>
                      <w:kern w:val="2"/>
                      <w:sz w:val="21"/>
                      <w:szCs w:val="21"/>
                      <w:lang w:val="en-US" w:eastAsia="zh-CN" w:bidi="ar-SA"/>
                    </w:rPr>
                  </w:pPr>
                  <w:r>
                    <w:rPr>
                      <w:rFonts w:hint="eastAsia"/>
                      <w:color w:val="auto"/>
                      <w:szCs w:val="21"/>
                      <w:lang w:val="en-US" w:eastAsia="zh-CN"/>
                    </w:rPr>
                    <w:t>符合</w:t>
                  </w:r>
                </w:p>
              </w:tc>
            </w:tr>
          </w:tbl>
          <w:p>
            <w:pPr>
              <w:pStyle w:val="18"/>
              <w:keepNext w:val="0"/>
              <w:keepLines w:val="0"/>
              <w:pageBreakBefore w:val="0"/>
              <w:widowControl w:val="0"/>
              <w:kinsoku/>
              <w:wordWrap/>
              <w:overflowPunct/>
              <w:topLinePunct w:val="0"/>
              <w:autoSpaceDE/>
              <w:autoSpaceDN/>
              <w:bidi w:val="0"/>
              <w:adjustRightInd/>
              <w:snapToGrid/>
              <w:spacing w:before="157" w:beforeLines="50" w:after="0" w:line="360" w:lineRule="auto"/>
              <w:ind w:left="0" w:leftChars="0" w:firstLine="0" w:firstLineChars="0"/>
              <w:textAlignment w:val="auto"/>
              <w:rPr>
                <w:b/>
                <w:bCs/>
                <w:color w:val="auto"/>
                <w:kern w:val="2"/>
                <w:szCs w:val="24"/>
              </w:rPr>
            </w:pPr>
            <w:r>
              <w:rPr>
                <w:rFonts w:hint="eastAsia"/>
                <w:b/>
                <w:bCs/>
                <w:color w:val="auto"/>
                <w:kern w:val="2"/>
                <w:szCs w:val="24"/>
              </w:rPr>
              <w:t>5、与相关标准符合性分析</w:t>
            </w:r>
          </w:p>
          <w:p>
            <w:pPr>
              <w:pStyle w:val="43"/>
              <w:ind w:firstLine="480"/>
              <w:rPr>
                <w:color w:val="auto"/>
                <w:sz w:val="24"/>
                <w:szCs w:val="32"/>
              </w:rPr>
            </w:pPr>
            <w:r>
              <w:rPr>
                <w:rFonts w:hint="eastAsia"/>
                <w:color w:val="auto"/>
                <w:sz w:val="24"/>
              </w:rPr>
              <w:t>项目与《危险废物贮存污染控制标准》(GB18597-2023)</w:t>
            </w:r>
            <w:r>
              <w:rPr>
                <w:rFonts w:hint="eastAsia"/>
                <w:color w:val="auto"/>
                <w:sz w:val="24"/>
                <w:szCs w:val="32"/>
              </w:rPr>
              <w:t>符合性分析详见表1</w:t>
            </w:r>
            <w:r>
              <w:rPr>
                <w:color w:val="auto"/>
                <w:sz w:val="24"/>
                <w:szCs w:val="32"/>
              </w:rPr>
              <w:t>-</w:t>
            </w:r>
            <w:r>
              <w:rPr>
                <w:rFonts w:hint="eastAsia"/>
                <w:color w:val="auto"/>
                <w:sz w:val="24"/>
                <w:szCs w:val="32"/>
              </w:rPr>
              <w:t>4。</w:t>
            </w:r>
          </w:p>
          <w:p>
            <w:pPr>
              <w:ind w:firstLine="422" w:firstLineChars="200"/>
              <w:jc w:val="left"/>
              <w:rPr>
                <w:b/>
                <w:bCs/>
                <w:color w:val="auto"/>
              </w:rPr>
            </w:pPr>
            <w:r>
              <w:rPr>
                <w:rFonts w:hint="eastAsia"/>
                <w:b/>
                <w:bCs/>
                <w:color w:val="auto"/>
              </w:rPr>
              <w:t>表1-4      项目与《危险废物贮存污染控制标准》符合性分析一览表</w:t>
            </w:r>
          </w:p>
          <w:tbl>
            <w:tblPr>
              <w:tblStyle w:val="20"/>
              <w:tblW w:w="80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2"/>
              <w:gridCol w:w="3091"/>
              <w:gridCol w:w="3479"/>
              <w:gridCol w:w="8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2" w:type="dxa"/>
                  <w:vAlign w:val="center"/>
                </w:tcPr>
                <w:p>
                  <w:pPr>
                    <w:pStyle w:val="43"/>
                    <w:spacing w:line="240" w:lineRule="auto"/>
                    <w:ind w:firstLine="0" w:firstLineChars="0"/>
                    <w:jc w:val="center"/>
                    <w:rPr>
                      <w:color w:val="auto"/>
                      <w:szCs w:val="21"/>
                    </w:rPr>
                  </w:pPr>
                  <w:r>
                    <w:rPr>
                      <w:rFonts w:hint="eastAsia"/>
                      <w:color w:val="auto"/>
                      <w:szCs w:val="21"/>
                    </w:rPr>
                    <w:t>序号</w:t>
                  </w:r>
                </w:p>
              </w:tc>
              <w:tc>
                <w:tcPr>
                  <w:tcW w:w="3091" w:type="dxa"/>
                  <w:vAlign w:val="center"/>
                </w:tcPr>
                <w:p>
                  <w:pPr>
                    <w:pStyle w:val="43"/>
                    <w:spacing w:line="240" w:lineRule="auto"/>
                    <w:ind w:firstLine="0" w:firstLineChars="0"/>
                    <w:jc w:val="center"/>
                    <w:rPr>
                      <w:color w:val="auto"/>
                      <w:szCs w:val="21"/>
                    </w:rPr>
                  </w:pPr>
                  <w:r>
                    <w:rPr>
                      <w:rFonts w:hint="eastAsia"/>
                      <w:color w:val="auto"/>
                      <w:szCs w:val="21"/>
                    </w:rPr>
                    <w:t>标准相关内容</w:t>
                  </w:r>
                </w:p>
              </w:tc>
              <w:tc>
                <w:tcPr>
                  <w:tcW w:w="3479" w:type="dxa"/>
                  <w:vAlign w:val="center"/>
                </w:tcPr>
                <w:p>
                  <w:pPr>
                    <w:pStyle w:val="43"/>
                    <w:spacing w:line="240" w:lineRule="auto"/>
                    <w:ind w:firstLine="0" w:firstLineChars="0"/>
                    <w:jc w:val="center"/>
                    <w:rPr>
                      <w:color w:val="auto"/>
                      <w:szCs w:val="21"/>
                    </w:rPr>
                  </w:pPr>
                  <w:r>
                    <w:rPr>
                      <w:rFonts w:hint="eastAsia"/>
                      <w:color w:val="auto"/>
                      <w:szCs w:val="21"/>
                    </w:rPr>
                    <w:t>本项目情况</w:t>
                  </w:r>
                </w:p>
              </w:tc>
              <w:tc>
                <w:tcPr>
                  <w:tcW w:w="810" w:type="dxa"/>
                  <w:vAlign w:val="center"/>
                </w:tcPr>
                <w:p>
                  <w:pPr>
                    <w:pStyle w:val="43"/>
                    <w:spacing w:line="240" w:lineRule="auto"/>
                    <w:ind w:firstLine="0" w:firstLineChars="0"/>
                    <w:jc w:val="center"/>
                    <w:rPr>
                      <w:color w:val="auto"/>
                      <w:szCs w:val="21"/>
                    </w:rPr>
                  </w:pPr>
                  <w:r>
                    <w:rPr>
                      <w:rFonts w:hint="eastAsia"/>
                      <w:color w:val="auto"/>
                      <w:szCs w:val="21"/>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2" w:type="dxa"/>
                  <w:vAlign w:val="center"/>
                </w:tcPr>
                <w:p>
                  <w:pPr>
                    <w:pStyle w:val="43"/>
                    <w:spacing w:line="240" w:lineRule="auto"/>
                    <w:ind w:firstLine="0" w:firstLineChars="0"/>
                    <w:jc w:val="center"/>
                    <w:rPr>
                      <w:color w:val="auto"/>
                      <w:szCs w:val="21"/>
                    </w:rPr>
                  </w:pPr>
                  <w:r>
                    <w:rPr>
                      <w:rFonts w:hint="eastAsia"/>
                      <w:color w:val="auto"/>
                      <w:szCs w:val="21"/>
                    </w:rPr>
                    <w:t>1</w:t>
                  </w:r>
                </w:p>
              </w:tc>
              <w:tc>
                <w:tcPr>
                  <w:tcW w:w="3091" w:type="dxa"/>
                </w:tcPr>
                <w:p>
                  <w:pPr>
                    <w:pStyle w:val="43"/>
                    <w:spacing w:line="240" w:lineRule="auto"/>
                    <w:ind w:firstLine="0" w:firstLineChars="0"/>
                    <w:rPr>
                      <w:color w:val="auto"/>
                      <w:szCs w:val="21"/>
                    </w:rPr>
                  </w:pPr>
                  <w:r>
                    <w:rPr>
                      <w:rFonts w:hint="eastAsia"/>
                      <w:color w:val="auto"/>
                      <w:szCs w:val="21"/>
                    </w:rPr>
                    <w:t>贮存危险废物应根据危险废物的形态、物理化学性质、包装形式和污染物迁移途径，采取措施减少渗滤液及其衍生废物、渗漏的液态废物（简称渗漏液）、粉尘、VOCs、酸雾、有毒有害大气污染物和刺激性气味气体等污染物的产生，防止其污染环境。</w:t>
                  </w:r>
                </w:p>
                <w:p>
                  <w:pPr>
                    <w:pStyle w:val="43"/>
                    <w:spacing w:line="240" w:lineRule="auto"/>
                    <w:ind w:firstLine="0" w:firstLineChars="0"/>
                    <w:rPr>
                      <w:color w:val="auto"/>
                      <w:szCs w:val="21"/>
                    </w:rPr>
                  </w:pPr>
                  <w:r>
                    <w:rPr>
                      <w:rFonts w:hint="eastAsia"/>
                      <w:color w:val="auto"/>
                      <w:szCs w:val="21"/>
                    </w:rPr>
                    <w:t>贮存设施或场所、容器和包装物应按HJ 1276要求设置危险废物贮存设施或场所标志、危险废物贮存分区标志和危险废物标签等危险废物识别标志。</w:t>
                  </w:r>
                </w:p>
              </w:tc>
              <w:tc>
                <w:tcPr>
                  <w:tcW w:w="3479" w:type="dxa"/>
                </w:tcPr>
                <w:p>
                  <w:pPr>
                    <w:pStyle w:val="43"/>
                    <w:spacing w:line="240" w:lineRule="auto"/>
                    <w:ind w:firstLine="0" w:firstLineChars="0"/>
                    <w:rPr>
                      <w:b/>
                      <w:bCs/>
                      <w:color w:val="auto"/>
                      <w:sz w:val="24"/>
                    </w:rPr>
                  </w:pPr>
                  <w:r>
                    <w:rPr>
                      <w:rFonts w:hint="eastAsia"/>
                      <w:color w:val="auto"/>
                      <w:szCs w:val="21"/>
                    </w:rPr>
                    <w:t>本项目为油泥暂存间新建项目，用于存储落地油泥，在存储的过程中会产生少量有机废气。项目暂存间内加强通风，且产生的落地油泥采用三层塑料包装袋密封包装后再装入</w:t>
                  </w:r>
                  <w:r>
                    <w:rPr>
                      <w:rFonts w:hint="eastAsia"/>
                      <w:color w:val="auto"/>
                      <w:lang w:val="en-US" w:eastAsia="zh-CN"/>
                    </w:rPr>
                    <w:t>专用包装</w:t>
                  </w:r>
                  <w:r>
                    <w:rPr>
                      <w:rFonts w:hint="eastAsia"/>
                      <w:color w:val="auto"/>
                    </w:rPr>
                    <w:t>袋</w:t>
                  </w:r>
                  <w:r>
                    <w:rPr>
                      <w:rFonts w:hint="eastAsia"/>
                      <w:color w:val="auto"/>
                      <w:lang w:eastAsia="zh-CN"/>
                    </w:rPr>
                    <w:t>（</w:t>
                  </w:r>
                  <w:r>
                    <w:rPr>
                      <w:rFonts w:hint="eastAsia"/>
                      <w:color w:val="auto"/>
                      <w:lang w:val="en-US" w:eastAsia="zh-CN"/>
                    </w:rPr>
                    <w:t>防渗、防水</w:t>
                  </w:r>
                  <w:r>
                    <w:rPr>
                      <w:rFonts w:hint="eastAsia"/>
                      <w:color w:val="auto"/>
                      <w:lang w:eastAsia="zh-CN"/>
                    </w:rPr>
                    <w:t>）</w:t>
                  </w:r>
                  <w:r>
                    <w:rPr>
                      <w:rFonts w:hint="eastAsia"/>
                      <w:color w:val="auto"/>
                      <w:szCs w:val="21"/>
                    </w:rPr>
                    <w:t>暂存在暂存间内，因此产生的少量有机废气对外环境影响较小。项目储存过程中主要风险事故为油泥泄露、地面或池体破损对地下水、土壤产生污染，储存间严格按照《危险废物贮存污染控制标准》(GB18597-2023）进行防渗，防渗材料满足要求，避免污染地下水、土壤，不会对区域地下水、土壤环境产生明显影响。</w:t>
                  </w:r>
                </w:p>
              </w:tc>
              <w:tc>
                <w:tcPr>
                  <w:tcW w:w="810" w:type="dxa"/>
                  <w:vAlign w:val="center"/>
                </w:tcPr>
                <w:p>
                  <w:pPr>
                    <w:pStyle w:val="43"/>
                    <w:ind w:firstLine="0" w:firstLineChars="0"/>
                    <w:jc w:val="center"/>
                    <w:rPr>
                      <w:b/>
                      <w:bCs/>
                      <w:color w:val="auto"/>
                      <w:sz w:val="24"/>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34" w:hRule="atLeast"/>
              </w:trPr>
              <w:tc>
                <w:tcPr>
                  <w:tcW w:w="642" w:type="dxa"/>
                  <w:vAlign w:val="center"/>
                </w:tcPr>
                <w:p>
                  <w:pPr>
                    <w:pStyle w:val="43"/>
                    <w:spacing w:line="240" w:lineRule="auto"/>
                    <w:ind w:firstLine="0" w:firstLineChars="0"/>
                    <w:jc w:val="center"/>
                    <w:rPr>
                      <w:color w:val="auto"/>
                      <w:szCs w:val="21"/>
                    </w:rPr>
                  </w:pPr>
                  <w:r>
                    <w:rPr>
                      <w:rFonts w:hint="eastAsia"/>
                      <w:color w:val="auto"/>
                      <w:szCs w:val="21"/>
                    </w:rPr>
                    <w:t>2</w:t>
                  </w:r>
                </w:p>
              </w:tc>
              <w:tc>
                <w:tcPr>
                  <w:tcW w:w="3091" w:type="dxa"/>
                  <w:vAlign w:val="center"/>
                </w:tcPr>
                <w:p>
                  <w:pPr>
                    <w:pStyle w:val="43"/>
                    <w:spacing w:line="240" w:lineRule="auto"/>
                    <w:ind w:firstLine="0" w:firstLineChars="0"/>
                    <w:rPr>
                      <w:rFonts w:hint="eastAsia" w:ascii="宋体" w:hAnsi="宋体" w:eastAsia="宋体" w:cs="宋体"/>
                      <w:color w:val="auto"/>
                      <w:sz w:val="21"/>
                      <w:szCs w:val="21"/>
                    </w:rPr>
                  </w:pPr>
                  <w:r>
                    <w:rPr>
                      <w:rFonts w:hint="eastAsia" w:ascii="宋体" w:hAnsi="宋体" w:eastAsia="宋体" w:cs="宋体"/>
                      <w:color w:val="auto"/>
                      <w:sz w:val="21"/>
                      <w:szCs w:val="21"/>
                    </w:rPr>
                    <w:t>贮存设施选址应满足生态环境保护法律法规、规划和“三线一单”生态环境分区管控的要求，建设项目应依法进行环境影响评价。</w:t>
                  </w:r>
                </w:p>
                <w:p>
                  <w:pPr>
                    <w:pStyle w:val="43"/>
                    <w:spacing w:line="240" w:lineRule="auto"/>
                    <w:ind w:firstLine="0" w:firstLineChars="0"/>
                    <w:rPr>
                      <w:rFonts w:hint="eastAsia" w:ascii="宋体" w:hAnsi="宋体" w:eastAsia="宋体" w:cs="宋体"/>
                      <w:color w:val="auto"/>
                      <w:sz w:val="21"/>
                      <w:szCs w:val="21"/>
                    </w:rPr>
                  </w:pPr>
                  <w:r>
                    <w:rPr>
                      <w:rFonts w:hint="eastAsia" w:ascii="宋体" w:hAnsi="宋体" w:eastAsia="宋体" w:cs="宋体"/>
                      <w:color w:val="auto"/>
                      <w:sz w:val="21"/>
                      <w:szCs w:val="21"/>
                    </w:rPr>
                    <w:t>集中贮存设施不应选在生态保护红线区域、永久基本农田和其他需要特别保护的区域内，不应建在溶洞区或易遭受洪水、滑坡、泥石流、潮汐等严重自然灾害影响的地区。</w:t>
                  </w:r>
                </w:p>
              </w:tc>
              <w:tc>
                <w:tcPr>
                  <w:tcW w:w="3479" w:type="dxa"/>
                  <w:vAlign w:val="center"/>
                </w:tcPr>
                <w:p>
                  <w:pPr>
                    <w:pStyle w:val="43"/>
                    <w:spacing w:line="240" w:lineRule="auto"/>
                    <w:ind w:firstLine="0" w:firstLineChars="0"/>
                    <w:rPr>
                      <w:rFonts w:hint="eastAsia" w:ascii="宋体" w:hAnsi="宋体" w:eastAsia="宋体" w:cs="宋体"/>
                      <w:b/>
                      <w:bCs/>
                      <w:color w:val="auto"/>
                      <w:sz w:val="21"/>
                      <w:szCs w:val="21"/>
                    </w:rPr>
                  </w:pPr>
                  <w:r>
                    <w:rPr>
                      <w:rFonts w:hint="eastAsia" w:ascii="宋体" w:hAnsi="宋体" w:eastAsia="宋体" w:cs="宋体"/>
                      <w:color w:val="auto"/>
                      <w:sz w:val="21"/>
                      <w:szCs w:val="21"/>
                    </w:rPr>
                    <w:t>本项目在杨18井场内场地建设，项目站址不在生态保护红线区域、永久基本农田和其他需要特别保护的区域内；周边无国家、省级自然保护区、风景名胜区及其它需要特殊保护的敏感目标。本项目区无溶洞区，且避开了严重自然灾害影响的地区。</w:t>
                  </w:r>
                </w:p>
              </w:tc>
              <w:tc>
                <w:tcPr>
                  <w:tcW w:w="810" w:type="dxa"/>
                  <w:vAlign w:val="center"/>
                </w:tcPr>
                <w:p>
                  <w:pPr>
                    <w:pStyle w:val="43"/>
                    <w:ind w:firstLine="0" w:firstLineChars="0"/>
                    <w:jc w:val="center"/>
                    <w:rPr>
                      <w:b/>
                      <w:bCs/>
                      <w:color w:val="auto"/>
                      <w:sz w:val="24"/>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2" w:type="dxa"/>
                  <w:vAlign w:val="center"/>
                </w:tcPr>
                <w:p>
                  <w:pPr>
                    <w:pStyle w:val="43"/>
                    <w:spacing w:line="240" w:lineRule="auto"/>
                    <w:ind w:firstLine="0" w:firstLineChars="0"/>
                    <w:jc w:val="center"/>
                    <w:rPr>
                      <w:color w:val="auto"/>
                      <w:szCs w:val="21"/>
                    </w:rPr>
                  </w:pPr>
                  <w:r>
                    <w:rPr>
                      <w:rFonts w:hint="eastAsia"/>
                      <w:color w:val="auto"/>
                      <w:szCs w:val="21"/>
                    </w:rPr>
                    <w:t>3</w:t>
                  </w:r>
                </w:p>
              </w:tc>
              <w:tc>
                <w:tcPr>
                  <w:tcW w:w="3091" w:type="dxa"/>
                </w:tcPr>
                <w:p>
                  <w:pPr>
                    <w:pStyle w:val="43"/>
                    <w:spacing w:line="240" w:lineRule="auto"/>
                    <w:ind w:firstLine="0" w:firstLineChars="0"/>
                    <w:rPr>
                      <w:rFonts w:hint="eastAsia" w:ascii="宋体" w:hAnsi="宋体" w:eastAsia="宋体" w:cs="宋体"/>
                      <w:color w:val="auto"/>
                      <w:sz w:val="21"/>
                      <w:szCs w:val="21"/>
                    </w:rPr>
                  </w:pPr>
                  <w:r>
                    <w:rPr>
                      <w:rFonts w:hint="eastAsia" w:ascii="宋体" w:hAnsi="宋体" w:eastAsia="宋体" w:cs="宋体"/>
                      <w:color w:val="auto"/>
                      <w:sz w:val="21"/>
                      <w:szCs w:val="21"/>
                    </w:rPr>
                    <w:t xml:space="preserve">贮存设施地面与裙脚应采取表面防渗措施；表面防渗材料应与所接触的物料或污染物相容，可采用抗渗混凝土、高密度聚乙烯膜、钠基膨润土防水毯或其他防渗性能等效的材料。贮存的危险废物直接接触地面的，还应进行基础防渗，防渗层为至少1 m厚黏土层（渗透系数不大于10 </w:t>
                  </w:r>
                  <w:r>
                    <w:rPr>
                      <w:rFonts w:hint="eastAsia" w:ascii="宋体" w:hAnsi="宋体" w:eastAsia="宋体" w:cs="宋体"/>
                      <w:color w:val="auto"/>
                      <w:sz w:val="21"/>
                      <w:szCs w:val="21"/>
                      <w:vertAlign w:val="superscript"/>
                    </w:rPr>
                    <w:t>-7</w:t>
                  </w:r>
                  <w:r>
                    <w:rPr>
                      <w:rFonts w:hint="eastAsia" w:ascii="宋体" w:hAnsi="宋体" w:eastAsia="宋体" w:cs="宋体"/>
                      <w:color w:val="auto"/>
                      <w:sz w:val="21"/>
                      <w:szCs w:val="21"/>
                    </w:rPr>
                    <w:t xml:space="preserve"> cm/s），或至少2 mm厚高密度聚乙烯膜等人工防渗材料（渗透系数不大于10</w:t>
                  </w:r>
                  <w:r>
                    <w:rPr>
                      <w:rFonts w:hint="eastAsia" w:ascii="宋体" w:hAnsi="宋体" w:eastAsia="宋体" w:cs="宋体"/>
                      <w:color w:val="auto"/>
                      <w:sz w:val="21"/>
                      <w:szCs w:val="21"/>
                      <w:vertAlign w:val="superscript"/>
                    </w:rPr>
                    <w:t>-10</w:t>
                  </w:r>
                  <w:r>
                    <w:rPr>
                      <w:rFonts w:hint="eastAsia" w:ascii="宋体" w:hAnsi="宋体" w:eastAsia="宋体" w:cs="宋体"/>
                      <w:color w:val="auto"/>
                      <w:sz w:val="21"/>
                      <w:szCs w:val="21"/>
                    </w:rPr>
                    <w:t xml:space="preserve"> cm/s），或其他防渗性能等效的材料。</w:t>
                  </w:r>
                </w:p>
              </w:tc>
              <w:tc>
                <w:tcPr>
                  <w:tcW w:w="3479" w:type="dxa"/>
                  <w:vAlign w:val="center"/>
                </w:tcPr>
                <w:p>
                  <w:pPr>
                    <w:pStyle w:val="43"/>
                    <w:spacing w:line="240" w:lineRule="auto"/>
                    <w:ind w:firstLine="0" w:firstLineChars="0"/>
                    <w:rPr>
                      <w:rFonts w:hint="eastAsia" w:ascii="宋体" w:hAnsi="宋体" w:eastAsia="宋体" w:cs="宋体"/>
                      <w:b/>
                      <w:bCs/>
                      <w:color w:val="auto"/>
                      <w:sz w:val="21"/>
                      <w:szCs w:val="21"/>
                    </w:rPr>
                  </w:pPr>
                  <w:r>
                    <w:rPr>
                      <w:rFonts w:hint="eastAsia" w:ascii="宋体" w:hAnsi="宋体" w:eastAsia="宋体" w:cs="宋体"/>
                      <w:color w:val="auto"/>
                      <w:sz w:val="21"/>
                      <w:szCs w:val="21"/>
                    </w:rPr>
                    <w:t>本项目暂存间地面与裙脚采取表面防渗措施，防渗层采用2mm厚高密度聚乙烯（HDPE）防渗膜。地面面层采用细石混凝土，基础防渗结构从下到上分别是：素土夯实+非织造长丝无纺土工布+2.0厚高密度聚乙烯（HDPE）防渗膜+非织造长丝无纺土工布+最薄处220mm厚C3</w:t>
                  </w:r>
                  <w:r>
                    <w:rPr>
                      <w:rFonts w:hint="eastAsia" w:ascii="宋体" w:hAnsi="宋体" w:eastAsia="宋体" w:cs="宋体"/>
                      <w:color w:val="auto"/>
                      <w:sz w:val="21"/>
                      <w:szCs w:val="21"/>
                      <w:lang w:val="en-US" w:eastAsia="zh-CN"/>
                    </w:rPr>
                    <w:t>0</w:t>
                  </w:r>
                  <w:r>
                    <w:rPr>
                      <w:rFonts w:hint="eastAsia" w:ascii="宋体" w:hAnsi="宋体" w:eastAsia="宋体" w:cs="宋体"/>
                      <w:color w:val="auto"/>
                      <w:sz w:val="21"/>
                      <w:szCs w:val="21"/>
                    </w:rPr>
                    <w:t>抗渗细石混凝土找披层抹平+40mm厚C25细石混凝土。裙角采用水泥砂浆面层，所使用的材料与落地油泥相容，坚固且防渗。</w:t>
                  </w:r>
                </w:p>
              </w:tc>
              <w:tc>
                <w:tcPr>
                  <w:tcW w:w="810" w:type="dxa"/>
                  <w:vAlign w:val="center"/>
                </w:tcPr>
                <w:p>
                  <w:pPr>
                    <w:pStyle w:val="43"/>
                    <w:ind w:firstLine="0" w:firstLineChars="0"/>
                    <w:jc w:val="center"/>
                    <w:rPr>
                      <w:b/>
                      <w:bCs/>
                      <w:color w:val="auto"/>
                      <w:sz w:val="24"/>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2" w:type="dxa"/>
                  <w:vAlign w:val="center"/>
                </w:tcPr>
                <w:p>
                  <w:pPr>
                    <w:pStyle w:val="43"/>
                    <w:spacing w:line="240" w:lineRule="auto"/>
                    <w:ind w:firstLine="0" w:firstLineChars="0"/>
                    <w:jc w:val="center"/>
                    <w:rPr>
                      <w:color w:val="auto"/>
                      <w:szCs w:val="21"/>
                    </w:rPr>
                  </w:pPr>
                  <w:r>
                    <w:rPr>
                      <w:rFonts w:hint="eastAsia"/>
                      <w:color w:val="auto"/>
                      <w:szCs w:val="21"/>
                    </w:rPr>
                    <w:t>4</w:t>
                  </w:r>
                </w:p>
              </w:tc>
              <w:tc>
                <w:tcPr>
                  <w:tcW w:w="3091" w:type="dxa"/>
                  <w:vAlign w:val="center"/>
                </w:tcPr>
                <w:p>
                  <w:pPr>
                    <w:pStyle w:val="43"/>
                    <w:spacing w:line="240" w:lineRule="auto"/>
                    <w:ind w:firstLine="0" w:firstLineChars="0"/>
                    <w:rPr>
                      <w:color w:val="auto"/>
                      <w:szCs w:val="21"/>
                    </w:rPr>
                  </w:pPr>
                  <w:r>
                    <w:rPr>
                      <w:rFonts w:hint="eastAsia"/>
                      <w:color w:val="auto"/>
                      <w:szCs w:val="21"/>
                    </w:rPr>
                    <w:t>用于贮存可能产生渗滤液的危险废物的贮存库或贮存分区应设计渗滤液收集设施，收集设施容积应满足渗滤液的收集要求。</w:t>
                  </w:r>
                </w:p>
              </w:tc>
              <w:tc>
                <w:tcPr>
                  <w:tcW w:w="3479" w:type="dxa"/>
                </w:tcPr>
                <w:p>
                  <w:pPr>
                    <w:pStyle w:val="43"/>
                    <w:spacing w:line="240" w:lineRule="auto"/>
                    <w:ind w:firstLine="0" w:firstLineChars="0"/>
                    <w:rPr>
                      <w:b/>
                      <w:bCs/>
                      <w:color w:val="auto"/>
                      <w:sz w:val="24"/>
                    </w:rPr>
                  </w:pPr>
                  <w:r>
                    <w:rPr>
                      <w:rFonts w:hint="eastAsia"/>
                      <w:color w:val="auto"/>
                      <w:szCs w:val="21"/>
                    </w:rPr>
                    <w:t>本项目油泥暂存间设置</w:t>
                  </w:r>
                  <w:r>
                    <w:rPr>
                      <w:rFonts w:hint="eastAsia" w:ascii="宋体" w:hAnsi="宋体" w:cs="宋体"/>
                      <w:color w:val="auto"/>
                      <w:kern w:val="0"/>
                      <w:szCs w:val="21"/>
                    </w:rPr>
                    <w:t>1.2m×1.1m×0.7m</w:t>
                  </w:r>
                  <w:r>
                    <w:rPr>
                      <w:rFonts w:hint="eastAsia"/>
                      <w:color w:val="auto"/>
                      <w:szCs w:val="21"/>
                    </w:rPr>
                    <w:t>渗滤液收集池。由于落地油泥含水量较少，仅产生极少量渗滤液，容积满足渗滤液的收集要求。同时油泥采用三层塑料包装袋密封包装后再装入</w:t>
                  </w:r>
                  <w:r>
                    <w:rPr>
                      <w:rFonts w:hint="eastAsia"/>
                      <w:color w:val="auto"/>
                      <w:lang w:val="en-US" w:eastAsia="zh-CN"/>
                    </w:rPr>
                    <w:t>专用包装</w:t>
                  </w:r>
                  <w:r>
                    <w:rPr>
                      <w:rFonts w:hint="eastAsia"/>
                      <w:color w:val="auto"/>
                    </w:rPr>
                    <w:t>袋</w:t>
                  </w:r>
                  <w:r>
                    <w:rPr>
                      <w:rFonts w:hint="eastAsia"/>
                      <w:color w:val="auto"/>
                      <w:lang w:eastAsia="zh-CN"/>
                    </w:rPr>
                    <w:t>（</w:t>
                  </w:r>
                  <w:r>
                    <w:rPr>
                      <w:rFonts w:hint="eastAsia"/>
                      <w:color w:val="auto"/>
                      <w:lang w:val="en-US" w:eastAsia="zh-CN"/>
                    </w:rPr>
                    <w:t>防渗、防水</w:t>
                  </w:r>
                  <w:r>
                    <w:rPr>
                      <w:rFonts w:hint="eastAsia"/>
                      <w:color w:val="auto"/>
                      <w:lang w:eastAsia="zh-CN"/>
                    </w:rPr>
                    <w:t>）</w:t>
                  </w:r>
                  <w:r>
                    <w:rPr>
                      <w:rFonts w:hint="eastAsia"/>
                      <w:color w:val="auto"/>
                      <w:szCs w:val="21"/>
                    </w:rPr>
                    <w:t>暂存，工作人员定期巡查，发生包装破损泄露到渗滤液收集池能够及时处理。本项目暂存间只储存</w:t>
                  </w:r>
                  <w:r>
                    <w:rPr>
                      <w:rFonts w:hint="eastAsia"/>
                      <w:color w:val="auto"/>
                      <w:szCs w:val="21"/>
                      <w:lang w:val="en-US" w:eastAsia="zh-CN"/>
                    </w:rPr>
                    <w:t>落地油泥</w:t>
                  </w:r>
                  <w:r>
                    <w:rPr>
                      <w:rFonts w:hint="eastAsia"/>
                      <w:color w:val="auto"/>
                      <w:szCs w:val="21"/>
                    </w:rPr>
                    <w:t>，无需设置隔断间</w:t>
                  </w:r>
                  <w:r>
                    <w:rPr>
                      <w:rFonts w:hint="eastAsia"/>
                      <w:color w:val="auto"/>
                      <w:szCs w:val="21"/>
                      <w:lang w:eastAsia="zh-CN"/>
                    </w:rPr>
                    <w:t>。</w:t>
                  </w:r>
                </w:p>
              </w:tc>
              <w:tc>
                <w:tcPr>
                  <w:tcW w:w="810" w:type="dxa"/>
                  <w:vAlign w:val="center"/>
                </w:tcPr>
                <w:p>
                  <w:pPr>
                    <w:pStyle w:val="43"/>
                    <w:ind w:firstLine="0" w:firstLineChars="0"/>
                    <w:jc w:val="center"/>
                    <w:rPr>
                      <w:b/>
                      <w:bCs/>
                      <w:color w:val="auto"/>
                      <w:sz w:val="24"/>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2" w:type="dxa"/>
                  <w:vAlign w:val="center"/>
                </w:tcPr>
                <w:p>
                  <w:pPr>
                    <w:pStyle w:val="43"/>
                    <w:spacing w:line="240" w:lineRule="auto"/>
                    <w:ind w:firstLine="0" w:firstLineChars="0"/>
                    <w:jc w:val="center"/>
                    <w:rPr>
                      <w:color w:val="auto"/>
                      <w:szCs w:val="21"/>
                    </w:rPr>
                  </w:pPr>
                  <w:r>
                    <w:rPr>
                      <w:rFonts w:hint="eastAsia"/>
                      <w:color w:val="auto"/>
                      <w:szCs w:val="21"/>
                    </w:rPr>
                    <w:t>5</w:t>
                  </w:r>
                </w:p>
              </w:tc>
              <w:tc>
                <w:tcPr>
                  <w:tcW w:w="3091" w:type="dxa"/>
                  <w:vAlign w:val="center"/>
                </w:tcPr>
                <w:p>
                  <w:pPr>
                    <w:pStyle w:val="43"/>
                    <w:spacing w:line="240" w:lineRule="auto"/>
                    <w:ind w:firstLine="0" w:firstLineChars="0"/>
                    <w:rPr>
                      <w:color w:val="auto"/>
                      <w:szCs w:val="21"/>
                    </w:rPr>
                  </w:pPr>
                  <w:r>
                    <w:rPr>
                      <w:rFonts w:hint="eastAsia"/>
                      <w:color w:val="auto"/>
                      <w:szCs w:val="21"/>
                    </w:rPr>
                    <w:t>贮存设施产生的废气（含无组织废气）的排放应符合 GB 16297 和 GB 37822 规定的要求。</w:t>
                  </w:r>
                </w:p>
              </w:tc>
              <w:tc>
                <w:tcPr>
                  <w:tcW w:w="3479" w:type="dxa"/>
                </w:tcPr>
                <w:p>
                  <w:pPr>
                    <w:pStyle w:val="43"/>
                    <w:spacing w:line="240" w:lineRule="auto"/>
                    <w:ind w:firstLine="0" w:firstLineChars="0"/>
                    <w:rPr>
                      <w:color w:val="auto"/>
                      <w:szCs w:val="21"/>
                    </w:rPr>
                  </w:pPr>
                  <w:r>
                    <w:rPr>
                      <w:rFonts w:hint="eastAsia"/>
                      <w:color w:val="auto"/>
                      <w:szCs w:val="21"/>
                    </w:rPr>
                    <w:t>本项目为油泥暂存间新建项目，用于存储落地油泥，在存储的过程中会产生少量有机废气。项目暂存间内加强通风，且产生的落地油泥均采用三层塑料包装袋密封包装后再装入</w:t>
                  </w:r>
                  <w:r>
                    <w:rPr>
                      <w:rFonts w:hint="eastAsia"/>
                      <w:color w:val="auto"/>
                      <w:lang w:val="en-US" w:eastAsia="zh-CN"/>
                    </w:rPr>
                    <w:t>专用包装</w:t>
                  </w:r>
                  <w:r>
                    <w:rPr>
                      <w:rFonts w:hint="eastAsia"/>
                      <w:color w:val="auto"/>
                    </w:rPr>
                    <w:t>袋</w:t>
                  </w:r>
                  <w:r>
                    <w:rPr>
                      <w:rFonts w:hint="eastAsia"/>
                      <w:color w:val="auto"/>
                      <w:lang w:eastAsia="zh-CN"/>
                    </w:rPr>
                    <w:t>（</w:t>
                  </w:r>
                  <w:r>
                    <w:rPr>
                      <w:rFonts w:hint="eastAsia"/>
                      <w:color w:val="auto"/>
                      <w:lang w:val="en-US" w:eastAsia="zh-CN"/>
                    </w:rPr>
                    <w:t>防渗、防水</w:t>
                  </w:r>
                  <w:r>
                    <w:rPr>
                      <w:rFonts w:hint="eastAsia"/>
                      <w:color w:val="auto"/>
                      <w:lang w:eastAsia="zh-CN"/>
                    </w:rPr>
                    <w:t>）</w:t>
                  </w:r>
                  <w:r>
                    <w:rPr>
                      <w:rFonts w:hint="eastAsia"/>
                      <w:color w:val="auto"/>
                      <w:szCs w:val="21"/>
                    </w:rPr>
                    <w:t>暂存在暂存间内，符合VOCs物料储存无组织排放控制要求。</w:t>
                  </w:r>
                </w:p>
              </w:tc>
              <w:tc>
                <w:tcPr>
                  <w:tcW w:w="810" w:type="dxa"/>
                  <w:vAlign w:val="center"/>
                </w:tcPr>
                <w:p>
                  <w:pPr>
                    <w:pStyle w:val="43"/>
                    <w:ind w:firstLine="0" w:firstLineChars="0"/>
                    <w:jc w:val="center"/>
                    <w:rPr>
                      <w:color w:val="auto"/>
                      <w:szCs w:val="21"/>
                    </w:rPr>
                  </w:pPr>
                  <w:r>
                    <w:rPr>
                      <w:rFonts w:hint="eastAsia"/>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2" w:type="dxa"/>
                  <w:vAlign w:val="center"/>
                </w:tcPr>
                <w:p>
                  <w:pPr>
                    <w:pStyle w:val="43"/>
                    <w:spacing w:line="240" w:lineRule="auto"/>
                    <w:ind w:firstLine="0" w:firstLineChars="0"/>
                    <w:jc w:val="center"/>
                    <w:rPr>
                      <w:color w:val="auto"/>
                      <w:szCs w:val="21"/>
                    </w:rPr>
                  </w:pPr>
                  <w:r>
                    <w:rPr>
                      <w:rFonts w:hint="eastAsia"/>
                      <w:color w:val="auto"/>
                      <w:szCs w:val="21"/>
                    </w:rPr>
                    <w:t>6</w:t>
                  </w:r>
                </w:p>
              </w:tc>
              <w:tc>
                <w:tcPr>
                  <w:tcW w:w="3091" w:type="dxa"/>
                </w:tcPr>
                <w:p>
                  <w:pPr>
                    <w:pStyle w:val="43"/>
                    <w:spacing w:line="240" w:lineRule="auto"/>
                    <w:ind w:firstLine="0" w:firstLineChars="0"/>
                    <w:rPr>
                      <w:color w:val="auto"/>
                      <w:szCs w:val="21"/>
                    </w:rPr>
                  </w:pPr>
                  <w:r>
                    <w:rPr>
                      <w:rFonts w:hint="eastAsia"/>
                      <w:color w:val="auto"/>
                      <w:szCs w:val="21"/>
                    </w:rPr>
                    <w:t>贮存设施的环境监测应纳入主体设施的环境监测计划。</w:t>
                  </w:r>
                </w:p>
                <w:p>
                  <w:pPr>
                    <w:pStyle w:val="43"/>
                    <w:spacing w:line="240" w:lineRule="auto"/>
                    <w:ind w:firstLine="0" w:firstLineChars="0"/>
                    <w:rPr>
                      <w:color w:val="auto"/>
                      <w:szCs w:val="21"/>
                    </w:rPr>
                  </w:pPr>
                  <w:r>
                    <w:rPr>
                      <w:rFonts w:hint="eastAsia"/>
                      <w:color w:val="auto"/>
                      <w:szCs w:val="21"/>
                    </w:rPr>
                    <w:t>贮存设施无组织气体排放监测因子应根据贮存废物的特性选择具有代表性且能表征危险废物特性的指标；采样点布设、采样及监测方法可按 HJ/T 55 的规定执行，VOCs的无组织排放监测还应符合GB 37822 的规定。</w:t>
                  </w:r>
                </w:p>
              </w:tc>
              <w:tc>
                <w:tcPr>
                  <w:tcW w:w="3479" w:type="dxa"/>
                  <w:vAlign w:val="center"/>
                </w:tcPr>
                <w:p>
                  <w:pPr>
                    <w:pStyle w:val="43"/>
                    <w:spacing w:line="240" w:lineRule="auto"/>
                    <w:ind w:firstLine="0" w:firstLineChars="0"/>
                    <w:jc w:val="center"/>
                    <w:rPr>
                      <w:color w:val="auto"/>
                    </w:rPr>
                  </w:pPr>
                  <w:r>
                    <w:rPr>
                      <w:rFonts w:hint="eastAsia"/>
                      <w:color w:val="auto"/>
                    </w:rPr>
                    <w:t>本项目将运行期排放的少量无组织非甲烷总烃作为监测因子，厂界上风向1个监测点、厂界下风向3个监测点，每季度监测1次；符合</w:t>
                  </w:r>
                  <w:r>
                    <w:rPr>
                      <w:color w:val="auto"/>
                    </w:rPr>
                    <w:t>《挥发性有机物无组织排放控制标准》</w:t>
                  </w:r>
                </w:p>
                <w:p>
                  <w:pPr>
                    <w:pStyle w:val="43"/>
                    <w:spacing w:line="240" w:lineRule="auto"/>
                    <w:ind w:firstLine="0" w:firstLineChars="0"/>
                    <w:rPr>
                      <w:b/>
                      <w:bCs/>
                      <w:color w:val="auto"/>
                      <w:szCs w:val="21"/>
                    </w:rPr>
                  </w:pPr>
                  <w:r>
                    <w:rPr>
                      <w:color w:val="auto"/>
                    </w:rPr>
                    <w:t>（GB37822-2019）</w:t>
                  </w:r>
                  <w:r>
                    <w:rPr>
                      <w:rFonts w:hint="eastAsia"/>
                      <w:color w:val="auto"/>
                    </w:rPr>
                    <w:t>。环评建议可将本项目环境监测计划纳入</w:t>
                  </w:r>
                  <w:r>
                    <w:rPr>
                      <w:rFonts w:hint="eastAsia"/>
                      <w:color w:val="auto"/>
                      <w:lang w:eastAsia="zh-CN"/>
                    </w:rPr>
                    <w:t>小河</w:t>
                  </w:r>
                  <w:r>
                    <w:rPr>
                      <w:rFonts w:hint="eastAsia"/>
                      <w:color w:val="auto"/>
                    </w:rPr>
                    <w:t>作业区自行监测计划。</w:t>
                  </w:r>
                </w:p>
              </w:tc>
              <w:tc>
                <w:tcPr>
                  <w:tcW w:w="810" w:type="dxa"/>
                  <w:vAlign w:val="center"/>
                </w:tcPr>
                <w:p>
                  <w:pPr>
                    <w:pStyle w:val="43"/>
                    <w:ind w:firstLine="0" w:firstLineChars="0"/>
                    <w:jc w:val="center"/>
                    <w:rPr>
                      <w:color w:val="auto"/>
                      <w:szCs w:val="21"/>
                    </w:rPr>
                  </w:pPr>
                  <w:r>
                    <w:rPr>
                      <w:rFonts w:hint="eastAsia"/>
                      <w:color w:val="auto"/>
                      <w:szCs w:val="21"/>
                    </w:rPr>
                    <w:t>符合</w:t>
                  </w:r>
                </w:p>
              </w:tc>
            </w:tr>
          </w:tbl>
          <w:p>
            <w:pPr>
              <w:pStyle w:val="18"/>
              <w:spacing w:before="120" w:beforeLines="50" w:after="0" w:line="360" w:lineRule="auto"/>
              <w:ind w:left="0" w:leftChars="0" w:firstLine="0" w:firstLineChars="0"/>
              <w:rPr>
                <w:b/>
                <w:bCs/>
                <w:color w:val="auto"/>
                <w:kern w:val="2"/>
                <w:szCs w:val="24"/>
              </w:rPr>
            </w:pPr>
            <w:r>
              <w:rPr>
                <w:rFonts w:hint="eastAsia"/>
                <w:b/>
                <w:bCs/>
                <w:color w:val="auto"/>
                <w:kern w:val="2"/>
                <w:szCs w:val="24"/>
              </w:rPr>
              <w:t>6、选址合理性分析</w:t>
            </w:r>
          </w:p>
          <w:p>
            <w:pPr>
              <w:spacing w:line="360" w:lineRule="auto"/>
              <w:ind w:firstLine="480" w:firstLineChars="200"/>
              <w:rPr>
                <w:color w:val="auto"/>
                <w:sz w:val="24"/>
              </w:rPr>
            </w:pPr>
            <w:r>
              <w:rPr>
                <w:rFonts w:hint="eastAsia"/>
                <w:color w:val="auto"/>
                <w:sz w:val="24"/>
              </w:rPr>
              <w:t>本项目位于靖边县小河镇巨浪村，周边500m范围内的无敏感点。</w:t>
            </w:r>
          </w:p>
          <w:p>
            <w:pPr>
              <w:spacing w:line="360" w:lineRule="auto"/>
              <w:ind w:firstLine="480" w:firstLineChars="200"/>
              <w:rPr>
                <w:color w:val="auto"/>
                <w:sz w:val="24"/>
              </w:rPr>
            </w:pPr>
            <w:r>
              <w:rPr>
                <w:rFonts w:hint="eastAsia"/>
                <w:color w:val="auto"/>
                <w:sz w:val="24"/>
              </w:rPr>
              <w:t>本项目在现有杨18井场内进行建设，不新增占地。项目所在区域不属于饮用水源保护区、风景名胜区，和周边环境现状相适应，无相互制约，地理位置优越，交通较为便利。项目废气主要为落地油泥贮存时产生的非甲烷总烃无组织排放，在采取相应的污染物防治措施和环境风险防范措施后，项目运行期间各类污染物均能达标排放，对周边的敏感点影响较小，对环境的影响可以接受。在严格落实本报告提出的环保措施后，项目的建设和运行不会对外环境产生较大影响，项目选址合理。从环境保护角度分析，本项目选址可行。</w:t>
            </w:r>
          </w:p>
          <w:p>
            <w:pPr>
              <w:rPr>
                <w:color w:val="auto"/>
              </w:rPr>
            </w:pPr>
          </w:p>
          <w:p>
            <w:pPr>
              <w:pStyle w:val="18"/>
              <w:ind w:firstLine="480"/>
              <w:rPr>
                <w:color w:val="auto"/>
              </w:rPr>
            </w:pPr>
          </w:p>
          <w:p>
            <w:pPr>
              <w:rPr>
                <w:color w:val="auto"/>
              </w:rPr>
            </w:pPr>
          </w:p>
          <w:p>
            <w:pPr>
              <w:pStyle w:val="4"/>
              <w:rPr>
                <w:color w:val="auto"/>
              </w:rPr>
            </w:pPr>
          </w:p>
          <w:p>
            <w:pPr>
              <w:rPr>
                <w:color w:val="auto"/>
              </w:rPr>
            </w:pPr>
          </w:p>
          <w:p>
            <w:pPr>
              <w:pStyle w:val="18"/>
              <w:ind w:firstLine="480"/>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tc>
      </w:tr>
    </w:tbl>
    <w:p>
      <w:pPr>
        <w:spacing w:line="360" w:lineRule="auto"/>
        <w:outlineLvl w:val="0"/>
        <w:rPr>
          <w:rFonts w:eastAsia="黑体"/>
          <w:color w:val="auto"/>
          <w:sz w:val="30"/>
        </w:rPr>
        <w:sectPr>
          <w:footerReference r:id="rId5" w:type="default"/>
          <w:pgSz w:w="11906" w:h="16838"/>
          <w:pgMar w:top="1701" w:right="1531" w:bottom="1701" w:left="1531" w:header="851" w:footer="1077" w:gutter="0"/>
          <w:pgNumType w:start="1"/>
          <w:cols w:space="720" w:num="1"/>
          <w:docGrid w:linePitch="312" w:charSpace="0"/>
        </w:sectPr>
      </w:pPr>
    </w:p>
    <w:p>
      <w:pPr>
        <w:pStyle w:val="16"/>
        <w:jc w:val="center"/>
        <w:outlineLvl w:val="0"/>
        <w:rPr>
          <w:rFonts w:ascii="黑体" w:hAnsi="黑体" w:eastAsia="黑体"/>
          <w:snapToGrid w:val="0"/>
          <w:color w:val="auto"/>
          <w:sz w:val="30"/>
          <w:szCs w:val="30"/>
        </w:rPr>
      </w:pPr>
      <w:r>
        <w:rPr>
          <w:rFonts w:hint="eastAsia" w:ascii="黑体" w:hAnsi="黑体" w:eastAsia="黑体"/>
          <w:snapToGrid w:val="0"/>
          <w:color w:val="auto"/>
          <w:sz w:val="30"/>
          <w:szCs w:val="30"/>
        </w:rPr>
        <w:t>二、建设项目工程分析</w:t>
      </w:r>
    </w:p>
    <w:tbl>
      <w:tblPr>
        <w:tblStyle w:val="19"/>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23"/>
        <w:gridCol w:w="816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120" w:hRule="atLeast"/>
          <w:jc w:val="center"/>
        </w:trPr>
        <w:tc>
          <w:tcPr>
            <w:tcW w:w="823" w:type="dxa"/>
            <w:vAlign w:val="center"/>
          </w:tcPr>
          <w:p>
            <w:pPr>
              <w:pStyle w:val="16"/>
              <w:adjustRightInd w:val="0"/>
              <w:snapToGrid w:val="0"/>
              <w:spacing w:before="0" w:beforeAutospacing="0" w:after="0" w:afterAutospacing="0"/>
              <w:jc w:val="center"/>
              <w:rPr>
                <w:rFonts w:cs="宋体"/>
                <w:color w:val="auto"/>
                <w:szCs w:val="24"/>
              </w:rPr>
            </w:pPr>
            <w:r>
              <w:rPr>
                <w:rFonts w:hint="eastAsia" w:cs="宋体"/>
                <w:color w:val="auto"/>
                <w:szCs w:val="24"/>
              </w:rPr>
              <w:t>建设内容</w:t>
            </w:r>
          </w:p>
        </w:tc>
        <w:tc>
          <w:tcPr>
            <w:tcW w:w="8161" w:type="dxa"/>
          </w:tcPr>
          <w:p>
            <w:pPr>
              <w:spacing w:line="360" w:lineRule="auto"/>
              <w:ind w:right="105" w:rightChars="50"/>
              <w:rPr>
                <w:bCs/>
                <w:color w:val="auto"/>
                <w:sz w:val="24"/>
              </w:rPr>
            </w:pPr>
            <w:r>
              <w:rPr>
                <w:rFonts w:hint="eastAsia"/>
                <w:bCs/>
                <w:color w:val="auto"/>
                <w:sz w:val="24"/>
              </w:rPr>
              <w:t>1、项目由来</w:t>
            </w:r>
          </w:p>
          <w:p>
            <w:pPr>
              <w:adjustRightInd w:val="0"/>
              <w:snapToGrid w:val="0"/>
              <w:spacing w:line="360" w:lineRule="auto"/>
              <w:ind w:firstLine="480" w:firstLineChars="200"/>
              <w:jc w:val="left"/>
              <w:rPr>
                <w:rFonts w:ascii="宋体" w:hAnsi="宋体" w:cs="宋体"/>
                <w:bCs/>
                <w:color w:val="auto"/>
                <w:sz w:val="24"/>
              </w:rPr>
            </w:pPr>
            <w:r>
              <w:rPr>
                <w:rFonts w:hint="eastAsia" w:cs="宋体"/>
                <w:color w:val="auto"/>
                <w:sz w:val="24"/>
              </w:rPr>
              <w:t>长庆实业集团</w:t>
            </w:r>
            <w:r>
              <w:rPr>
                <w:rFonts w:hint="eastAsia" w:cs="宋体"/>
                <w:color w:val="auto"/>
                <w:sz w:val="24"/>
                <w:lang w:eastAsia="zh-CN"/>
              </w:rPr>
              <w:t>小河</w:t>
            </w:r>
            <w:r>
              <w:rPr>
                <w:rFonts w:hint="eastAsia" w:cs="宋体"/>
                <w:color w:val="auto"/>
                <w:sz w:val="24"/>
              </w:rPr>
              <w:t>作业区产生的落地油泥（废物代码HW08 (071-001-08）)中主要污染物为石油类、泥沙以及其他有害成分，主要产生来源为</w:t>
            </w:r>
            <w:r>
              <w:rPr>
                <w:rFonts w:hint="eastAsia"/>
                <w:color w:val="auto"/>
                <w:sz w:val="24"/>
              </w:rPr>
              <w:t>井下作业过程由于非正常原因导致原油散落地面</w:t>
            </w:r>
            <w:r>
              <w:rPr>
                <w:rFonts w:hint="eastAsia" w:cs="宋体"/>
                <w:color w:val="auto"/>
                <w:sz w:val="24"/>
              </w:rPr>
              <w:t>的固体颗粒（砂岩、石灰岩等含油层的细小岩屑、粘土或淤泥）</w:t>
            </w:r>
            <w:r>
              <w:rPr>
                <w:rFonts w:hint="eastAsia"/>
                <w:color w:val="auto"/>
                <w:sz w:val="24"/>
              </w:rPr>
              <w:t>、井场涉油设施阀门和法兰等的渗漏导致以及修井作业散落在井场的落地油泥</w:t>
            </w:r>
            <w:r>
              <w:rPr>
                <w:rFonts w:hint="eastAsia" w:cs="宋体"/>
                <w:color w:val="auto"/>
                <w:sz w:val="24"/>
              </w:rPr>
              <w:t>。这些油泥如不进行妥善处理，落地油泥中的有害物质将转移、扩散到周围环境中，造成环境污染。为了抑制油泥中有害组分迁移、扩散和渗透，避免和减轻对环境的污染，决定在井组相对集中区域的杨18井场，按照防渗漏、防雨淋、防火防爆等标准要求建设一座油泥暂存间，定期交由有资质公司进行处置。</w:t>
            </w:r>
          </w:p>
          <w:p>
            <w:pPr>
              <w:adjustRightInd w:val="0"/>
              <w:snapToGrid w:val="0"/>
              <w:spacing w:line="360" w:lineRule="auto"/>
              <w:ind w:firstLine="480" w:firstLineChars="200"/>
              <w:jc w:val="left"/>
              <w:rPr>
                <w:rFonts w:ascii="宋体" w:hAnsi="宋体" w:cs="宋体"/>
                <w:bCs/>
                <w:color w:val="auto"/>
                <w:sz w:val="24"/>
              </w:rPr>
            </w:pPr>
            <w:r>
              <w:rPr>
                <w:rFonts w:hint="eastAsia" w:cs="宋体"/>
                <w:color w:val="auto"/>
                <w:sz w:val="24"/>
              </w:rPr>
              <w:t>杨18井场位于长庆实业集团靖边区域</w:t>
            </w:r>
            <w:r>
              <w:rPr>
                <w:rFonts w:hint="eastAsia" w:cs="宋体"/>
                <w:color w:val="auto"/>
                <w:sz w:val="24"/>
                <w:lang w:eastAsia="zh-CN"/>
              </w:rPr>
              <w:t>小河</w:t>
            </w:r>
            <w:r>
              <w:rPr>
                <w:rFonts w:hint="eastAsia" w:cs="宋体"/>
                <w:color w:val="auto"/>
                <w:sz w:val="24"/>
              </w:rPr>
              <w:t>作业区，本项目在杨18井场场地内</w:t>
            </w:r>
            <w:r>
              <w:rPr>
                <w:rFonts w:hint="eastAsia" w:cs="宋体"/>
                <w:color w:val="auto"/>
                <w:sz w:val="24"/>
                <w:lang w:val="en-US" w:eastAsia="zh-CN"/>
              </w:rPr>
              <w:t>建设</w:t>
            </w:r>
            <w:r>
              <w:rPr>
                <w:rFonts w:hint="eastAsia" w:cs="宋体"/>
                <w:color w:val="auto"/>
                <w:sz w:val="24"/>
              </w:rPr>
              <w:t>油泥暂存间，</w:t>
            </w:r>
            <w:r>
              <w:rPr>
                <w:color w:val="auto"/>
                <w:sz w:val="24"/>
              </w:rPr>
              <w:t>根据《建设项目环境保护管理条例》（国务院令第682号）、《中华人民共和国环境影响评价法》（2018年12月29日修订）中的有关条款规定，</w:t>
            </w:r>
            <w:r>
              <w:rPr>
                <w:rFonts w:hint="eastAsia"/>
                <w:color w:val="auto"/>
                <w:sz w:val="24"/>
              </w:rPr>
              <w:t>本项目</w:t>
            </w:r>
            <w:r>
              <w:rPr>
                <w:color w:val="auto"/>
                <w:sz w:val="24"/>
              </w:rPr>
              <w:t>应开展环境影响评价工作。根据《建设项目环境影响评价分类管理名录》（</w:t>
            </w:r>
            <w:r>
              <w:rPr>
                <w:rFonts w:hint="eastAsia"/>
                <w:color w:val="auto"/>
                <w:sz w:val="24"/>
              </w:rPr>
              <w:t>2021年版</w:t>
            </w:r>
            <w:r>
              <w:rPr>
                <w:color w:val="auto"/>
                <w:sz w:val="24"/>
              </w:rPr>
              <w:t>）规定，</w:t>
            </w:r>
            <w:r>
              <w:rPr>
                <w:rFonts w:hint="eastAsia"/>
                <w:color w:val="auto"/>
                <w:sz w:val="24"/>
              </w:rPr>
              <w:t>项目类别为</w:t>
            </w:r>
            <w:r>
              <w:rPr>
                <w:rFonts w:ascii="宋体" w:hAnsi="宋体"/>
                <w:bCs/>
                <w:color w:val="auto"/>
                <w:sz w:val="24"/>
              </w:rPr>
              <w:t>“</w:t>
            </w:r>
            <w:r>
              <w:rPr>
                <w:rFonts w:hint="eastAsia" w:ascii="宋体" w:hAnsi="宋体"/>
                <w:bCs/>
                <w:color w:val="auto"/>
                <w:sz w:val="24"/>
              </w:rPr>
              <w:t>四十七、生态保护和环境治理业</w:t>
            </w:r>
            <w:r>
              <w:rPr>
                <w:rFonts w:ascii="宋体" w:hAnsi="宋体"/>
                <w:bCs/>
                <w:color w:val="auto"/>
                <w:sz w:val="24"/>
              </w:rPr>
              <w:t>”</w:t>
            </w:r>
            <w:r>
              <w:rPr>
                <w:rFonts w:hint="eastAsia"/>
                <w:bCs/>
                <w:color w:val="auto"/>
                <w:sz w:val="24"/>
              </w:rPr>
              <w:t>中“101</w:t>
            </w:r>
            <w:r>
              <w:rPr>
                <w:bCs/>
                <w:color w:val="auto"/>
                <w:sz w:val="24"/>
              </w:rPr>
              <w:t xml:space="preserve"> </w:t>
            </w:r>
            <w:r>
              <w:rPr>
                <w:rFonts w:hint="eastAsia"/>
                <w:bCs/>
                <w:color w:val="auto"/>
                <w:sz w:val="24"/>
              </w:rPr>
              <w:t>危险废物（不含医疗废物）利用及处置”中的“其他”，符合环评类别报告表中的“其他”情况，应</w:t>
            </w:r>
            <w:r>
              <w:rPr>
                <w:bCs/>
                <w:color w:val="auto"/>
                <w:sz w:val="24"/>
              </w:rPr>
              <w:t>编制环境影响</w:t>
            </w:r>
            <w:r>
              <w:rPr>
                <w:rFonts w:hint="eastAsia"/>
                <w:bCs/>
                <w:color w:val="auto"/>
                <w:sz w:val="24"/>
              </w:rPr>
              <w:t>报告表。</w:t>
            </w:r>
          </w:p>
          <w:p>
            <w:pPr>
              <w:spacing w:line="360" w:lineRule="auto"/>
              <w:ind w:right="105" w:rightChars="50"/>
              <w:rPr>
                <w:bCs/>
                <w:color w:val="auto"/>
                <w:sz w:val="24"/>
              </w:rPr>
            </w:pPr>
            <w:r>
              <w:rPr>
                <w:rFonts w:hint="eastAsia"/>
                <w:bCs/>
                <w:color w:val="auto"/>
                <w:sz w:val="24"/>
              </w:rPr>
              <w:t>2、地理位置</w:t>
            </w:r>
          </w:p>
          <w:p>
            <w:pPr>
              <w:adjustRightInd w:val="0"/>
              <w:snapToGrid w:val="0"/>
              <w:spacing w:line="360" w:lineRule="auto"/>
              <w:ind w:firstLine="480" w:firstLineChars="200"/>
              <w:rPr>
                <w:color w:val="auto"/>
                <w:sz w:val="24"/>
              </w:rPr>
            </w:pPr>
            <w:r>
              <w:rPr>
                <w:rFonts w:hint="eastAsia"/>
                <w:color w:val="auto"/>
                <w:sz w:val="24"/>
              </w:rPr>
              <w:t>项目位于榆林市靖边县小河镇巨浪村杨18井场内，地理坐标为</w:t>
            </w:r>
            <w:r>
              <w:rPr>
                <w:color w:val="auto"/>
                <w:sz w:val="24"/>
              </w:rPr>
              <w:t>E:109°1′37.864″，N:37°23′4.064″</w:t>
            </w:r>
            <w:r>
              <w:rPr>
                <w:rFonts w:hint="eastAsia"/>
                <w:color w:val="auto"/>
                <w:sz w:val="24"/>
              </w:rPr>
              <w:t>。站场与油田道路相接，交通便利。地理位置见附图1。</w:t>
            </w:r>
          </w:p>
          <w:p>
            <w:pPr>
              <w:spacing w:line="360" w:lineRule="auto"/>
              <w:ind w:right="105" w:rightChars="50"/>
              <w:rPr>
                <w:bCs/>
                <w:color w:val="auto"/>
                <w:sz w:val="24"/>
              </w:rPr>
            </w:pPr>
            <w:r>
              <w:rPr>
                <w:bCs/>
                <w:color w:val="auto"/>
                <w:sz w:val="24"/>
              </w:rPr>
              <w:t>3</w:t>
            </w:r>
            <w:r>
              <w:rPr>
                <w:rFonts w:hint="eastAsia"/>
                <w:bCs/>
                <w:color w:val="auto"/>
                <w:sz w:val="24"/>
              </w:rPr>
              <w:t>、</w:t>
            </w:r>
            <w:r>
              <w:rPr>
                <w:bCs/>
                <w:color w:val="auto"/>
                <w:sz w:val="24"/>
              </w:rPr>
              <w:t>项目组成</w:t>
            </w:r>
            <w:bookmarkStart w:id="2" w:name="_Hlk83627066"/>
          </w:p>
          <w:bookmarkEnd w:id="2"/>
          <w:p>
            <w:pPr>
              <w:pStyle w:val="18"/>
              <w:spacing w:after="0" w:line="360" w:lineRule="auto"/>
              <w:ind w:left="0" w:leftChars="0" w:firstLine="480"/>
              <w:jc w:val="left"/>
              <w:rPr>
                <w:color w:val="auto"/>
              </w:rPr>
            </w:pPr>
            <w:r>
              <w:rPr>
                <w:rFonts w:hint="eastAsia"/>
                <w:color w:val="auto"/>
              </w:rPr>
              <w:t>（1）项目组成表</w:t>
            </w:r>
          </w:p>
          <w:p>
            <w:pPr>
              <w:pStyle w:val="18"/>
              <w:spacing w:after="0" w:line="360" w:lineRule="auto"/>
              <w:ind w:left="0" w:leftChars="0" w:firstLine="480"/>
              <w:jc w:val="left"/>
              <w:rPr>
                <w:color w:val="auto"/>
              </w:rPr>
            </w:pPr>
            <w:r>
              <w:rPr>
                <w:rFonts w:hint="eastAsia"/>
                <w:color w:val="auto"/>
              </w:rPr>
              <w:t>项目总投资48万元，在杨18井场西北侧</w:t>
            </w:r>
            <w:r>
              <w:rPr>
                <w:rFonts w:hint="eastAsia"/>
                <w:color w:val="auto"/>
                <w:lang w:val="en-US" w:eastAsia="zh-CN"/>
              </w:rPr>
              <w:t>拆除废旧发电机房并</w:t>
            </w:r>
            <w:r>
              <w:rPr>
                <w:rFonts w:hint="eastAsia"/>
                <w:color w:val="auto"/>
              </w:rPr>
              <w:t>建设油泥暂存间1处，占地49m</w:t>
            </w:r>
            <w:r>
              <w:rPr>
                <w:rFonts w:hint="eastAsia"/>
                <w:color w:val="auto"/>
                <w:vertAlign w:val="superscript"/>
              </w:rPr>
              <w:t>2</w:t>
            </w:r>
            <w:r>
              <w:rPr>
                <w:rFonts w:hint="eastAsia"/>
                <w:color w:val="auto"/>
              </w:rPr>
              <w:t>，</w:t>
            </w:r>
            <w:r>
              <w:rPr>
                <w:rFonts w:hint="eastAsia"/>
                <w:color w:val="auto"/>
                <w:lang w:val="en-US" w:eastAsia="zh-CN"/>
              </w:rPr>
              <w:t>设计储存量为50m</w:t>
            </w:r>
            <w:r>
              <w:rPr>
                <w:rFonts w:hint="eastAsia"/>
                <w:color w:val="auto"/>
                <w:vertAlign w:val="superscript"/>
                <w:lang w:val="en-US" w:eastAsia="zh-CN"/>
              </w:rPr>
              <w:t>3</w:t>
            </w:r>
            <w:r>
              <w:rPr>
                <w:rFonts w:hint="eastAsia"/>
                <w:color w:val="auto"/>
                <w:lang w:eastAsia="zh-CN"/>
              </w:rPr>
              <w:t>。</w:t>
            </w:r>
            <w:r>
              <w:rPr>
                <w:rFonts w:hint="eastAsia"/>
                <w:color w:val="auto"/>
              </w:rPr>
              <w:t>本项目不配备员工，由杨16井场工作人员代为管理。本项目主要暂存长庆实业集团有限公司</w:t>
            </w:r>
            <w:r>
              <w:rPr>
                <w:rFonts w:hint="eastAsia"/>
                <w:color w:val="auto"/>
                <w:lang w:eastAsia="zh-CN"/>
              </w:rPr>
              <w:t>小河</w:t>
            </w:r>
            <w:r>
              <w:rPr>
                <w:rFonts w:hint="eastAsia"/>
                <w:color w:val="auto"/>
              </w:rPr>
              <w:t>作业区内生产单元</w:t>
            </w:r>
            <w:r>
              <w:rPr>
                <w:rFonts w:hint="eastAsia"/>
                <w:color w:val="auto"/>
                <w:lang w:eastAsia="zh-CN"/>
              </w:rPr>
              <w:t>（</w:t>
            </w:r>
            <w:r>
              <w:rPr>
                <w:rFonts w:hint="eastAsia"/>
                <w:color w:val="auto"/>
                <w:lang w:val="en-US" w:eastAsia="zh-CN"/>
              </w:rPr>
              <w:t>杨</w:t>
            </w:r>
            <w:r>
              <w:rPr>
                <w:rFonts w:hint="eastAsia"/>
                <w:color w:val="auto"/>
              </w:rPr>
              <w:t>2</w:t>
            </w:r>
            <w:r>
              <w:rPr>
                <w:rFonts w:hint="eastAsia"/>
                <w:color w:val="auto"/>
                <w:lang w:val="en-US" w:eastAsia="zh-CN"/>
              </w:rPr>
              <w:t>井场等15个站场</w:t>
            </w:r>
            <w:r>
              <w:rPr>
                <w:rFonts w:hint="eastAsia"/>
                <w:color w:val="auto"/>
                <w:lang w:eastAsia="zh-CN"/>
              </w:rPr>
              <w:t>）</w:t>
            </w:r>
            <w:r>
              <w:rPr>
                <w:rFonts w:hint="eastAsia"/>
                <w:color w:val="auto"/>
              </w:rPr>
              <w:t>产生的落地油泥</w:t>
            </w:r>
            <w:r>
              <w:rPr>
                <w:rFonts w:hint="eastAsia"/>
                <w:color w:val="auto"/>
                <w:lang w:eastAsia="zh-CN"/>
              </w:rPr>
              <w:t>（</w:t>
            </w:r>
            <w:r>
              <w:rPr>
                <w:rFonts w:hint="eastAsia"/>
                <w:color w:val="auto"/>
                <w:lang w:val="en-US" w:eastAsia="zh-CN"/>
              </w:rPr>
              <w:t>不存放其他危险废物</w:t>
            </w:r>
            <w:r>
              <w:rPr>
                <w:rFonts w:hint="eastAsia"/>
                <w:color w:val="auto"/>
                <w:lang w:eastAsia="zh-CN"/>
              </w:rPr>
              <w:t>）</w:t>
            </w:r>
            <w:r>
              <w:rPr>
                <w:rFonts w:hint="eastAsia"/>
                <w:color w:val="auto"/>
              </w:rPr>
              <w:t>，</w:t>
            </w:r>
            <w:r>
              <w:rPr>
                <w:rFonts w:hint="eastAsia"/>
                <w:color w:val="auto"/>
                <w:lang w:val="en-US" w:eastAsia="zh-CN"/>
              </w:rPr>
              <w:t>落地油</w:t>
            </w:r>
            <w:r>
              <w:rPr>
                <w:rFonts w:hint="eastAsia"/>
                <w:color w:val="auto"/>
              </w:rPr>
              <w:t>泥采用专用包装袋密封包装后暂存于油泥暂存间，定期委托有资质单位外运处置。项目组成及主要建设内容见表2-1。</w:t>
            </w:r>
          </w:p>
          <w:p>
            <w:pPr>
              <w:ind w:firstLine="422" w:firstLineChars="200"/>
              <w:rPr>
                <w:b/>
                <w:color w:val="auto"/>
                <w:szCs w:val="21"/>
              </w:rPr>
            </w:pPr>
            <w:r>
              <w:rPr>
                <w:b/>
                <w:color w:val="auto"/>
                <w:szCs w:val="21"/>
              </w:rPr>
              <w:t xml:space="preserve">表2-1 </w:t>
            </w:r>
            <w:r>
              <w:rPr>
                <w:rFonts w:hint="eastAsia"/>
                <w:b/>
                <w:color w:val="auto"/>
                <w:szCs w:val="21"/>
              </w:rPr>
              <w:t xml:space="preserve">           </w:t>
            </w:r>
            <w:r>
              <w:rPr>
                <w:b/>
                <w:color w:val="auto"/>
                <w:szCs w:val="21"/>
              </w:rPr>
              <w:t xml:space="preserve"> </w:t>
            </w:r>
            <w:r>
              <w:rPr>
                <w:rFonts w:hint="eastAsia"/>
                <w:b/>
                <w:color w:val="auto"/>
                <w:szCs w:val="21"/>
              </w:rPr>
              <w:t xml:space="preserve">  </w:t>
            </w:r>
            <w:r>
              <w:rPr>
                <w:b/>
                <w:color w:val="auto"/>
                <w:szCs w:val="21"/>
              </w:rPr>
              <w:t>项目组成与建设内容</w:t>
            </w:r>
            <w:r>
              <w:rPr>
                <w:rFonts w:hint="eastAsia"/>
                <w:b/>
                <w:color w:val="auto"/>
                <w:szCs w:val="21"/>
              </w:rPr>
              <w:t>及依托关系一览</w:t>
            </w:r>
            <w:r>
              <w:rPr>
                <w:b/>
                <w:color w:val="auto"/>
                <w:szCs w:val="21"/>
              </w:rPr>
              <w:t>表</w:t>
            </w:r>
          </w:p>
          <w:tbl>
            <w:tblPr>
              <w:tblStyle w:val="20"/>
              <w:tblW w:w="765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5"/>
              <w:gridCol w:w="1071"/>
              <w:gridCol w:w="5025"/>
              <w:gridCol w:w="8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755" w:type="dxa"/>
                  <w:vAlign w:val="center"/>
                </w:tcPr>
                <w:p>
                  <w:pPr>
                    <w:snapToGrid w:val="0"/>
                    <w:jc w:val="center"/>
                    <w:rPr>
                      <w:rFonts w:ascii="宋体" w:hAnsi="宋体" w:cs="宋体"/>
                      <w:color w:val="auto"/>
                      <w:szCs w:val="21"/>
                    </w:rPr>
                  </w:pPr>
                  <w:r>
                    <w:rPr>
                      <w:rFonts w:hint="eastAsia" w:ascii="宋体" w:hAnsi="宋体" w:cs="宋体"/>
                      <w:color w:val="auto"/>
                      <w:szCs w:val="21"/>
                    </w:rPr>
                    <w:t>项目</w:t>
                  </w:r>
                </w:p>
                <w:p>
                  <w:pPr>
                    <w:snapToGrid w:val="0"/>
                    <w:jc w:val="center"/>
                    <w:rPr>
                      <w:rFonts w:ascii="宋体" w:hAnsi="宋体" w:cs="宋体"/>
                      <w:color w:val="auto"/>
                      <w:szCs w:val="21"/>
                    </w:rPr>
                  </w:pPr>
                  <w:r>
                    <w:rPr>
                      <w:rFonts w:hint="eastAsia" w:ascii="宋体" w:hAnsi="宋体" w:cs="宋体"/>
                      <w:color w:val="auto"/>
                      <w:szCs w:val="21"/>
                    </w:rPr>
                    <w:t>组成</w:t>
                  </w:r>
                </w:p>
              </w:tc>
              <w:tc>
                <w:tcPr>
                  <w:tcW w:w="1071" w:type="dxa"/>
                  <w:vAlign w:val="center"/>
                </w:tcPr>
                <w:p>
                  <w:pPr>
                    <w:snapToGrid w:val="0"/>
                    <w:jc w:val="center"/>
                    <w:rPr>
                      <w:rFonts w:ascii="宋体" w:hAnsi="宋体" w:cs="宋体"/>
                      <w:color w:val="auto"/>
                      <w:szCs w:val="21"/>
                    </w:rPr>
                  </w:pPr>
                  <w:r>
                    <w:rPr>
                      <w:rFonts w:hint="eastAsia" w:ascii="宋体" w:hAnsi="宋体" w:cs="宋体"/>
                      <w:color w:val="auto"/>
                      <w:szCs w:val="21"/>
                    </w:rPr>
                    <w:t>工程内容</w:t>
                  </w:r>
                </w:p>
              </w:tc>
              <w:tc>
                <w:tcPr>
                  <w:tcW w:w="5025" w:type="dxa"/>
                  <w:vAlign w:val="center"/>
                </w:tcPr>
                <w:p>
                  <w:pPr>
                    <w:snapToGrid w:val="0"/>
                    <w:jc w:val="center"/>
                    <w:rPr>
                      <w:rFonts w:ascii="宋体" w:hAnsi="宋体" w:cs="宋体"/>
                      <w:color w:val="auto"/>
                      <w:szCs w:val="21"/>
                    </w:rPr>
                  </w:pPr>
                  <w:r>
                    <w:rPr>
                      <w:rFonts w:hint="eastAsia" w:ascii="宋体" w:hAnsi="宋体" w:cs="宋体"/>
                      <w:color w:val="auto"/>
                      <w:szCs w:val="21"/>
                    </w:rPr>
                    <w:t>本次工程</w:t>
                  </w:r>
                </w:p>
              </w:tc>
              <w:tc>
                <w:tcPr>
                  <w:tcW w:w="806" w:type="dxa"/>
                  <w:vAlign w:val="center"/>
                </w:tcPr>
                <w:p>
                  <w:pPr>
                    <w:snapToGrid w:val="0"/>
                    <w:jc w:val="center"/>
                    <w:rPr>
                      <w:rFonts w:ascii="宋体" w:hAnsi="宋体" w:cs="宋体"/>
                      <w:color w:val="auto"/>
                      <w:szCs w:val="21"/>
                    </w:rPr>
                  </w:pPr>
                  <w:r>
                    <w:rPr>
                      <w:rFonts w:hint="eastAsia" w:ascii="宋体" w:hAnsi="宋体" w:cs="宋体"/>
                      <w:color w:val="auto"/>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755" w:type="dxa"/>
                  <w:vAlign w:val="center"/>
                </w:tcPr>
                <w:p>
                  <w:pPr>
                    <w:snapToGrid w:val="0"/>
                    <w:jc w:val="center"/>
                    <w:rPr>
                      <w:rFonts w:ascii="宋体" w:hAnsi="宋体" w:cs="宋体"/>
                      <w:color w:val="auto"/>
                      <w:szCs w:val="21"/>
                    </w:rPr>
                  </w:pPr>
                  <w:r>
                    <w:rPr>
                      <w:rFonts w:hint="eastAsia" w:ascii="宋体" w:hAnsi="宋体" w:cs="宋体"/>
                      <w:color w:val="auto"/>
                      <w:szCs w:val="21"/>
                    </w:rPr>
                    <w:t>主体</w:t>
                  </w:r>
                </w:p>
                <w:p>
                  <w:pPr>
                    <w:snapToGrid w:val="0"/>
                    <w:jc w:val="center"/>
                    <w:rPr>
                      <w:rFonts w:ascii="宋体" w:hAnsi="宋体" w:cs="宋体"/>
                      <w:color w:val="auto"/>
                      <w:szCs w:val="21"/>
                    </w:rPr>
                  </w:pPr>
                  <w:r>
                    <w:rPr>
                      <w:rFonts w:hint="eastAsia" w:ascii="宋体" w:hAnsi="宋体" w:cs="宋体"/>
                      <w:color w:val="auto"/>
                      <w:szCs w:val="21"/>
                    </w:rPr>
                    <w:t>工程</w:t>
                  </w:r>
                </w:p>
              </w:tc>
              <w:tc>
                <w:tcPr>
                  <w:tcW w:w="1071" w:type="dxa"/>
                  <w:vAlign w:val="center"/>
                </w:tcPr>
                <w:p>
                  <w:pPr>
                    <w:snapToGrid w:val="0"/>
                    <w:jc w:val="center"/>
                    <w:rPr>
                      <w:rFonts w:ascii="宋体" w:hAnsi="宋体" w:cs="宋体"/>
                      <w:color w:val="auto"/>
                      <w:kern w:val="0"/>
                      <w:szCs w:val="21"/>
                    </w:rPr>
                  </w:pPr>
                  <w:r>
                    <w:rPr>
                      <w:rFonts w:hint="eastAsia" w:ascii="宋体" w:hAnsi="宋体" w:cs="宋体"/>
                      <w:color w:val="auto"/>
                      <w:kern w:val="0"/>
                      <w:szCs w:val="21"/>
                    </w:rPr>
                    <w:t>油泥暂</w:t>
                  </w:r>
                </w:p>
                <w:p>
                  <w:pPr>
                    <w:snapToGrid w:val="0"/>
                    <w:jc w:val="center"/>
                    <w:rPr>
                      <w:rFonts w:ascii="宋体" w:hAnsi="宋体" w:cs="宋体"/>
                      <w:color w:val="auto"/>
                      <w:kern w:val="0"/>
                      <w:szCs w:val="21"/>
                    </w:rPr>
                  </w:pPr>
                  <w:r>
                    <w:rPr>
                      <w:rFonts w:hint="eastAsia" w:ascii="宋体" w:hAnsi="宋体" w:cs="宋体"/>
                      <w:color w:val="auto"/>
                      <w:kern w:val="0"/>
                      <w:szCs w:val="21"/>
                    </w:rPr>
                    <w:t>存间</w:t>
                  </w:r>
                </w:p>
              </w:tc>
              <w:tc>
                <w:tcPr>
                  <w:tcW w:w="5025" w:type="dxa"/>
                  <w:vAlign w:val="center"/>
                </w:tcPr>
                <w:p>
                  <w:pPr>
                    <w:pStyle w:val="7"/>
                    <w:rPr>
                      <w:rFonts w:ascii="宋体" w:hAnsi="宋体" w:cs="宋体"/>
                      <w:color w:val="auto"/>
                      <w:sz w:val="21"/>
                      <w:szCs w:val="21"/>
                    </w:rPr>
                  </w:pPr>
                  <w:r>
                    <w:rPr>
                      <w:rFonts w:hint="eastAsia" w:ascii="宋体" w:hAnsi="宋体" w:cs="宋体"/>
                      <w:color w:val="auto"/>
                      <w:sz w:val="21"/>
                      <w:szCs w:val="21"/>
                    </w:rPr>
                    <w:t>地上收集，建筑面积28.7m</w:t>
                  </w:r>
                  <w:r>
                    <w:rPr>
                      <w:rFonts w:hint="eastAsia" w:ascii="宋体" w:hAnsi="宋体" w:cs="宋体"/>
                      <w:color w:val="auto"/>
                      <w:sz w:val="21"/>
                      <w:szCs w:val="21"/>
                      <w:vertAlign w:val="superscript"/>
                    </w:rPr>
                    <w:t>2</w:t>
                  </w:r>
                  <w:r>
                    <w:rPr>
                      <w:rFonts w:hint="eastAsia" w:ascii="宋体" w:hAnsi="宋体" w:cs="宋体"/>
                      <w:color w:val="auto"/>
                      <w:sz w:val="21"/>
                      <w:szCs w:val="21"/>
                    </w:rPr>
                    <w:t>，墙面为1.5m抗渗钢筋混凝土墙+1m砖墙（水泥砂浆抹面）+0.5m铁丝网预埋插筋；顶部建有彩钢遮雨棚，配备百叶通风大门1套。暂存间内设1.2m×1.1m×0.7m渗滤液收集池1座；收集池采用C30抗渗混凝土,HPB300(中),HRB400)级钢筋现浇钢筋保护层厚度40mm，池壁外面抹1:2.5水泥砂浆，内表面用20厚1:2.5不发火水泥砂浆抹面。池顶放置0.9m×0.8m钢格板。池底</w:t>
                  </w:r>
                  <w:r>
                    <w:rPr>
                      <w:rFonts w:hint="eastAsia" w:ascii="宋体" w:hAnsi="宋体" w:cs="宋体"/>
                      <w:color w:val="auto"/>
                      <w:sz w:val="21"/>
                      <w:szCs w:val="21"/>
                      <w:highlight w:val="none"/>
                    </w:rPr>
                    <w:t>采用C30混凝土</w:t>
                  </w:r>
                  <w:r>
                    <w:rPr>
                      <w:rFonts w:hint="eastAsia" w:ascii="宋体" w:hAnsi="宋体" w:cs="宋体"/>
                      <w:color w:val="auto"/>
                      <w:sz w:val="21"/>
                      <w:szCs w:val="21"/>
                    </w:rPr>
                    <w:t>，表面涂刷防渗材料，厚度2mm，渗透系数&lt;10</w:t>
                  </w:r>
                  <w:r>
                    <w:rPr>
                      <w:rFonts w:hint="eastAsia" w:ascii="宋体" w:hAnsi="宋体" w:cs="宋体"/>
                      <w:color w:val="auto"/>
                      <w:sz w:val="21"/>
                      <w:szCs w:val="21"/>
                      <w:vertAlign w:val="superscript"/>
                      <w:lang w:val="en-US" w:eastAsia="zh-CN"/>
                    </w:rPr>
                    <w:t>-10</w:t>
                  </w:r>
                  <w:r>
                    <w:rPr>
                      <w:rFonts w:hint="eastAsia" w:ascii="宋体" w:hAnsi="宋体" w:cs="宋体"/>
                      <w:color w:val="auto"/>
                      <w:sz w:val="21"/>
                      <w:szCs w:val="21"/>
                    </w:rPr>
                    <w:t>cm/s；暂存间门口处设缓坡围堰，外墙上张贴有危险废物暂存的标识，有存放说明。</w:t>
                  </w:r>
                </w:p>
              </w:tc>
              <w:tc>
                <w:tcPr>
                  <w:tcW w:w="806" w:type="dxa"/>
                  <w:vAlign w:val="center"/>
                </w:tcPr>
                <w:p>
                  <w:pPr>
                    <w:snapToGrid w:val="0"/>
                    <w:jc w:val="center"/>
                    <w:rPr>
                      <w:rFonts w:ascii="宋体" w:hAnsi="宋体" w:cs="宋体"/>
                      <w:color w:val="auto"/>
                      <w:szCs w:val="21"/>
                    </w:rPr>
                  </w:pPr>
                  <w:r>
                    <w:rPr>
                      <w:rFonts w:hint="eastAsia" w:ascii="宋体" w:hAnsi="宋体" w:cs="宋体"/>
                      <w:color w:val="auto"/>
                      <w:szCs w:val="21"/>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7" w:hRule="atLeast"/>
              </w:trPr>
              <w:tc>
                <w:tcPr>
                  <w:tcW w:w="755" w:type="dxa"/>
                  <w:vAlign w:val="center"/>
                </w:tcPr>
                <w:p>
                  <w:pPr>
                    <w:snapToGrid w:val="0"/>
                    <w:jc w:val="center"/>
                    <w:rPr>
                      <w:rFonts w:ascii="宋体" w:hAnsi="宋体" w:cs="宋体"/>
                      <w:color w:val="auto"/>
                      <w:szCs w:val="21"/>
                    </w:rPr>
                  </w:pPr>
                  <w:r>
                    <w:rPr>
                      <w:rFonts w:hint="eastAsia" w:ascii="宋体" w:hAnsi="宋体" w:cs="宋体"/>
                      <w:color w:val="auto"/>
                      <w:szCs w:val="21"/>
                    </w:rPr>
                    <w:t>公用</w:t>
                  </w:r>
                </w:p>
                <w:p>
                  <w:pPr>
                    <w:snapToGrid w:val="0"/>
                    <w:jc w:val="center"/>
                    <w:rPr>
                      <w:rFonts w:ascii="宋体" w:hAnsi="宋体" w:cs="宋体"/>
                      <w:color w:val="auto"/>
                      <w:szCs w:val="21"/>
                    </w:rPr>
                  </w:pPr>
                  <w:r>
                    <w:rPr>
                      <w:rFonts w:hint="eastAsia" w:ascii="宋体" w:hAnsi="宋体" w:cs="宋体"/>
                      <w:color w:val="auto"/>
                      <w:szCs w:val="21"/>
                    </w:rPr>
                    <w:t>工程</w:t>
                  </w:r>
                </w:p>
              </w:tc>
              <w:tc>
                <w:tcPr>
                  <w:tcW w:w="1071" w:type="dxa"/>
                  <w:vAlign w:val="center"/>
                </w:tcPr>
                <w:p>
                  <w:pPr>
                    <w:snapToGrid w:val="0"/>
                    <w:jc w:val="center"/>
                    <w:rPr>
                      <w:rFonts w:ascii="宋体" w:hAnsi="宋体" w:cs="宋体"/>
                      <w:color w:val="auto"/>
                      <w:szCs w:val="21"/>
                    </w:rPr>
                  </w:pPr>
                  <w:r>
                    <w:rPr>
                      <w:rFonts w:hint="eastAsia" w:ascii="宋体" w:hAnsi="宋体" w:cs="宋体"/>
                      <w:color w:val="auto"/>
                      <w:szCs w:val="21"/>
                    </w:rPr>
                    <w:t>给排水</w:t>
                  </w:r>
                </w:p>
              </w:tc>
              <w:tc>
                <w:tcPr>
                  <w:tcW w:w="5025" w:type="dxa"/>
                  <w:vAlign w:val="center"/>
                </w:tcPr>
                <w:p>
                  <w:pPr>
                    <w:snapToGrid w:val="0"/>
                    <w:jc w:val="left"/>
                    <w:rPr>
                      <w:rFonts w:ascii="宋体" w:hAnsi="宋体" w:cs="宋体"/>
                      <w:color w:val="auto"/>
                      <w:szCs w:val="21"/>
                    </w:rPr>
                  </w:pPr>
                  <w:r>
                    <w:rPr>
                      <w:rFonts w:hint="eastAsia" w:ascii="宋体" w:hAnsi="宋体" w:cs="宋体"/>
                      <w:color w:val="auto"/>
                      <w:szCs w:val="21"/>
                    </w:rPr>
                    <w:t>本项目落地油泥暂存过程无需用水，不配备员工，依托杨16井场人员进行管理。项目暂存间内设排水明沟和渗滤液收集池（1.2m×1.1m×0.7m)，排水明沟上盖重型透水盖板，暂存间内地面以0.02坡度坡向明沟，明沟末端为收集池，收集池上方设钢格板。</w:t>
                  </w:r>
                </w:p>
              </w:tc>
              <w:tc>
                <w:tcPr>
                  <w:tcW w:w="806" w:type="dxa"/>
                  <w:vAlign w:val="center"/>
                </w:tcPr>
                <w:p>
                  <w:pPr>
                    <w:snapToGrid w:val="0"/>
                    <w:jc w:val="center"/>
                    <w:rPr>
                      <w:rFonts w:ascii="宋体" w:hAnsi="宋体" w:cs="宋体"/>
                      <w:color w:val="auto"/>
                      <w:szCs w:val="21"/>
                    </w:rPr>
                  </w:pPr>
                  <w:r>
                    <w:rPr>
                      <w:rFonts w:hint="eastAsia" w:ascii="宋体" w:hAnsi="宋体" w:cs="宋体"/>
                      <w:color w:val="auto"/>
                      <w:szCs w:val="21"/>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trPr>
              <w:tc>
                <w:tcPr>
                  <w:tcW w:w="755" w:type="dxa"/>
                  <w:vMerge w:val="restart"/>
                  <w:vAlign w:val="center"/>
                </w:tcPr>
                <w:p>
                  <w:pPr>
                    <w:snapToGrid w:val="0"/>
                    <w:jc w:val="center"/>
                    <w:rPr>
                      <w:rFonts w:ascii="宋体" w:hAnsi="宋体" w:cs="宋体"/>
                      <w:color w:val="auto"/>
                      <w:szCs w:val="21"/>
                    </w:rPr>
                  </w:pPr>
                  <w:r>
                    <w:rPr>
                      <w:rFonts w:hint="eastAsia" w:ascii="宋体" w:hAnsi="宋体" w:cs="宋体"/>
                      <w:color w:val="auto"/>
                      <w:szCs w:val="21"/>
                    </w:rPr>
                    <w:t>环保</w:t>
                  </w:r>
                </w:p>
                <w:p>
                  <w:pPr>
                    <w:snapToGrid w:val="0"/>
                    <w:jc w:val="center"/>
                    <w:rPr>
                      <w:rFonts w:ascii="宋体" w:hAnsi="宋体" w:cs="宋体"/>
                      <w:color w:val="auto"/>
                      <w:szCs w:val="21"/>
                    </w:rPr>
                  </w:pPr>
                  <w:r>
                    <w:rPr>
                      <w:rFonts w:hint="eastAsia" w:ascii="宋体" w:hAnsi="宋体" w:cs="宋体"/>
                      <w:color w:val="auto"/>
                      <w:szCs w:val="21"/>
                    </w:rPr>
                    <w:t>工程</w:t>
                  </w:r>
                </w:p>
              </w:tc>
              <w:tc>
                <w:tcPr>
                  <w:tcW w:w="1071" w:type="dxa"/>
                  <w:vAlign w:val="center"/>
                </w:tcPr>
                <w:p>
                  <w:pPr>
                    <w:snapToGrid w:val="0"/>
                    <w:jc w:val="center"/>
                    <w:rPr>
                      <w:rFonts w:ascii="宋体" w:hAnsi="宋体" w:cs="宋体"/>
                      <w:color w:val="auto"/>
                      <w:szCs w:val="21"/>
                    </w:rPr>
                  </w:pPr>
                  <w:r>
                    <w:rPr>
                      <w:rFonts w:hint="eastAsia" w:ascii="宋体" w:hAnsi="宋体" w:cs="宋体"/>
                      <w:color w:val="auto"/>
                      <w:szCs w:val="21"/>
                    </w:rPr>
                    <w:t>废气</w:t>
                  </w:r>
                </w:p>
              </w:tc>
              <w:tc>
                <w:tcPr>
                  <w:tcW w:w="5025" w:type="dxa"/>
                  <w:vAlign w:val="center"/>
                </w:tcPr>
                <w:p>
                  <w:pPr>
                    <w:snapToGrid w:val="0"/>
                    <w:jc w:val="left"/>
                    <w:rPr>
                      <w:rFonts w:ascii="宋体" w:hAnsi="宋体" w:cs="宋体"/>
                      <w:color w:val="auto"/>
                      <w:szCs w:val="21"/>
                    </w:rPr>
                  </w:pPr>
                  <w:r>
                    <w:rPr>
                      <w:rFonts w:hint="eastAsia" w:ascii="宋体" w:hAnsi="宋体" w:cs="宋体"/>
                      <w:color w:val="auto"/>
                      <w:szCs w:val="21"/>
                    </w:rPr>
                    <w:t>落地油泥由三层塑料包装袋密封包装后再装入</w:t>
                  </w:r>
                  <w:r>
                    <w:rPr>
                      <w:rFonts w:hint="eastAsia"/>
                      <w:color w:val="auto"/>
                      <w:lang w:val="en-US" w:eastAsia="zh-CN"/>
                    </w:rPr>
                    <w:t>专用包装</w:t>
                  </w:r>
                  <w:r>
                    <w:rPr>
                      <w:rFonts w:hint="eastAsia"/>
                      <w:color w:val="auto"/>
                    </w:rPr>
                    <w:t>袋</w:t>
                  </w:r>
                  <w:r>
                    <w:rPr>
                      <w:rFonts w:hint="eastAsia" w:ascii="宋体" w:hAnsi="宋体" w:cs="宋体"/>
                      <w:color w:val="auto"/>
                      <w:szCs w:val="21"/>
                    </w:rPr>
                    <w:t>暂存在暂存间；暂存过程产生的少量非甲烷总经通过自然通风+通风百叶门后排出。</w:t>
                  </w:r>
                </w:p>
              </w:tc>
              <w:tc>
                <w:tcPr>
                  <w:tcW w:w="806" w:type="dxa"/>
                  <w:vAlign w:val="center"/>
                </w:tcPr>
                <w:p>
                  <w:pPr>
                    <w:snapToGrid w:val="0"/>
                    <w:jc w:val="center"/>
                    <w:rPr>
                      <w:rFonts w:ascii="宋体" w:hAnsi="宋体" w:cs="宋体"/>
                      <w:color w:val="auto"/>
                      <w:szCs w:val="21"/>
                    </w:rPr>
                  </w:pPr>
                  <w:r>
                    <w:rPr>
                      <w:rFonts w:hint="eastAsia" w:ascii="宋体" w:hAnsi="宋体" w:cs="宋体"/>
                      <w:color w:val="auto"/>
                      <w:szCs w:val="21"/>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755" w:type="dxa"/>
                  <w:vMerge w:val="continue"/>
                  <w:vAlign w:val="center"/>
                </w:tcPr>
                <w:p>
                  <w:pPr>
                    <w:snapToGrid w:val="0"/>
                    <w:jc w:val="center"/>
                    <w:rPr>
                      <w:rFonts w:ascii="宋体" w:hAnsi="宋体" w:cs="宋体"/>
                      <w:color w:val="auto"/>
                      <w:szCs w:val="21"/>
                    </w:rPr>
                  </w:pPr>
                </w:p>
              </w:tc>
              <w:tc>
                <w:tcPr>
                  <w:tcW w:w="1071" w:type="dxa"/>
                  <w:vAlign w:val="center"/>
                </w:tcPr>
                <w:p>
                  <w:pPr>
                    <w:snapToGrid w:val="0"/>
                    <w:jc w:val="center"/>
                    <w:rPr>
                      <w:rFonts w:ascii="宋体" w:hAnsi="宋体" w:cs="宋体"/>
                      <w:color w:val="auto"/>
                      <w:szCs w:val="21"/>
                    </w:rPr>
                  </w:pPr>
                  <w:r>
                    <w:rPr>
                      <w:rFonts w:hint="eastAsia" w:ascii="宋体" w:hAnsi="宋体" w:cs="宋体"/>
                      <w:color w:val="auto"/>
                      <w:szCs w:val="21"/>
                    </w:rPr>
                    <w:t>废水</w:t>
                  </w:r>
                </w:p>
              </w:tc>
              <w:tc>
                <w:tcPr>
                  <w:tcW w:w="5025" w:type="dxa"/>
                  <w:vAlign w:val="center"/>
                </w:tcPr>
                <w:p>
                  <w:pPr>
                    <w:snapToGrid w:val="0"/>
                    <w:jc w:val="left"/>
                    <w:rPr>
                      <w:rFonts w:ascii="宋体" w:hAnsi="宋体" w:cs="宋体"/>
                      <w:b/>
                      <w:bCs/>
                      <w:color w:val="auto"/>
                      <w:szCs w:val="21"/>
                    </w:rPr>
                  </w:pPr>
                  <w:r>
                    <w:rPr>
                      <w:rFonts w:hint="eastAsia" w:ascii="宋体" w:hAnsi="宋体" w:cs="宋体"/>
                      <w:bCs/>
                      <w:color w:val="auto"/>
                      <w:szCs w:val="21"/>
                    </w:rPr>
                    <w:t>项目不设劳动定员,无废水产生。</w:t>
                  </w:r>
                </w:p>
              </w:tc>
              <w:tc>
                <w:tcPr>
                  <w:tcW w:w="806" w:type="dxa"/>
                  <w:vAlign w:val="center"/>
                </w:tcPr>
                <w:p>
                  <w:pPr>
                    <w:snapToGrid w:val="0"/>
                    <w:jc w:val="center"/>
                    <w:rPr>
                      <w:rFonts w:ascii="宋体" w:hAnsi="宋体" w:cs="宋体"/>
                      <w:color w:val="auto"/>
                      <w:szCs w:val="21"/>
                    </w:rPr>
                  </w:pPr>
                  <w:r>
                    <w:rPr>
                      <w:rFonts w:hint="eastAsia" w:ascii="宋体" w:hAnsi="宋体" w:cs="宋体"/>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755" w:type="dxa"/>
                  <w:vMerge w:val="continue"/>
                  <w:vAlign w:val="center"/>
                </w:tcPr>
                <w:p>
                  <w:pPr>
                    <w:snapToGrid w:val="0"/>
                    <w:jc w:val="center"/>
                    <w:rPr>
                      <w:rFonts w:ascii="宋体" w:hAnsi="宋体" w:cs="宋体"/>
                      <w:color w:val="auto"/>
                      <w:szCs w:val="21"/>
                    </w:rPr>
                  </w:pPr>
                </w:p>
              </w:tc>
              <w:tc>
                <w:tcPr>
                  <w:tcW w:w="1071" w:type="dxa"/>
                  <w:vAlign w:val="center"/>
                </w:tcPr>
                <w:p>
                  <w:pPr>
                    <w:snapToGrid w:val="0"/>
                    <w:jc w:val="center"/>
                    <w:rPr>
                      <w:rFonts w:ascii="宋体" w:hAnsi="宋体" w:cs="宋体"/>
                      <w:color w:val="auto"/>
                      <w:szCs w:val="21"/>
                    </w:rPr>
                  </w:pPr>
                  <w:r>
                    <w:rPr>
                      <w:rFonts w:hint="eastAsia" w:ascii="宋体" w:hAnsi="宋体" w:cs="宋体"/>
                      <w:color w:val="auto"/>
                      <w:szCs w:val="21"/>
                    </w:rPr>
                    <w:t>噪声</w:t>
                  </w:r>
                </w:p>
              </w:tc>
              <w:tc>
                <w:tcPr>
                  <w:tcW w:w="5025" w:type="dxa"/>
                  <w:vAlign w:val="center"/>
                </w:tcPr>
                <w:p>
                  <w:pPr>
                    <w:snapToGrid w:val="0"/>
                    <w:jc w:val="left"/>
                    <w:rPr>
                      <w:rFonts w:ascii="宋体" w:hAnsi="宋体" w:cs="宋体"/>
                      <w:color w:val="auto"/>
                      <w:szCs w:val="21"/>
                    </w:rPr>
                  </w:pPr>
                  <w:r>
                    <w:rPr>
                      <w:rFonts w:hint="eastAsia" w:ascii="宋体" w:hAnsi="宋体" w:cs="宋体"/>
                      <w:color w:val="auto"/>
                      <w:szCs w:val="21"/>
                    </w:rPr>
                    <w:t>合理安排运输时间，禁止鸣笛</w:t>
                  </w:r>
                </w:p>
              </w:tc>
              <w:tc>
                <w:tcPr>
                  <w:tcW w:w="806" w:type="dxa"/>
                  <w:vAlign w:val="center"/>
                </w:tcPr>
                <w:p>
                  <w:pPr>
                    <w:snapToGrid w:val="0"/>
                    <w:jc w:val="center"/>
                    <w:rPr>
                      <w:rFonts w:ascii="宋体" w:hAnsi="宋体" w:cs="宋体"/>
                      <w:color w:val="auto"/>
                      <w:szCs w:val="21"/>
                    </w:rPr>
                  </w:pPr>
                  <w:r>
                    <w:rPr>
                      <w:rFonts w:hint="eastAsia" w:ascii="宋体" w:hAnsi="宋体" w:cs="宋体"/>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6" w:hRule="atLeast"/>
              </w:trPr>
              <w:tc>
                <w:tcPr>
                  <w:tcW w:w="755" w:type="dxa"/>
                  <w:vMerge w:val="continue"/>
                  <w:vAlign w:val="center"/>
                </w:tcPr>
                <w:p>
                  <w:pPr>
                    <w:snapToGrid w:val="0"/>
                    <w:jc w:val="center"/>
                    <w:rPr>
                      <w:rFonts w:ascii="宋体" w:hAnsi="宋体" w:cs="宋体"/>
                      <w:color w:val="auto"/>
                      <w:szCs w:val="21"/>
                    </w:rPr>
                  </w:pPr>
                </w:p>
              </w:tc>
              <w:tc>
                <w:tcPr>
                  <w:tcW w:w="1071" w:type="dxa"/>
                  <w:vAlign w:val="center"/>
                </w:tcPr>
                <w:p>
                  <w:pPr>
                    <w:snapToGrid w:val="0"/>
                    <w:jc w:val="center"/>
                    <w:rPr>
                      <w:rFonts w:ascii="宋体" w:hAnsi="宋体" w:cs="宋体"/>
                      <w:color w:val="auto"/>
                      <w:szCs w:val="21"/>
                    </w:rPr>
                  </w:pPr>
                  <w:r>
                    <w:rPr>
                      <w:rFonts w:hint="eastAsia" w:ascii="宋体" w:hAnsi="宋体" w:cs="宋体"/>
                      <w:color w:val="auto"/>
                      <w:szCs w:val="21"/>
                    </w:rPr>
                    <w:t>固废</w:t>
                  </w:r>
                </w:p>
              </w:tc>
              <w:tc>
                <w:tcPr>
                  <w:tcW w:w="5025" w:type="dxa"/>
                  <w:vAlign w:val="center"/>
                </w:tcPr>
                <w:p>
                  <w:pPr>
                    <w:snapToGrid w:val="0"/>
                    <w:jc w:val="left"/>
                    <w:rPr>
                      <w:rFonts w:ascii="宋体" w:hAnsi="宋体" w:cs="宋体"/>
                      <w:color w:val="auto"/>
                      <w:szCs w:val="21"/>
                    </w:rPr>
                  </w:pPr>
                  <w:r>
                    <w:rPr>
                      <w:rFonts w:hint="eastAsia" w:ascii="宋体" w:hAnsi="宋体" w:cs="宋体"/>
                      <w:bCs/>
                      <w:color w:val="auto"/>
                      <w:szCs w:val="21"/>
                    </w:rPr>
                    <w:t>项目不设劳动定员，无生活垃圾；项目暂存的落地油泥由长庆实业集团有限公司委托</w:t>
                  </w:r>
                  <w:r>
                    <w:rPr>
                      <w:rFonts w:hint="eastAsia" w:ascii="宋体" w:hAnsi="宋体" w:cs="宋体"/>
                      <w:color w:val="auto"/>
                      <w:szCs w:val="21"/>
                    </w:rPr>
                    <w:t>有资质的单位进行处置</w:t>
                  </w:r>
                  <w:r>
                    <w:rPr>
                      <w:rFonts w:hint="eastAsia" w:ascii="宋体" w:hAnsi="宋体" w:cs="宋体"/>
                      <w:bCs/>
                      <w:color w:val="auto"/>
                      <w:szCs w:val="21"/>
                    </w:rPr>
                    <w:t>。暂存间内设置有渗滤液收集池，收集落地污泥少量渗液，渗液定期由清运油泥的有资质单位与落地油泥一同清运。</w:t>
                  </w:r>
                </w:p>
              </w:tc>
              <w:tc>
                <w:tcPr>
                  <w:tcW w:w="806" w:type="dxa"/>
                  <w:vAlign w:val="center"/>
                </w:tcPr>
                <w:p>
                  <w:pPr>
                    <w:snapToGrid w:val="0"/>
                    <w:jc w:val="center"/>
                    <w:rPr>
                      <w:rFonts w:ascii="宋体" w:hAnsi="宋体" w:cs="宋体"/>
                      <w:color w:val="auto"/>
                      <w:szCs w:val="21"/>
                    </w:rPr>
                  </w:pPr>
                  <w:r>
                    <w:rPr>
                      <w:rFonts w:hint="eastAsia" w:ascii="宋体" w:hAnsi="宋体" w:cs="宋体"/>
                      <w:color w:val="auto"/>
                      <w:szCs w:val="21"/>
                    </w:rPr>
                    <w:t>新建</w:t>
                  </w:r>
                </w:p>
              </w:tc>
            </w:tr>
          </w:tbl>
          <w:p>
            <w:pPr>
              <w:spacing w:before="120" w:beforeLines="50" w:line="360" w:lineRule="auto"/>
              <w:ind w:firstLine="480" w:firstLineChars="200"/>
              <w:rPr>
                <w:rFonts w:ascii="宋体" w:hAnsi="宋体"/>
                <w:color w:val="auto"/>
                <w:sz w:val="24"/>
              </w:rPr>
            </w:pPr>
            <w:r>
              <w:rPr>
                <w:rFonts w:hint="eastAsia" w:ascii="宋体" w:hAnsi="宋体"/>
                <w:color w:val="auto"/>
                <w:sz w:val="24"/>
              </w:rPr>
              <w:t>（2）油泥暂存间结构</w:t>
            </w:r>
          </w:p>
          <w:p>
            <w:pPr>
              <w:spacing w:line="360" w:lineRule="auto"/>
              <w:ind w:firstLine="480" w:firstLineChars="200"/>
              <w:rPr>
                <w:rFonts w:hint="default" w:eastAsia="宋体"/>
                <w:b/>
                <w:bCs/>
                <w:color w:val="auto"/>
                <w:sz w:val="24"/>
                <w:szCs w:val="32"/>
                <w:lang w:val="en-US" w:eastAsia="zh-CN"/>
              </w:rPr>
            </w:pPr>
            <w:r>
              <w:rPr>
                <w:rFonts w:hint="eastAsia"/>
                <w:color w:val="auto"/>
                <w:sz w:val="24"/>
                <w:szCs w:val="32"/>
              </w:rPr>
              <w:t>本项目油泥暂存间采用地上收集方式，</w:t>
            </w:r>
            <w:r>
              <w:rPr>
                <w:rFonts w:hint="eastAsia" w:ascii="宋体" w:hAnsi="宋体" w:cs="宋体"/>
                <w:color w:val="auto"/>
                <w:sz w:val="24"/>
              </w:rPr>
              <w:t>建筑面积28.7m</w:t>
            </w:r>
            <w:r>
              <w:rPr>
                <w:rFonts w:hint="eastAsia" w:ascii="宋体" w:hAnsi="宋体" w:cs="宋体"/>
                <w:color w:val="auto"/>
                <w:sz w:val="24"/>
                <w:vertAlign w:val="superscript"/>
              </w:rPr>
              <w:t>2</w:t>
            </w:r>
            <w:r>
              <w:rPr>
                <w:rFonts w:hint="eastAsia" w:ascii="宋体" w:hAnsi="宋体" w:cs="宋体"/>
                <w:color w:val="auto"/>
                <w:sz w:val="24"/>
              </w:rPr>
              <w:t>，墙面为1.5m抗渗钢筋混凝土墙+1m砖墙（水泥砂浆抹面）+0.5m铁丝网预埋插筋</w:t>
            </w:r>
            <w:r>
              <w:rPr>
                <w:rFonts w:hint="eastAsia" w:ascii="宋体" w:hAnsi="宋体" w:cs="宋体"/>
                <w:color w:val="auto"/>
                <w:sz w:val="24"/>
                <w:highlight w:val="none"/>
                <w:lang w:val="en-US" w:eastAsia="zh-CN"/>
              </w:rPr>
              <w:t>。</w:t>
            </w:r>
            <w:r>
              <w:rPr>
                <w:rFonts w:hint="eastAsia" w:ascii="宋体" w:hAnsi="宋体" w:cs="宋体"/>
                <w:color w:val="auto"/>
                <w:sz w:val="24"/>
              </w:rPr>
              <w:t>顶部建有彩钢遮雨棚，配备</w:t>
            </w:r>
            <w:r>
              <w:rPr>
                <w:rFonts w:hint="eastAsia" w:ascii="宋体" w:hAnsi="宋体" w:cs="宋体"/>
                <w:color w:val="auto"/>
                <w:sz w:val="24"/>
                <w:lang w:val="en-US" w:eastAsia="zh-CN"/>
              </w:rPr>
              <w:t>2.2m</w:t>
            </w:r>
            <w:r>
              <w:rPr>
                <w:rFonts w:hint="eastAsia" w:ascii="宋体" w:hAnsi="宋体" w:cs="宋体"/>
                <w:color w:val="auto"/>
                <w:sz w:val="24"/>
              </w:rPr>
              <w:t>百叶通风大门1套方便通风。见图2-1</w:t>
            </w:r>
            <w:r>
              <w:rPr>
                <w:rFonts w:hint="eastAsia" w:ascii="宋体" w:hAnsi="宋体" w:cs="宋体"/>
                <w:color w:val="auto"/>
                <w:sz w:val="24"/>
                <w:lang w:eastAsia="zh-CN"/>
              </w:rPr>
              <w:t>、</w:t>
            </w:r>
            <w:r>
              <w:rPr>
                <w:rFonts w:hint="eastAsia" w:ascii="宋体" w:hAnsi="宋体" w:cs="宋体"/>
                <w:color w:val="auto"/>
                <w:sz w:val="24"/>
                <w:lang w:val="en-US" w:eastAsia="zh-CN"/>
              </w:rPr>
              <w:t>图2-2。</w:t>
            </w:r>
          </w:p>
          <w:p>
            <w:pPr>
              <w:spacing w:line="360" w:lineRule="auto"/>
              <w:ind w:firstLine="480" w:firstLineChars="200"/>
              <w:rPr>
                <w:rFonts w:ascii="宋体" w:hAnsi="宋体" w:cs="宋体"/>
                <w:color w:val="auto"/>
                <w:sz w:val="24"/>
              </w:rPr>
            </w:pPr>
            <w:r>
              <w:rPr>
                <w:rFonts w:hint="eastAsia" w:ascii="宋体" w:hAnsi="宋体" w:cs="宋体"/>
                <w:color w:val="auto"/>
                <w:sz w:val="24"/>
              </w:rPr>
              <w:t>地面防渗由下到上依次是：素土夯实+非织造长丝无纺土工布(规格不应小于600g/平方米)+2.0厚高密度聚乙烯(HDPE)防渗+非织造长丝无纺土工布(规格不应小于600g/平方米)+最薄处220mm厚C30抗渗细石混凝土找披层抹平(抗渗等级P8)+40mm厘C25细石滤凝土，随打随磨光(骨料用石灰石，白云石，不发火地面需经不发火检测合格后方可使用)。</w:t>
            </w:r>
            <w:r>
              <w:rPr>
                <w:rFonts w:hint="eastAsia" w:ascii="宋体" w:hAnsi="宋体" w:cs="宋体"/>
                <w:color w:val="auto"/>
                <w:sz w:val="24"/>
                <w:lang w:val="en-US" w:eastAsia="zh-CN"/>
              </w:rPr>
              <w:t>裙角采用</w:t>
            </w:r>
            <w:r>
              <w:rPr>
                <w:rFonts w:hint="eastAsia" w:ascii="宋体" w:hAnsi="宋体" w:cs="宋体"/>
                <w:color w:val="auto"/>
                <w:sz w:val="24"/>
              </w:rPr>
              <w:t>非织造长丝无纺土工布(规格不应小于600g/平方米)+2.0厚高密度聚乙烯(HDPE)防渗+非织造长丝无纺土工布(规格不应小于600g/平方米)+</w:t>
            </w:r>
            <w:r>
              <w:rPr>
                <w:rFonts w:hint="eastAsia" w:ascii="宋体" w:hAnsi="宋体" w:cs="宋体"/>
                <w:color w:val="auto"/>
                <w:sz w:val="24"/>
                <w:lang w:val="en-US" w:eastAsia="zh-CN"/>
              </w:rPr>
              <w:t>MU15烧结普通砖+7mm厚1:2.5水泥浆面压实。具体</w:t>
            </w:r>
            <w:r>
              <w:rPr>
                <w:rFonts w:hint="eastAsia" w:ascii="宋体" w:hAnsi="宋体" w:cs="宋体"/>
                <w:color w:val="auto"/>
                <w:sz w:val="24"/>
              </w:rPr>
              <w:t>见图2-</w:t>
            </w:r>
            <w:r>
              <w:rPr>
                <w:rFonts w:hint="eastAsia" w:ascii="宋体" w:hAnsi="宋体" w:cs="宋体"/>
                <w:color w:val="auto"/>
                <w:sz w:val="24"/>
                <w:lang w:val="en-US" w:eastAsia="zh-CN"/>
              </w:rPr>
              <w:t>3</w:t>
            </w:r>
            <w:r>
              <w:rPr>
                <w:rFonts w:hint="eastAsia" w:ascii="宋体" w:hAnsi="宋体" w:cs="宋体"/>
                <w:color w:val="auto"/>
                <w:sz w:val="24"/>
              </w:rPr>
              <w:t>、2-</w:t>
            </w:r>
            <w:r>
              <w:rPr>
                <w:rFonts w:hint="eastAsia" w:ascii="宋体" w:hAnsi="宋体" w:cs="宋体"/>
                <w:color w:val="auto"/>
                <w:sz w:val="24"/>
                <w:lang w:val="en-US" w:eastAsia="zh-CN"/>
              </w:rPr>
              <w:t>4</w:t>
            </w:r>
            <w:r>
              <w:rPr>
                <w:rFonts w:hint="eastAsia" w:ascii="宋体" w:hAnsi="宋体" w:cs="宋体"/>
                <w:color w:val="auto"/>
                <w:sz w:val="24"/>
              </w:rPr>
              <w:t>。</w:t>
            </w:r>
          </w:p>
          <w:p>
            <w:pPr>
              <w:jc w:val="center"/>
              <w:rPr>
                <w:color w:val="auto"/>
              </w:rPr>
            </w:pPr>
            <w:r>
              <w:rPr>
                <w:color w:val="auto"/>
              </w:rPr>
              <w:drawing>
                <wp:inline distT="0" distB="0" distL="114300" distR="114300">
                  <wp:extent cx="3655060" cy="2415540"/>
                  <wp:effectExtent l="0" t="0" r="0" b="0"/>
                  <wp:docPr id="7" name="图片 7" descr="IMG_3168(20231121-15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G_3168(20231121-151109)"/>
                          <pic:cNvPicPr>
                            <a:picLocks noChangeAspect="1"/>
                          </pic:cNvPicPr>
                        </pic:nvPicPr>
                        <pic:blipFill>
                          <a:blip r:embed="rId9"/>
                          <a:srcRect l="2142" t="4568" r="6522" b="50987"/>
                          <a:stretch>
                            <a:fillRect/>
                          </a:stretch>
                        </pic:blipFill>
                        <pic:spPr>
                          <a:xfrm>
                            <a:off x="0" y="0"/>
                            <a:ext cx="3655060" cy="2415540"/>
                          </a:xfrm>
                          <a:prstGeom prst="rect">
                            <a:avLst/>
                          </a:prstGeom>
                        </pic:spPr>
                      </pic:pic>
                    </a:graphicData>
                  </a:graphic>
                </wp:inline>
              </w:drawing>
            </w:r>
          </w:p>
          <w:p>
            <w:pPr>
              <w:jc w:val="center"/>
              <w:rPr>
                <w:color w:val="auto"/>
              </w:rPr>
            </w:pPr>
            <w:r>
              <w:rPr>
                <w:rFonts w:hint="eastAsia"/>
                <w:b/>
                <w:bCs/>
                <w:color w:val="auto"/>
              </w:rPr>
              <w:t>图2-1  暂存间剖面图</w:t>
            </w:r>
          </w:p>
          <w:p>
            <w:pPr>
              <w:pStyle w:val="4"/>
              <w:spacing w:line="240" w:lineRule="auto"/>
              <w:jc w:val="center"/>
              <w:rPr>
                <w:rFonts w:hint="eastAsia" w:eastAsia="宋体"/>
                <w:color w:val="auto"/>
                <w:lang w:eastAsia="zh-CN"/>
              </w:rPr>
            </w:pPr>
            <w:r>
              <w:rPr>
                <w:rFonts w:hint="eastAsia" w:eastAsia="宋体"/>
                <w:color w:val="auto"/>
                <w:lang w:eastAsia="zh-CN"/>
              </w:rPr>
              <w:drawing>
                <wp:inline distT="0" distB="0" distL="114300" distR="114300">
                  <wp:extent cx="2806700" cy="3171190"/>
                  <wp:effectExtent l="0" t="0" r="10160" b="12700"/>
                  <wp:docPr id="8" name="图片 8" descr="IMG_3355(20231127-093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IMG_3355(20231127-093530)"/>
                          <pic:cNvPicPr>
                            <a:picLocks noChangeAspect="1"/>
                          </pic:cNvPicPr>
                        </pic:nvPicPr>
                        <pic:blipFill>
                          <a:blip r:embed="rId10"/>
                          <a:stretch>
                            <a:fillRect/>
                          </a:stretch>
                        </pic:blipFill>
                        <pic:spPr>
                          <a:xfrm rot="16200000">
                            <a:off x="0" y="0"/>
                            <a:ext cx="2806700" cy="3171190"/>
                          </a:xfrm>
                          <a:prstGeom prst="rect">
                            <a:avLst/>
                          </a:prstGeom>
                        </pic:spPr>
                      </pic:pic>
                    </a:graphicData>
                  </a:graphic>
                </wp:inline>
              </w:drawing>
            </w:r>
          </w:p>
          <w:p>
            <w:pPr>
              <w:jc w:val="center"/>
              <w:rPr>
                <w:rFonts w:hint="eastAsia"/>
                <w:b/>
                <w:bCs/>
                <w:color w:val="auto"/>
              </w:rPr>
            </w:pPr>
            <w:r>
              <w:rPr>
                <w:rFonts w:hint="eastAsia"/>
                <w:b/>
                <w:bCs/>
                <w:color w:val="auto"/>
              </w:rPr>
              <w:t>图2-</w:t>
            </w:r>
            <w:r>
              <w:rPr>
                <w:rFonts w:hint="eastAsia"/>
                <w:b/>
                <w:bCs/>
                <w:color w:val="auto"/>
                <w:lang w:val="en-US" w:eastAsia="zh-CN"/>
              </w:rPr>
              <w:t>2</w:t>
            </w:r>
            <w:r>
              <w:rPr>
                <w:rFonts w:hint="eastAsia"/>
                <w:b/>
                <w:bCs/>
                <w:color w:val="auto"/>
              </w:rPr>
              <w:t xml:space="preserve">  </w:t>
            </w:r>
            <w:r>
              <w:rPr>
                <w:rFonts w:hint="eastAsia"/>
                <w:b/>
                <w:bCs/>
                <w:color w:val="auto"/>
                <w:lang w:val="en-US" w:eastAsia="zh-CN"/>
              </w:rPr>
              <w:t>大门</w:t>
            </w:r>
            <w:r>
              <w:rPr>
                <w:rFonts w:hint="eastAsia"/>
                <w:b/>
                <w:bCs/>
                <w:color w:val="auto"/>
              </w:rPr>
              <w:t>详图</w:t>
            </w:r>
          </w:p>
          <w:p>
            <w:pPr>
              <w:jc w:val="center"/>
              <w:rPr>
                <w:color w:val="auto"/>
              </w:rPr>
            </w:pPr>
            <w:r>
              <w:rPr>
                <w:color w:val="auto"/>
              </w:rPr>
              <w:drawing>
                <wp:inline distT="0" distB="0" distL="114300" distR="114300">
                  <wp:extent cx="4054475" cy="3378835"/>
                  <wp:effectExtent l="0" t="0" r="3175" b="12065"/>
                  <wp:docPr id="5" name="图片 5" descr="IMG_3166(20231121-144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3166(20231121-144633)"/>
                          <pic:cNvPicPr>
                            <a:picLocks noChangeAspect="1"/>
                          </pic:cNvPicPr>
                        </pic:nvPicPr>
                        <pic:blipFill>
                          <a:blip r:embed="rId11"/>
                          <a:srcRect l="4899" t="3230" r="-101" b="4899"/>
                          <a:stretch>
                            <a:fillRect/>
                          </a:stretch>
                        </pic:blipFill>
                        <pic:spPr>
                          <a:xfrm>
                            <a:off x="0" y="0"/>
                            <a:ext cx="4054475" cy="3378835"/>
                          </a:xfrm>
                          <a:prstGeom prst="rect">
                            <a:avLst/>
                          </a:prstGeom>
                        </pic:spPr>
                      </pic:pic>
                    </a:graphicData>
                  </a:graphic>
                </wp:inline>
              </w:drawing>
            </w:r>
          </w:p>
          <w:p>
            <w:pPr>
              <w:jc w:val="center"/>
              <w:rPr>
                <w:b/>
                <w:bCs/>
                <w:color w:val="auto"/>
              </w:rPr>
            </w:pPr>
            <w:r>
              <w:rPr>
                <w:rFonts w:hint="eastAsia"/>
                <w:b/>
                <w:bCs/>
                <w:color w:val="auto"/>
              </w:rPr>
              <w:t>图2-</w:t>
            </w:r>
            <w:r>
              <w:rPr>
                <w:rFonts w:hint="eastAsia"/>
                <w:b/>
                <w:bCs/>
                <w:color w:val="auto"/>
                <w:lang w:val="en-US" w:eastAsia="zh-CN"/>
              </w:rPr>
              <w:t>3</w:t>
            </w:r>
            <w:r>
              <w:rPr>
                <w:rFonts w:hint="eastAsia"/>
                <w:b/>
                <w:bCs/>
                <w:color w:val="auto"/>
              </w:rPr>
              <w:t xml:space="preserve">  墙面防渗详图</w:t>
            </w:r>
          </w:p>
          <w:p>
            <w:pPr>
              <w:spacing w:before="120" w:beforeLines="50" w:line="360" w:lineRule="auto"/>
              <w:jc w:val="center"/>
              <w:rPr>
                <w:rFonts w:ascii="宋体" w:hAnsi="宋体"/>
                <w:color w:val="auto"/>
                <w:sz w:val="24"/>
              </w:rPr>
            </w:pPr>
            <w:r>
              <w:rPr>
                <w:rFonts w:hint="eastAsia" w:ascii="宋体" w:hAnsi="宋体"/>
                <w:color w:val="auto"/>
                <w:sz w:val="24"/>
              </w:rPr>
              <w:drawing>
                <wp:inline distT="0" distB="0" distL="114300" distR="114300">
                  <wp:extent cx="2919730" cy="4217670"/>
                  <wp:effectExtent l="0" t="0" r="11430" b="13970"/>
                  <wp:docPr id="6" name="图片 6" descr="IMG_3167(20231121-145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MG_3167(20231121-145056)"/>
                          <pic:cNvPicPr>
                            <a:picLocks noChangeAspect="1"/>
                          </pic:cNvPicPr>
                        </pic:nvPicPr>
                        <pic:blipFill>
                          <a:blip r:embed="rId12"/>
                          <a:stretch>
                            <a:fillRect/>
                          </a:stretch>
                        </pic:blipFill>
                        <pic:spPr>
                          <a:xfrm rot="16200000">
                            <a:off x="0" y="0"/>
                            <a:ext cx="2919730" cy="4217670"/>
                          </a:xfrm>
                          <a:prstGeom prst="rect">
                            <a:avLst/>
                          </a:prstGeom>
                        </pic:spPr>
                      </pic:pic>
                    </a:graphicData>
                  </a:graphic>
                </wp:inline>
              </w:drawing>
            </w:r>
          </w:p>
          <w:p>
            <w:pPr>
              <w:jc w:val="center"/>
              <w:rPr>
                <w:rFonts w:hint="eastAsia"/>
                <w:b/>
                <w:bCs/>
                <w:color w:val="auto"/>
              </w:rPr>
            </w:pPr>
            <w:r>
              <w:rPr>
                <w:rFonts w:hint="eastAsia"/>
                <w:b/>
                <w:bCs/>
                <w:color w:val="auto"/>
              </w:rPr>
              <w:t>图2-</w:t>
            </w:r>
            <w:r>
              <w:rPr>
                <w:rFonts w:hint="eastAsia"/>
                <w:b/>
                <w:bCs/>
                <w:color w:val="auto"/>
                <w:lang w:val="en-US" w:eastAsia="zh-CN"/>
              </w:rPr>
              <w:t>4</w:t>
            </w:r>
            <w:r>
              <w:rPr>
                <w:rFonts w:hint="eastAsia"/>
                <w:b/>
                <w:bCs/>
                <w:color w:val="auto"/>
              </w:rPr>
              <w:t xml:space="preserve">  地面防渗详图</w:t>
            </w:r>
          </w:p>
          <w:p>
            <w:pPr>
              <w:spacing w:before="120" w:beforeLines="50" w:line="360" w:lineRule="auto"/>
              <w:rPr>
                <w:color w:val="auto"/>
                <w:sz w:val="24"/>
              </w:rPr>
            </w:pPr>
            <w:r>
              <w:rPr>
                <w:rFonts w:hint="eastAsia" w:ascii="宋体" w:hAnsi="宋体"/>
                <w:color w:val="auto"/>
                <w:sz w:val="24"/>
                <w:lang w:val="en-US" w:eastAsia="zh-CN"/>
              </w:rPr>
              <w:t>4</w:t>
            </w:r>
            <w:r>
              <w:rPr>
                <w:rFonts w:hint="eastAsia" w:ascii="宋体" w:hAnsi="宋体"/>
                <w:color w:val="auto"/>
                <w:sz w:val="24"/>
              </w:rPr>
              <w:t>、主要原辅材料及其理化性质</w:t>
            </w:r>
          </w:p>
          <w:p>
            <w:pPr>
              <w:pStyle w:val="18"/>
              <w:keepNext w:val="0"/>
              <w:keepLines w:val="0"/>
              <w:pageBreakBefore w:val="0"/>
              <w:widowControl w:val="0"/>
              <w:kinsoku/>
              <w:wordWrap/>
              <w:overflowPunct/>
              <w:topLinePunct w:val="0"/>
              <w:autoSpaceDE/>
              <w:autoSpaceDN/>
              <w:bidi w:val="0"/>
              <w:adjustRightInd/>
              <w:snapToGrid/>
              <w:spacing w:after="0" w:line="360" w:lineRule="auto"/>
              <w:ind w:left="0" w:leftChars="0" w:firstLine="480"/>
              <w:textAlignment w:val="auto"/>
              <w:rPr>
                <w:color w:val="auto"/>
                <w:kern w:val="2"/>
                <w:szCs w:val="24"/>
              </w:rPr>
            </w:pPr>
            <w:r>
              <w:rPr>
                <w:rFonts w:hint="eastAsia"/>
                <w:color w:val="auto"/>
                <w:kern w:val="2"/>
                <w:szCs w:val="24"/>
              </w:rPr>
              <w:t>本项目主要贮存</w:t>
            </w:r>
            <w:r>
              <w:rPr>
                <w:rFonts w:hint="eastAsia"/>
                <w:color w:val="auto"/>
                <w:kern w:val="2"/>
                <w:szCs w:val="24"/>
                <w:lang w:eastAsia="zh-CN"/>
              </w:rPr>
              <w:t>小河</w:t>
            </w:r>
            <w:r>
              <w:rPr>
                <w:rFonts w:hint="eastAsia"/>
                <w:color w:val="auto"/>
                <w:kern w:val="2"/>
                <w:szCs w:val="24"/>
              </w:rPr>
              <w:t>作业区各井场、站点及作业产生的落地油泥，对照《国家危险废物名录》（2021版），落地油泥属于“HW08 废矿物油与含矿物油废物中071-001-08：石油开采和炼制产生的油泥和油脚”。落地油泥主要产生来源为井下作业过程由于非正常原因导致原油散落地面、井场涉油设施阀门和法兰等的渗漏导致以及修井作业散落在井场的落地油泥等，其中原油是主要的成分。根据原油检测报告（见附件），项目贮存规模</w:t>
            </w:r>
            <w:r>
              <w:rPr>
                <w:rFonts w:hint="eastAsia"/>
                <w:color w:val="auto"/>
                <w:kern w:val="2"/>
                <w:szCs w:val="24"/>
                <w:lang w:val="en-US" w:eastAsia="zh-CN"/>
              </w:rPr>
              <w:t>及服务范围</w:t>
            </w:r>
            <w:r>
              <w:rPr>
                <w:rFonts w:hint="eastAsia"/>
                <w:color w:val="auto"/>
                <w:kern w:val="2"/>
                <w:szCs w:val="24"/>
              </w:rPr>
              <w:t>见表2-2。原油主要性质见表2-3。</w:t>
            </w:r>
          </w:p>
          <w:p>
            <w:pPr>
              <w:ind w:firstLine="422" w:firstLineChars="200"/>
              <w:rPr>
                <w:b/>
                <w:color w:val="auto"/>
                <w:sz w:val="21"/>
                <w:szCs w:val="21"/>
              </w:rPr>
            </w:pPr>
            <w:r>
              <w:rPr>
                <w:b/>
                <w:color w:val="auto"/>
                <w:sz w:val="21"/>
                <w:szCs w:val="21"/>
              </w:rPr>
              <w:t>表2</w:t>
            </w:r>
            <w:r>
              <w:rPr>
                <w:rFonts w:hint="eastAsia"/>
                <w:b/>
                <w:color w:val="auto"/>
                <w:sz w:val="21"/>
                <w:szCs w:val="21"/>
              </w:rPr>
              <w:t>-2</w:t>
            </w:r>
            <w:r>
              <w:rPr>
                <w:b/>
                <w:color w:val="auto"/>
                <w:sz w:val="21"/>
                <w:szCs w:val="21"/>
              </w:rPr>
              <w:t xml:space="preserve"> </w:t>
            </w:r>
            <w:r>
              <w:rPr>
                <w:rFonts w:hint="eastAsia"/>
                <w:b/>
                <w:color w:val="auto"/>
                <w:sz w:val="21"/>
                <w:szCs w:val="21"/>
              </w:rPr>
              <w:t xml:space="preserve">             </w:t>
            </w:r>
            <w:r>
              <w:rPr>
                <w:b/>
                <w:color w:val="auto"/>
                <w:sz w:val="21"/>
                <w:szCs w:val="21"/>
              </w:rPr>
              <w:t xml:space="preserve"> </w:t>
            </w:r>
            <w:r>
              <w:rPr>
                <w:rFonts w:hint="eastAsia"/>
                <w:b/>
                <w:color w:val="auto"/>
                <w:sz w:val="21"/>
                <w:szCs w:val="21"/>
              </w:rPr>
              <w:t xml:space="preserve">    </w:t>
            </w:r>
            <w:r>
              <w:rPr>
                <w:b/>
                <w:color w:val="auto"/>
                <w:sz w:val="21"/>
                <w:szCs w:val="21"/>
              </w:rPr>
              <w:t>项目</w:t>
            </w:r>
            <w:r>
              <w:rPr>
                <w:rFonts w:hint="eastAsia"/>
                <w:b/>
                <w:color w:val="auto"/>
                <w:sz w:val="21"/>
                <w:szCs w:val="21"/>
              </w:rPr>
              <w:t>油泥贮存表</w:t>
            </w:r>
          </w:p>
          <w:tbl>
            <w:tblPr>
              <w:tblStyle w:val="20"/>
              <w:tblW w:w="773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5"/>
              <w:gridCol w:w="1335"/>
              <w:gridCol w:w="1275"/>
              <w:gridCol w:w="1080"/>
              <w:gridCol w:w="1020"/>
              <w:gridCol w:w="1004"/>
              <w:gridCol w:w="9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2" w:hRule="atLeast"/>
                <w:jc w:val="center"/>
              </w:trPr>
              <w:tc>
                <w:tcPr>
                  <w:tcW w:w="1055" w:type="dxa"/>
                  <w:vAlign w:val="center"/>
                </w:tcPr>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种类</w:t>
                  </w:r>
                </w:p>
              </w:tc>
              <w:tc>
                <w:tcPr>
                  <w:tcW w:w="1335" w:type="dxa"/>
                  <w:vAlign w:val="center"/>
                </w:tcPr>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年贮存量（t/a）</w:t>
                  </w:r>
                </w:p>
              </w:tc>
              <w:tc>
                <w:tcPr>
                  <w:tcW w:w="1275" w:type="dxa"/>
                  <w:vAlign w:val="center"/>
                </w:tcPr>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最大储存量（t/次）</w:t>
                  </w:r>
                </w:p>
              </w:tc>
              <w:tc>
                <w:tcPr>
                  <w:tcW w:w="1080" w:type="dxa"/>
                  <w:vAlign w:val="center"/>
                </w:tcPr>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含油率（%）</w:t>
                  </w:r>
                </w:p>
              </w:tc>
              <w:tc>
                <w:tcPr>
                  <w:tcW w:w="1020" w:type="dxa"/>
                  <w:vAlign w:val="center"/>
                </w:tcPr>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含水率（%）</w:t>
                  </w:r>
                </w:p>
              </w:tc>
              <w:tc>
                <w:tcPr>
                  <w:tcW w:w="1004" w:type="dxa"/>
                  <w:vAlign w:val="center"/>
                </w:tcPr>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暂存周转时间</w:t>
                  </w:r>
                </w:p>
              </w:tc>
              <w:tc>
                <w:tcPr>
                  <w:tcW w:w="967" w:type="dxa"/>
                  <w:vAlign w:val="center"/>
                </w:tcPr>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运输</w:t>
                  </w:r>
                </w:p>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1055" w:type="dxa"/>
                  <w:vAlign w:val="center"/>
                </w:tcPr>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落地</w:t>
                  </w:r>
                </w:p>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油泥</w:t>
                  </w:r>
                </w:p>
              </w:tc>
              <w:tc>
                <w:tcPr>
                  <w:tcW w:w="1335" w:type="dxa"/>
                  <w:vAlign w:val="center"/>
                </w:tcPr>
                <w:p>
                  <w:pPr>
                    <w:pStyle w:val="18"/>
                    <w:spacing w:after="0"/>
                    <w:ind w:left="0" w:leftChars="0" w:firstLine="0" w:firstLineChars="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120</w:t>
                  </w:r>
                </w:p>
              </w:tc>
              <w:tc>
                <w:tcPr>
                  <w:tcW w:w="1275" w:type="dxa"/>
                  <w:vAlign w:val="center"/>
                </w:tcPr>
                <w:p>
                  <w:pPr>
                    <w:pStyle w:val="18"/>
                    <w:spacing w:after="0"/>
                    <w:ind w:left="0" w:leftChars="0" w:firstLine="0" w:firstLineChars="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45</w:t>
                  </w:r>
                </w:p>
              </w:tc>
              <w:tc>
                <w:tcPr>
                  <w:tcW w:w="1080" w:type="dxa"/>
                  <w:vAlign w:val="center"/>
                </w:tcPr>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20</w:t>
                  </w:r>
                </w:p>
              </w:tc>
              <w:tc>
                <w:tcPr>
                  <w:tcW w:w="1020" w:type="dxa"/>
                  <w:vAlign w:val="center"/>
                </w:tcPr>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＜1.00</w:t>
                  </w:r>
                </w:p>
              </w:tc>
              <w:tc>
                <w:tcPr>
                  <w:tcW w:w="1004" w:type="dxa"/>
                  <w:vAlign w:val="center"/>
                </w:tcPr>
                <w:p>
                  <w:pPr>
                    <w:pStyle w:val="18"/>
                    <w:spacing w:after="0"/>
                    <w:ind w:left="0" w:leftChars="0" w:firstLine="0" w:firstLineChars="0"/>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每</w:t>
                  </w:r>
                  <w:r>
                    <w:rPr>
                      <w:rFonts w:hint="eastAsia" w:cs="Times New Roman"/>
                      <w:color w:val="auto"/>
                      <w:sz w:val="21"/>
                      <w:szCs w:val="21"/>
                      <w:lang w:val="en-US" w:eastAsia="zh-CN"/>
                    </w:rPr>
                    <w:t>2</w:t>
                  </w:r>
                  <w:r>
                    <w:rPr>
                      <w:rFonts w:hint="default" w:ascii="Times New Roman" w:hAnsi="Times New Roman" w:cs="Times New Roman"/>
                      <w:color w:val="auto"/>
                      <w:sz w:val="21"/>
                      <w:szCs w:val="21"/>
                      <w:lang w:val="en-US" w:eastAsia="zh-CN"/>
                    </w:rPr>
                    <w:t>个月1次</w:t>
                  </w:r>
                </w:p>
              </w:tc>
              <w:tc>
                <w:tcPr>
                  <w:tcW w:w="967" w:type="dxa"/>
                  <w:vAlign w:val="center"/>
                </w:tcPr>
                <w:p>
                  <w:pPr>
                    <w:pStyle w:val="18"/>
                    <w:spacing w:after="0"/>
                    <w:ind w:left="0" w:leftChars="0" w:firstLine="0" w:firstLineChars="0"/>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专用车辆拉运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7736" w:type="dxa"/>
                  <w:gridSpan w:val="7"/>
                  <w:vAlign w:val="center"/>
                </w:tcPr>
                <w:p>
                  <w:pPr>
                    <w:pStyle w:val="18"/>
                    <w:spacing w:after="0"/>
                    <w:ind w:left="0" w:leftChars="0" w:firstLine="0" w:firstLineChars="0"/>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油泥暂存间服务范围：</w:t>
                  </w:r>
                  <w:r>
                    <w:rPr>
                      <w:rFonts w:hint="eastAsia" w:ascii="宋体" w:hAnsi="宋体" w:eastAsia="宋体" w:cs="宋体"/>
                      <w:color w:val="auto"/>
                      <w:sz w:val="21"/>
                      <w:szCs w:val="21"/>
                      <w:lang w:val="en-US" w:eastAsia="zh-CN"/>
                    </w:rPr>
                    <w:t>杨</w:t>
                  </w:r>
                  <w:r>
                    <w:rPr>
                      <w:rFonts w:ascii="宋体" w:hAnsi="宋体" w:eastAsia="宋体" w:cs="宋体"/>
                      <w:color w:val="auto"/>
                      <w:sz w:val="21"/>
                      <w:szCs w:val="21"/>
                    </w:rPr>
                    <w:t>2</w:t>
                  </w:r>
                  <w:r>
                    <w:rPr>
                      <w:rFonts w:hint="eastAsia" w:ascii="宋体" w:hAnsi="宋体" w:eastAsia="宋体" w:cs="宋体"/>
                      <w:color w:val="auto"/>
                      <w:sz w:val="21"/>
                      <w:szCs w:val="21"/>
                      <w:lang w:val="en-US" w:eastAsia="zh-CN"/>
                    </w:rPr>
                    <w:t>井场、</w:t>
                  </w:r>
                  <w:r>
                    <w:rPr>
                      <w:rFonts w:ascii="宋体" w:hAnsi="宋体" w:eastAsia="宋体" w:cs="宋体"/>
                      <w:color w:val="auto"/>
                      <w:sz w:val="21"/>
                      <w:szCs w:val="21"/>
                    </w:rPr>
                    <w:t>杨13</w:t>
                  </w:r>
                  <w:r>
                    <w:rPr>
                      <w:rFonts w:hint="eastAsia" w:ascii="宋体" w:hAnsi="宋体" w:eastAsia="宋体" w:cs="宋体"/>
                      <w:color w:val="auto"/>
                      <w:sz w:val="21"/>
                      <w:szCs w:val="21"/>
                      <w:lang w:val="en-US" w:eastAsia="zh-CN"/>
                    </w:rPr>
                    <w:t>井场</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杨</w:t>
                  </w:r>
                  <w:r>
                    <w:rPr>
                      <w:rFonts w:ascii="宋体" w:hAnsi="宋体" w:eastAsia="宋体" w:cs="宋体"/>
                      <w:color w:val="auto"/>
                      <w:sz w:val="21"/>
                      <w:szCs w:val="21"/>
                    </w:rPr>
                    <w:t>16脱</w:t>
                  </w:r>
                  <w:r>
                    <w:rPr>
                      <w:rFonts w:hint="eastAsia" w:ascii="宋体" w:hAnsi="宋体" w:eastAsia="宋体" w:cs="宋体"/>
                      <w:color w:val="auto"/>
                      <w:sz w:val="21"/>
                      <w:szCs w:val="21"/>
                      <w:lang w:val="en-US" w:eastAsia="zh-CN"/>
                    </w:rPr>
                    <w:t>水站</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杨</w:t>
                  </w:r>
                  <w:r>
                    <w:rPr>
                      <w:rFonts w:ascii="宋体" w:hAnsi="宋体" w:eastAsia="宋体" w:cs="宋体"/>
                      <w:color w:val="auto"/>
                      <w:sz w:val="21"/>
                      <w:szCs w:val="21"/>
                    </w:rPr>
                    <w:t>17</w:t>
                  </w:r>
                  <w:r>
                    <w:rPr>
                      <w:rFonts w:hint="eastAsia" w:ascii="宋体" w:hAnsi="宋体" w:eastAsia="宋体" w:cs="宋体"/>
                      <w:color w:val="auto"/>
                      <w:sz w:val="21"/>
                      <w:szCs w:val="21"/>
                      <w:lang w:val="en-US" w:eastAsia="zh-CN"/>
                    </w:rPr>
                    <w:t>井场、杨</w:t>
                  </w:r>
                  <w:r>
                    <w:rPr>
                      <w:rFonts w:ascii="宋体" w:hAnsi="宋体" w:eastAsia="宋体" w:cs="宋体"/>
                      <w:color w:val="auto"/>
                      <w:sz w:val="21"/>
                      <w:szCs w:val="21"/>
                    </w:rPr>
                    <w:t>18</w:t>
                  </w:r>
                  <w:r>
                    <w:rPr>
                      <w:rFonts w:hint="eastAsia" w:ascii="宋体" w:hAnsi="宋体" w:eastAsia="宋体" w:cs="宋体"/>
                      <w:color w:val="auto"/>
                      <w:sz w:val="21"/>
                      <w:szCs w:val="21"/>
                      <w:lang w:val="en-US" w:eastAsia="zh-CN"/>
                    </w:rPr>
                    <w:t>井场、杨</w:t>
                  </w:r>
                  <w:r>
                    <w:rPr>
                      <w:rFonts w:ascii="宋体" w:hAnsi="宋体" w:eastAsia="宋体" w:cs="宋体"/>
                      <w:color w:val="auto"/>
                      <w:sz w:val="21"/>
                      <w:szCs w:val="21"/>
                    </w:rPr>
                    <w:t>19</w:t>
                  </w:r>
                  <w:r>
                    <w:rPr>
                      <w:rFonts w:hint="eastAsia" w:ascii="宋体" w:hAnsi="宋体" w:eastAsia="宋体" w:cs="宋体"/>
                      <w:color w:val="auto"/>
                      <w:sz w:val="21"/>
                      <w:szCs w:val="21"/>
                      <w:lang w:val="en-US" w:eastAsia="zh-CN"/>
                    </w:rPr>
                    <w:t>井场、杨</w:t>
                  </w:r>
                  <w:r>
                    <w:rPr>
                      <w:rFonts w:ascii="宋体" w:hAnsi="宋体" w:eastAsia="宋体" w:cs="宋体"/>
                      <w:color w:val="auto"/>
                      <w:sz w:val="21"/>
                      <w:szCs w:val="21"/>
                    </w:rPr>
                    <w:t>47</w:t>
                  </w:r>
                  <w:r>
                    <w:rPr>
                      <w:rFonts w:hint="eastAsia" w:ascii="宋体" w:hAnsi="宋体" w:eastAsia="宋体" w:cs="宋体"/>
                      <w:color w:val="auto"/>
                      <w:sz w:val="21"/>
                      <w:szCs w:val="21"/>
                      <w:lang w:val="en-US" w:eastAsia="zh-CN"/>
                    </w:rPr>
                    <w:t>井场</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杨</w:t>
                  </w:r>
                  <w:r>
                    <w:rPr>
                      <w:rFonts w:ascii="宋体" w:hAnsi="宋体" w:eastAsia="宋体" w:cs="宋体"/>
                      <w:color w:val="auto"/>
                      <w:sz w:val="21"/>
                      <w:szCs w:val="21"/>
                    </w:rPr>
                    <w:t>49拉油站</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杨</w:t>
                  </w:r>
                  <w:r>
                    <w:rPr>
                      <w:rFonts w:ascii="宋体" w:hAnsi="宋体" w:eastAsia="宋体" w:cs="宋体"/>
                      <w:color w:val="auto"/>
                      <w:sz w:val="21"/>
                      <w:szCs w:val="21"/>
                    </w:rPr>
                    <w:t>50</w:t>
                  </w:r>
                  <w:r>
                    <w:rPr>
                      <w:rFonts w:hint="eastAsia" w:ascii="宋体" w:hAnsi="宋体" w:eastAsia="宋体" w:cs="宋体"/>
                      <w:color w:val="auto"/>
                      <w:sz w:val="21"/>
                      <w:szCs w:val="21"/>
                      <w:lang w:val="en-US" w:eastAsia="zh-CN"/>
                    </w:rPr>
                    <w:t>井场</w:t>
                  </w:r>
                  <w:r>
                    <w:rPr>
                      <w:rFonts w:hint="eastAsia" w:ascii="宋体" w:hAnsi="宋体" w:cs="宋体"/>
                      <w:color w:val="auto"/>
                      <w:sz w:val="21"/>
                      <w:szCs w:val="21"/>
                      <w:lang w:val="en-US" w:eastAsia="zh-CN"/>
                    </w:rPr>
                    <w:t>、杨</w:t>
                  </w:r>
                  <w:r>
                    <w:rPr>
                      <w:rFonts w:ascii="宋体" w:hAnsi="宋体" w:eastAsia="宋体" w:cs="宋体"/>
                      <w:color w:val="auto"/>
                      <w:sz w:val="21"/>
                      <w:szCs w:val="21"/>
                    </w:rPr>
                    <w:t>51</w:t>
                  </w:r>
                  <w:r>
                    <w:rPr>
                      <w:rFonts w:hint="eastAsia" w:ascii="宋体" w:hAnsi="宋体" w:eastAsia="宋体" w:cs="宋体"/>
                      <w:color w:val="auto"/>
                      <w:sz w:val="21"/>
                      <w:szCs w:val="21"/>
                      <w:lang w:val="en-US" w:eastAsia="zh-CN"/>
                    </w:rPr>
                    <w:t>井场</w:t>
                  </w:r>
                  <w:r>
                    <w:rPr>
                      <w:rFonts w:hint="eastAsia" w:ascii="宋体" w:hAnsi="宋体" w:cs="宋体"/>
                      <w:color w:val="auto"/>
                      <w:sz w:val="21"/>
                      <w:szCs w:val="21"/>
                      <w:lang w:val="en-US" w:eastAsia="zh-CN"/>
                    </w:rPr>
                    <w:t>、杨</w:t>
                  </w:r>
                  <w:r>
                    <w:rPr>
                      <w:rFonts w:ascii="宋体" w:hAnsi="宋体" w:eastAsia="宋体" w:cs="宋体"/>
                      <w:color w:val="auto"/>
                      <w:sz w:val="21"/>
                      <w:szCs w:val="21"/>
                    </w:rPr>
                    <w:t>52</w:t>
                  </w:r>
                  <w:r>
                    <w:rPr>
                      <w:rFonts w:hint="eastAsia" w:ascii="宋体" w:hAnsi="宋体" w:eastAsia="宋体" w:cs="宋体"/>
                      <w:color w:val="auto"/>
                      <w:sz w:val="21"/>
                      <w:szCs w:val="21"/>
                      <w:lang w:val="en-US" w:eastAsia="zh-CN"/>
                    </w:rPr>
                    <w:t>井场</w:t>
                  </w:r>
                  <w:r>
                    <w:rPr>
                      <w:rFonts w:hint="eastAsia" w:ascii="宋体" w:hAnsi="宋体" w:cs="宋体"/>
                      <w:color w:val="auto"/>
                      <w:sz w:val="21"/>
                      <w:szCs w:val="21"/>
                      <w:lang w:val="en-US" w:eastAsia="zh-CN"/>
                    </w:rPr>
                    <w:t>、杨</w:t>
                  </w:r>
                  <w:r>
                    <w:rPr>
                      <w:rFonts w:ascii="宋体" w:hAnsi="宋体" w:eastAsia="宋体" w:cs="宋体"/>
                      <w:color w:val="auto"/>
                      <w:sz w:val="21"/>
                      <w:szCs w:val="21"/>
                    </w:rPr>
                    <w:t>53注</w:t>
                  </w:r>
                  <w:r>
                    <w:rPr>
                      <w:rFonts w:hint="eastAsia" w:ascii="宋体" w:hAnsi="宋体" w:eastAsia="宋体" w:cs="宋体"/>
                      <w:color w:val="auto"/>
                      <w:sz w:val="21"/>
                      <w:szCs w:val="21"/>
                      <w:lang w:val="en-US" w:eastAsia="zh-CN"/>
                    </w:rPr>
                    <w:t>水站、</w:t>
                  </w:r>
                  <w:r>
                    <w:rPr>
                      <w:rFonts w:ascii="宋体" w:hAnsi="宋体" w:eastAsia="宋体" w:cs="宋体"/>
                      <w:color w:val="auto"/>
                      <w:sz w:val="21"/>
                      <w:szCs w:val="21"/>
                    </w:rPr>
                    <w:t>杨1</w:t>
                  </w:r>
                  <w:r>
                    <w:rPr>
                      <w:rFonts w:hint="eastAsia" w:ascii="宋体" w:hAnsi="宋体" w:eastAsia="宋体" w:cs="宋体"/>
                      <w:color w:val="auto"/>
                      <w:sz w:val="21"/>
                      <w:szCs w:val="21"/>
                      <w:lang w:val="en-US" w:eastAsia="zh-CN"/>
                    </w:rPr>
                    <w:t>增压站、杨</w:t>
                  </w:r>
                  <w:r>
                    <w:rPr>
                      <w:rFonts w:ascii="宋体" w:hAnsi="宋体" w:eastAsia="宋体" w:cs="宋体"/>
                      <w:color w:val="auto"/>
                      <w:sz w:val="21"/>
                      <w:szCs w:val="21"/>
                    </w:rPr>
                    <w:t>56</w:t>
                  </w:r>
                  <w:r>
                    <w:rPr>
                      <w:rFonts w:hint="eastAsia" w:ascii="宋体" w:hAnsi="宋体" w:eastAsia="宋体" w:cs="宋体"/>
                      <w:color w:val="auto"/>
                      <w:sz w:val="21"/>
                      <w:szCs w:val="21"/>
                      <w:lang w:val="en-US" w:eastAsia="zh-CN"/>
                    </w:rPr>
                    <w:t>井场</w:t>
                  </w:r>
                  <w:r>
                    <w:rPr>
                      <w:rFonts w:hint="eastAsia" w:ascii="宋体" w:hAnsi="宋体" w:cs="宋体"/>
                      <w:color w:val="auto"/>
                      <w:sz w:val="21"/>
                      <w:szCs w:val="21"/>
                      <w:lang w:val="en-US" w:eastAsia="zh-CN"/>
                    </w:rPr>
                    <w:t>、杨</w:t>
                  </w:r>
                  <w:r>
                    <w:rPr>
                      <w:rFonts w:ascii="宋体" w:hAnsi="宋体" w:eastAsia="宋体" w:cs="宋体"/>
                      <w:color w:val="auto"/>
                      <w:sz w:val="21"/>
                      <w:szCs w:val="21"/>
                    </w:rPr>
                    <w:t>58</w:t>
                  </w:r>
                  <w:r>
                    <w:rPr>
                      <w:rFonts w:hint="eastAsia" w:ascii="宋体" w:hAnsi="宋体" w:eastAsia="宋体" w:cs="宋体"/>
                      <w:color w:val="auto"/>
                      <w:sz w:val="21"/>
                      <w:szCs w:val="21"/>
                      <w:lang w:val="en-US" w:eastAsia="zh-CN"/>
                    </w:rPr>
                    <w:t>井场</w:t>
                  </w:r>
                  <w:r>
                    <w:rPr>
                      <w:rFonts w:hint="eastAsia" w:ascii="宋体" w:hAnsi="宋体" w:cs="宋体"/>
                      <w:color w:val="auto"/>
                      <w:sz w:val="21"/>
                      <w:szCs w:val="21"/>
                      <w:lang w:val="en-US" w:eastAsia="zh-CN"/>
                    </w:rPr>
                    <w:t>共15个站场。</w:t>
                  </w:r>
                </w:p>
              </w:tc>
            </w:tr>
          </w:tbl>
          <w:p>
            <w:pPr>
              <w:pStyle w:val="6"/>
              <w:keepNext/>
              <w:spacing w:before="120" w:beforeLines="50"/>
              <w:ind w:firstLine="422" w:firstLineChars="200"/>
              <w:jc w:val="both"/>
              <w:rPr>
                <w:color w:val="auto"/>
              </w:rPr>
            </w:pPr>
            <w:r>
              <w:rPr>
                <w:rFonts w:hint="eastAsia"/>
                <w:color w:val="auto"/>
              </w:rPr>
              <w:t>表2-3</w:t>
            </w:r>
            <w:r>
              <w:rPr>
                <w:color w:val="auto"/>
              </w:rPr>
              <w:t xml:space="preserve">                    </w:t>
            </w:r>
            <w:r>
              <w:rPr>
                <w:rFonts w:hint="eastAsia"/>
                <w:color w:val="auto"/>
              </w:rPr>
              <w:t>原油理化性质一览表</w:t>
            </w:r>
          </w:p>
          <w:tbl>
            <w:tblPr>
              <w:tblStyle w:val="1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9"/>
              <w:gridCol w:w="3431"/>
              <w:gridCol w:w="38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restart"/>
                  <w:vAlign w:val="center"/>
                </w:tcPr>
                <w:p>
                  <w:pPr>
                    <w:pStyle w:val="50"/>
                    <w:rPr>
                      <w:color w:val="auto"/>
                    </w:rPr>
                  </w:pPr>
                  <w:r>
                    <w:rPr>
                      <w:rFonts w:hint="eastAsia"/>
                      <w:color w:val="auto"/>
                    </w:rPr>
                    <w:t>标识</w:t>
                  </w:r>
                </w:p>
              </w:tc>
              <w:tc>
                <w:tcPr>
                  <w:tcW w:w="2161" w:type="pct"/>
                  <w:vAlign w:val="center"/>
                </w:tcPr>
                <w:p>
                  <w:pPr>
                    <w:pStyle w:val="50"/>
                    <w:rPr>
                      <w:color w:val="auto"/>
                    </w:rPr>
                  </w:pPr>
                  <w:r>
                    <w:rPr>
                      <w:rFonts w:hint="eastAsia"/>
                      <w:color w:val="auto"/>
                    </w:rPr>
                    <w:t>中文名：原油</w:t>
                  </w:r>
                </w:p>
              </w:tc>
              <w:tc>
                <w:tcPr>
                  <w:tcW w:w="2442" w:type="pct"/>
                  <w:vAlign w:val="center"/>
                </w:tcPr>
                <w:p>
                  <w:pPr>
                    <w:pStyle w:val="50"/>
                    <w:rPr>
                      <w:color w:val="auto"/>
                    </w:rPr>
                  </w:pPr>
                  <w:r>
                    <w:rPr>
                      <w:rFonts w:hint="eastAsia"/>
                      <w:color w:val="auto"/>
                    </w:rPr>
                    <w:t>英文名</w:t>
                  </w:r>
                  <w:r>
                    <w:rPr>
                      <w:rFonts w:hint="eastAsia"/>
                      <w:color w:val="auto"/>
                      <w:lang w:val="en-GB"/>
                    </w:rPr>
                    <w:t>：</w:t>
                  </w:r>
                  <w:r>
                    <w:rPr>
                      <w:color w:val="auto"/>
                    </w:rPr>
                    <w:t>Petroleum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continue"/>
                  <w:vAlign w:val="center"/>
                </w:tcPr>
                <w:p>
                  <w:pPr>
                    <w:widowControl/>
                    <w:jc w:val="left"/>
                    <w:rPr>
                      <w:color w:val="auto"/>
                      <w:szCs w:val="21"/>
                    </w:rPr>
                  </w:pPr>
                </w:p>
              </w:tc>
              <w:tc>
                <w:tcPr>
                  <w:tcW w:w="2161" w:type="pct"/>
                  <w:vAlign w:val="center"/>
                </w:tcPr>
                <w:p>
                  <w:pPr>
                    <w:pStyle w:val="50"/>
                    <w:rPr>
                      <w:color w:val="auto"/>
                    </w:rPr>
                  </w:pPr>
                  <w:r>
                    <w:rPr>
                      <w:rFonts w:hint="eastAsia"/>
                      <w:color w:val="auto"/>
                    </w:rPr>
                    <w:t>危规号：</w:t>
                  </w:r>
                  <w:r>
                    <w:rPr>
                      <w:color w:val="auto"/>
                    </w:rPr>
                    <w:t>32003</w:t>
                  </w:r>
                </w:p>
              </w:tc>
              <w:tc>
                <w:tcPr>
                  <w:tcW w:w="2442" w:type="pct"/>
                  <w:vAlign w:val="center"/>
                </w:tcPr>
                <w:p>
                  <w:pPr>
                    <w:pStyle w:val="50"/>
                    <w:rPr>
                      <w:color w:val="auto"/>
                    </w:rPr>
                  </w:pPr>
                  <w:r>
                    <w:rPr>
                      <w:color w:val="auto"/>
                    </w:rPr>
                    <w:t>CAS</w:t>
                  </w:r>
                  <w:r>
                    <w:rPr>
                      <w:rFonts w:hint="eastAsia"/>
                      <w:color w:val="auto"/>
                    </w:rPr>
                    <w:t>号：</w:t>
                  </w:r>
                  <w:r>
                    <w:rPr>
                      <w:color w:val="auto"/>
                    </w:rPr>
                    <w:t>75-01-04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restart"/>
                  <w:vAlign w:val="center"/>
                </w:tcPr>
                <w:p>
                  <w:pPr>
                    <w:pStyle w:val="50"/>
                    <w:rPr>
                      <w:color w:val="auto"/>
                    </w:rPr>
                  </w:pPr>
                  <w:r>
                    <w:rPr>
                      <w:rFonts w:hint="eastAsia"/>
                      <w:color w:val="auto"/>
                    </w:rPr>
                    <w:t>理化</w:t>
                  </w:r>
                </w:p>
                <w:p>
                  <w:pPr>
                    <w:pStyle w:val="50"/>
                    <w:rPr>
                      <w:color w:val="auto"/>
                    </w:rPr>
                  </w:pPr>
                  <w:r>
                    <w:rPr>
                      <w:rFonts w:hint="eastAsia"/>
                      <w:color w:val="auto"/>
                    </w:rPr>
                    <w:t>性质</w:t>
                  </w:r>
                </w:p>
              </w:tc>
              <w:tc>
                <w:tcPr>
                  <w:tcW w:w="2161" w:type="pct"/>
                  <w:vAlign w:val="center"/>
                </w:tcPr>
                <w:p>
                  <w:pPr>
                    <w:pStyle w:val="50"/>
                    <w:rPr>
                      <w:color w:val="auto"/>
                    </w:rPr>
                  </w:pPr>
                  <w:r>
                    <w:rPr>
                      <w:rFonts w:hint="eastAsia"/>
                      <w:color w:val="auto"/>
                    </w:rPr>
                    <w:t>外观与形状：红色、红棕色或黑色有绿色荧光的稠厚性油状液体</w:t>
                  </w:r>
                </w:p>
              </w:tc>
              <w:tc>
                <w:tcPr>
                  <w:tcW w:w="2442" w:type="pct"/>
                  <w:vAlign w:val="center"/>
                </w:tcPr>
                <w:p>
                  <w:pPr>
                    <w:pStyle w:val="50"/>
                    <w:rPr>
                      <w:color w:val="auto"/>
                    </w:rPr>
                  </w:pPr>
                  <w:r>
                    <w:rPr>
                      <w:rFonts w:hint="eastAsia"/>
                      <w:color w:val="auto"/>
                    </w:rPr>
                    <w:t>溶解性：不溶于水，溶于多数有机溶剂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continue"/>
                  <w:vAlign w:val="center"/>
                </w:tcPr>
                <w:p>
                  <w:pPr>
                    <w:widowControl/>
                    <w:jc w:val="left"/>
                    <w:rPr>
                      <w:color w:val="auto"/>
                      <w:szCs w:val="21"/>
                    </w:rPr>
                  </w:pPr>
                </w:p>
              </w:tc>
              <w:tc>
                <w:tcPr>
                  <w:tcW w:w="2161" w:type="pct"/>
                  <w:vAlign w:val="center"/>
                </w:tcPr>
                <w:p>
                  <w:pPr>
                    <w:pStyle w:val="50"/>
                    <w:rPr>
                      <w:color w:val="auto"/>
                    </w:rPr>
                  </w:pPr>
                  <w:r>
                    <w:rPr>
                      <w:rFonts w:hint="eastAsia"/>
                      <w:color w:val="auto"/>
                    </w:rPr>
                    <w:t>熔点</w:t>
                  </w:r>
                  <w:r>
                    <w:rPr>
                      <w:color w:val="auto"/>
                    </w:rPr>
                    <w:t>(</w:t>
                  </w:r>
                  <w:r>
                    <w:rPr>
                      <w:rFonts w:hint="eastAsia" w:ascii="宋体" w:hAnsi="宋体" w:cs="宋体"/>
                      <w:color w:val="auto"/>
                    </w:rPr>
                    <w:t>℃</w:t>
                  </w:r>
                  <w:r>
                    <w:rPr>
                      <w:color w:val="auto"/>
                    </w:rPr>
                    <w:t>)</w:t>
                  </w:r>
                  <w:r>
                    <w:rPr>
                      <w:rFonts w:hint="eastAsia"/>
                      <w:color w:val="auto"/>
                    </w:rPr>
                    <w:t>：</w:t>
                  </w:r>
                  <w:r>
                    <w:rPr>
                      <w:color w:val="auto"/>
                    </w:rPr>
                    <w:t>-259.2</w:t>
                  </w:r>
                </w:p>
              </w:tc>
              <w:tc>
                <w:tcPr>
                  <w:tcW w:w="2442" w:type="pct"/>
                  <w:vAlign w:val="center"/>
                </w:tcPr>
                <w:p>
                  <w:pPr>
                    <w:pStyle w:val="50"/>
                    <w:rPr>
                      <w:color w:val="auto"/>
                    </w:rPr>
                  </w:pPr>
                  <w:r>
                    <w:rPr>
                      <w:rFonts w:hint="eastAsia"/>
                      <w:color w:val="auto"/>
                    </w:rPr>
                    <w:t>沸点</w:t>
                  </w:r>
                  <w:r>
                    <w:rPr>
                      <w:color w:val="auto"/>
                    </w:rPr>
                    <w:t>(</w:t>
                  </w:r>
                  <w:r>
                    <w:rPr>
                      <w:rFonts w:hint="eastAsia" w:ascii="宋体" w:hAnsi="宋体" w:cs="宋体"/>
                      <w:color w:val="auto"/>
                    </w:rPr>
                    <w:t>℃</w:t>
                  </w:r>
                  <w:r>
                    <w:rPr>
                      <w:color w:val="auto"/>
                    </w:rPr>
                    <w:t>)</w:t>
                  </w:r>
                  <w:r>
                    <w:rPr>
                      <w:rFonts w:hint="eastAsia"/>
                      <w:color w:val="auto"/>
                    </w:rPr>
                    <w:t>：</w:t>
                  </w:r>
                  <w:r>
                    <w:rPr>
                      <w:color w:val="auto"/>
                    </w:rPr>
                    <w:t>120</w:t>
                  </w:r>
                  <w:r>
                    <w:rPr>
                      <w:rFonts w:hint="eastAsia"/>
                      <w:color w:val="auto"/>
                    </w:rPr>
                    <w:t>～</w:t>
                  </w:r>
                  <w:r>
                    <w:rPr>
                      <w:color w:val="auto"/>
                    </w:rPr>
                    <w:t>200</w:t>
                  </w:r>
                  <w:r>
                    <w:rPr>
                      <w:rFonts w:hint="eastAsia" w:ascii="宋体" w:hAnsi="宋体" w:cs="宋体"/>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continue"/>
                  <w:vAlign w:val="center"/>
                </w:tcPr>
                <w:p>
                  <w:pPr>
                    <w:widowControl/>
                    <w:jc w:val="left"/>
                    <w:rPr>
                      <w:color w:val="auto"/>
                      <w:szCs w:val="21"/>
                    </w:rPr>
                  </w:pPr>
                </w:p>
              </w:tc>
              <w:tc>
                <w:tcPr>
                  <w:tcW w:w="2161" w:type="pct"/>
                  <w:vAlign w:val="center"/>
                </w:tcPr>
                <w:p>
                  <w:pPr>
                    <w:pStyle w:val="50"/>
                    <w:rPr>
                      <w:color w:val="auto"/>
                    </w:rPr>
                  </w:pPr>
                  <w:r>
                    <w:rPr>
                      <w:rFonts w:hint="eastAsia"/>
                      <w:color w:val="auto"/>
                    </w:rPr>
                    <w:t>密度（20℃）：868.8kg/m³</w:t>
                  </w:r>
                </w:p>
              </w:tc>
              <w:tc>
                <w:tcPr>
                  <w:tcW w:w="2442" w:type="pct"/>
                  <w:vAlign w:val="center"/>
                </w:tcPr>
                <w:p>
                  <w:pPr>
                    <w:pStyle w:val="50"/>
                    <w:rPr>
                      <w:color w:val="auto"/>
                    </w:rPr>
                  </w:pPr>
                  <w:r>
                    <w:rPr>
                      <w:rFonts w:hint="eastAsia"/>
                      <w:color w:val="auto"/>
                    </w:rPr>
                    <w:t>稳定性：稳定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restart"/>
                  <w:vAlign w:val="center"/>
                </w:tcPr>
                <w:p>
                  <w:pPr>
                    <w:pStyle w:val="50"/>
                    <w:rPr>
                      <w:color w:val="auto"/>
                    </w:rPr>
                  </w:pPr>
                  <w:r>
                    <w:rPr>
                      <w:rFonts w:hint="eastAsia"/>
                      <w:color w:val="auto"/>
                    </w:rPr>
                    <w:t>危险</w:t>
                  </w:r>
                </w:p>
                <w:p>
                  <w:pPr>
                    <w:pStyle w:val="50"/>
                    <w:rPr>
                      <w:color w:val="auto"/>
                    </w:rPr>
                  </w:pPr>
                  <w:r>
                    <w:rPr>
                      <w:rFonts w:hint="eastAsia"/>
                      <w:color w:val="auto"/>
                    </w:rPr>
                    <w:t>特性</w:t>
                  </w:r>
                </w:p>
              </w:tc>
              <w:tc>
                <w:tcPr>
                  <w:tcW w:w="2161" w:type="pct"/>
                  <w:vAlign w:val="center"/>
                </w:tcPr>
                <w:p>
                  <w:pPr>
                    <w:pStyle w:val="50"/>
                    <w:rPr>
                      <w:color w:val="auto"/>
                    </w:rPr>
                  </w:pPr>
                  <w:r>
                    <w:rPr>
                      <w:rFonts w:hint="eastAsia"/>
                      <w:color w:val="auto"/>
                    </w:rPr>
                    <w:t>危险性类别：中闪点易燃液体</w:t>
                  </w:r>
                </w:p>
              </w:tc>
              <w:tc>
                <w:tcPr>
                  <w:tcW w:w="2442" w:type="pct"/>
                  <w:vAlign w:val="center"/>
                </w:tcPr>
                <w:p>
                  <w:pPr>
                    <w:pStyle w:val="50"/>
                    <w:rPr>
                      <w:color w:val="auto"/>
                    </w:rPr>
                  </w:pPr>
                  <w:r>
                    <w:rPr>
                      <w:rFonts w:hint="eastAsia"/>
                      <w:color w:val="auto"/>
                    </w:rPr>
                    <w:t>燃烧性：易燃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continue"/>
                  <w:vAlign w:val="center"/>
                </w:tcPr>
                <w:p>
                  <w:pPr>
                    <w:widowControl/>
                    <w:jc w:val="left"/>
                    <w:rPr>
                      <w:color w:val="auto"/>
                      <w:szCs w:val="21"/>
                    </w:rPr>
                  </w:pPr>
                </w:p>
              </w:tc>
              <w:tc>
                <w:tcPr>
                  <w:tcW w:w="2161" w:type="pct"/>
                  <w:vAlign w:val="center"/>
                </w:tcPr>
                <w:p>
                  <w:pPr>
                    <w:pStyle w:val="50"/>
                    <w:rPr>
                      <w:color w:val="auto"/>
                    </w:rPr>
                  </w:pPr>
                  <w:r>
                    <w:rPr>
                      <w:rFonts w:hint="eastAsia"/>
                      <w:color w:val="auto"/>
                    </w:rPr>
                    <w:t>闪点</w:t>
                  </w:r>
                  <w:r>
                    <w:rPr>
                      <w:color w:val="auto"/>
                    </w:rPr>
                    <w:t>(</w:t>
                  </w:r>
                  <w:r>
                    <w:rPr>
                      <w:rFonts w:hint="eastAsia" w:ascii="宋体" w:hAnsi="宋体" w:cs="宋体"/>
                      <w:color w:val="auto"/>
                    </w:rPr>
                    <w:t>℃</w:t>
                  </w:r>
                  <w:r>
                    <w:rPr>
                      <w:color w:val="auto"/>
                    </w:rPr>
                    <w:t>)</w:t>
                  </w:r>
                  <w:r>
                    <w:rPr>
                      <w:rFonts w:hint="eastAsia"/>
                      <w:color w:val="auto"/>
                    </w:rPr>
                    <w:t>：＜</w:t>
                  </w:r>
                  <w:r>
                    <w:rPr>
                      <w:color w:val="auto"/>
                    </w:rPr>
                    <w:t>28</w:t>
                  </w:r>
                  <w:r>
                    <w:rPr>
                      <w:rFonts w:hint="eastAsia" w:ascii="宋体" w:hAnsi="宋体" w:cs="宋体"/>
                      <w:color w:val="auto"/>
                    </w:rPr>
                    <w:t>℃</w:t>
                  </w:r>
                </w:p>
              </w:tc>
              <w:tc>
                <w:tcPr>
                  <w:tcW w:w="2442" w:type="pct"/>
                  <w:vAlign w:val="center"/>
                </w:tcPr>
                <w:p>
                  <w:pPr>
                    <w:pStyle w:val="50"/>
                    <w:rPr>
                      <w:color w:val="auto"/>
                    </w:rPr>
                  </w:pPr>
                  <w:r>
                    <w:rPr>
                      <w:rFonts w:hint="eastAsia"/>
                      <w:color w:val="auto"/>
                    </w:rPr>
                    <w:t>爆炸上限</w:t>
                  </w:r>
                  <w:r>
                    <w:rPr>
                      <w:color w:val="auto"/>
                    </w:rPr>
                    <w:t>(</w:t>
                  </w:r>
                  <w:r>
                    <w:rPr>
                      <w:rFonts w:hint="eastAsia"/>
                      <w:color w:val="auto"/>
                    </w:rPr>
                    <w:t>％</w:t>
                  </w:r>
                  <w:r>
                    <w:rPr>
                      <w:color w:val="auto"/>
                    </w:rPr>
                    <w:t>)</w:t>
                  </w:r>
                  <w:r>
                    <w:rPr>
                      <w:rFonts w:hint="eastAsia"/>
                      <w:color w:val="auto"/>
                    </w:rPr>
                    <w:t>：</w:t>
                  </w:r>
                  <w:r>
                    <w:rPr>
                      <w:color w:val="auto"/>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continue"/>
                  <w:vAlign w:val="center"/>
                </w:tcPr>
                <w:p>
                  <w:pPr>
                    <w:widowControl/>
                    <w:jc w:val="left"/>
                    <w:rPr>
                      <w:color w:val="auto"/>
                      <w:szCs w:val="21"/>
                    </w:rPr>
                  </w:pPr>
                </w:p>
              </w:tc>
              <w:tc>
                <w:tcPr>
                  <w:tcW w:w="2161" w:type="pct"/>
                  <w:vAlign w:val="center"/>
                </w:tcPr>
                <w:p>
                  <w:pPr>
                    <w:pStyle w:val="50"/>
                    <w:rPr>
                      <w:color w:val="auto"/>
                    </w:rPr>
                  </w:pPr>
                  <w:r>
                    <w:rPr>
                      <w:rFonts w:hint="eastAsia"/>
                      <w:color w:val="auto"/>
                    </w:rPr>
                    <w:t>爆炸下限</w:t>
                  </w:r>
                  <w:r>
                    <w:rPr>
                      <w:color w:val="auto"/>
                    </w:rPr>
                    <w:t>(</w:t>
                  </w:r>
                  <w:r>
                    <w:rPr>
                      <w:rFonts w:hint="eastAsia"/>
                      <w:color w:val="auto"/>
                    </w:rPr>
                    <w:t>％</w:t>
                  </w:r>
                  <w:r>
                    <w:rPr>
                      <w:color w:val="auto"/>
                    </w:rPr>
                    <w:t>)</w:t>
                  </w:r>
                  <w:r>
                    <w:rPr>
                      <w:rFonts w:hint="eastAsia"/>
                      <w:color w:val="auto"/>
                    </w:rPr>
                    <w:t>：</w:t>
                  </w:r>
                  <w:r>
                    <w:rPr>
                      <w:color w:val="auto"/>
                    </w:rPr>
                    <w:t>2.1</w:t>
                  </w:r>
                </w:p>
              </w:tc>
              <w:tc>
                <w:tcPr>
                  <w:tcW w:w="2442" w:type="pct"/>
                  <w:vAlign w:val="center"/>
                </w:tcPr>
                <w:p>
                  <w:pPr>
                    <w:pStyle w:val="50"/>
                    <w:rPr>
                      <w:color w:val="auto"/>
                    </w:rPr>
                  </w:pPr>
                  <w:r>
                    <w:rPr>
                      <w:rFonts w:hint="eastAsia"/>
                      <w:color w:val="auto"/>
                    </w:rPr>
                    <w:t>燃烧</w:t>
                  </w:r>
                  <w:r>
                    <w:rPr>
                      <w:color w:val="auto"/>
                    </w:rPr>
                    <w:t>(</w:t>
                  </w:r>
                  <w:r>
                    <w:rPr>
                      <w:rFonts w:hint="eastAsia"/>
                      <w:color w:val="auto"/>
                    </w:rPr>
                    <w:t>分解</w:t>
                  </w:r>
                  <w:r>
                    <w:rPr>
                      <w:color w:val="auto"/>
                    </w:rPr>
                    <w:t>)</w:t>
                  </w:r>
                  <w:r>
                    <w:rPr>
                      <w:rFonts w:hint="eastAsia"/>
                      <w:color w:val="auto"/>
                    </w:rPr>
                    <w:t>产物：一氧化碳、二氧化碳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continue"/>
                  <w:vAlign w:val="center"/>
                </w:tcPr>
                <w:p>
                  <w:pPr>
                    <w:widowControl/>
                    <w:jc w:val="left"/>
                    <w:rPr>
                      <w:color w:val="auto"/>
                      <w:szCs w:val="21"/>
                    </w:rPr>
                  </w:pPr>
                </w:p>
              </w:tc>
              <w:tc>
                <w:tcPr>
                  <w:tcW w:w="4603" w:type="pct"/>
                  <w:gridSpan w:val="2"/>
                  <w:vAlign w:val="center"/>
                </w:tcPr>
                <w:p>
                  <w:pPr>
                    <w:pStyle w:val="50"/>
                    <w:jc w:val="both"/>
                    <w:rPr>
                      <w:color w:val="auto"/>
                    </w:rPr>
                  </w:pPr>
                  <w:r>
                    <w:rPr>
                      <w:rFonts w:hint="eastAsia"/>
                      <w:color w:val="auto"/>
                    </w:rPr>
                    <w:t>其蒸气与空气形成爆炸性混合物，遇明火、高热能引起燃烧爆炸。与氧化剂能发生强烈反应。遇高温，容器内压增大，有开裂和爆炸危险性。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continue"/>
                  <w:vAlign w:val="center"/>
                </w:tcPr>
                <w:p>
                  <w:pPr>
                    <w:widowControl/>
                    <w:jc w:val="left"/>
                    <w:rPr>
                      <w:color w:val="auto"/>
                      <w:szCs w:val="21"/>
                    </w:rPr>
                  </w:pPr>
                </w:p>
              </w:tc>
              <w:tc>
                <w:tcPr>
                  <w:tcW w:w="4603" w:type="pct"/>
                  <w:gridSpan w:val="2"/>
                  <w:vAlign w:val="center"/>
                </w:tcPr>
                <w:p>
                  <w:pPr>
                    <w:pStyle w:val="50"/>
                    <w:jc w:val="both"/>
                    <w:rPr>
                      <w:color w:val="auto"/>
                    </w:rPr>
                  </w:pPr>
                  <w:r>
                    <w:rPr>
                      <w:rFonts w:hint="eastAsia"/>
                      <w:color w:val="auto"/>
                    </w:rPr>
                    <w:t>灭火方法：泡沫、干粉、二氧化碳、砂土。用水灭火无效。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continue"/>
                  <w:vAlign w:val="center"/>
                </w:tcPr>
                <w:p>
                  <w:pPr>
                    <w:widowControl/>
                    <w:jc w:val="left"/>
                    <w:rPr>
                      <w:color w:val="auto"/>
                      <w:szCs w:val="21"/>
                    </w:rPr>
                  </w:pPr>
                </w:p>
              </w:tc>
              <w:tc>
                <w:tcPr>
                  <w:tcW w:w="4603" w:type="pct"/>
                  <w:gridSpan w:val="2"/>
                  <w:vAlign w:val="center"/>
                </w:tcPr>
                <w:p>
                  <w:pPr>
                    <w:pStyle w:val="50"/>
                    <w:jc w:val="both"/>
                    <w:rPr>
                      <w:color w:val="auto"/>
                    </w:rPr>
                  </w:pPr>
                  <w:r>
                    <w:rPr>
                      <w:rFonts w:hint="eastAsia"/>
                      <w:color w:val="auto"/>
                    </w:rPr>
                    <w:t>灭火剂：泡沫、干粉、二氧化碳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6" w:type="pct"/>
                  <w:vAlign w:val="center"/>
                </w:tcPr>
                <w:p>
                  <w:pPr>
                    <w:pStyle w:val="50"/>
                    <w:rPr>
                      <w:color w:val="auto"/>
                    </w:rPr>
                  </w:pPr>
                  <w:r>
                    <w:rPr>
                      <w:rFonts w:hint="eastAsia"/>
                      <w:color w:val="auto"/>
                    </w:rPr>
                    <w:t>毒性</w:t>
                  </w:r>
                </w:p>
              </w:tc>
              <w:tc>
                <w:tcPr>
                  <w:tcW w:w="4603" w:type="pct"/>
                  <w:gridSpan w:val="2"/>
                  <w:vAlign w:val="center"/>
                </w:tcPr>
                <w:p>
                  <w:pPr>
                    <w:pStyle w:val="50"/>
                    <w:jc w:val="both"/>
                    <w:rPr>
                      <w:color w:val="auto"/>
                    </w:rPr>
                  </w:pPr>
                  <w:r>
                    <w:rPr>
                      <w:color w:val="auto"/>
                    </w:rPr>
                    <w:t>LD50</w:t>
                  </w:r>
                  <w:r>
                    <w:rPr>
                      <w:rFonts w:hint="eastAsia"/>
                      <w:color w:val="auto"/>
                    </w:rPr>
                    <w:t>：</w:t>
                  </w:r>
                  <w:r>
                    <w:rPr>
                      <w:color w:val="auto"/>
                    </w:rPr>
                    <w:t>500</w:t>
                  </w:r>
                  <w:r>
                    <w:rPr>
                      <w:rFonts w:hint="eastAsia"/>
                      <w:color w:val="auto"/>
                    </w:rPr>
                    <w:t>～</w:t>
                  </w:r>
                  <w:r>
                    <w:rPr>
                      <w:color w:val="auto"/>
                    </w:rPr>
                    <w:t>5000mg/kg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restart"/>
                  <w:vAlign w:val="center"/>
                </w:tcPr>
                <w:p>
                  <w:pPr>
                    <w:pStyle w:val="50"/>
                    <w:rPr>
                      <w:color w:val="auto"/>
                    </w:rPr>
                  </w:pPr>
                  <w:r>
                    <w:rPr>
                      <w:rFonts w:hint="eastAsia"/>
                      <w:color w:val="auto"/>
                    </w:rPr>
                    <w:t>健康</w:t>
                  </w:r>
                </w:p>
                <w:p>
                  <w:pPr>
                    <w:pStyle w:val="50"/>
                    <w:rPr>
                      <w:color w:val="auto"/>
                    </w:rPr>
                  </w:pPr>
                  <w:r>
                    <w:rPr>
                      <w:rFonts w:hint="eastAsia"/>
                      <w:color w:val="auto"/>
                    </w:rPr>
                    <w:t>危害</w:t>
                  </w:r>
                </w:p>
              </w:tc>
              <w:tc>
                <w:tcPr>
                  <w:tcW w:w="4603" w:type="pct"/>
                  <w:gridSpan w:val="2"/>
                  <w:vAlign w:val="center"/>
                </w:tcPr>
                <w:p>
                  <w:pPr>
                    <w:pStyle w:val="50"/>
                    <w:jc w:val="both"/>
                    <w:rPr>
                      <w:color w:val="auto"/>
                    </w:rPr>
                  </w:pPr>
                  <w:r>
                    <w:rPr>
                      <w:rFonts w:hint="eastAsia"/>
                      <w:color w:val="auto"/>
                    </w:rPr>
                    <w:t>侵入途径：吸入、食入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96" w:type="pct"/>
                  <w:vMerge w:val="continue"/>
                  <w:vAlign w:val="center"/>
                </w:tcPr>
                <w:p>
                  <w:pPr>
                    <w:widowControl/>
                    <w:jc w:val="left"/>
                    <w:rPr>
                      <w:color w:val="auto"/>
                      <w:szCs w:val="21"/>
                    </w:rPr>
                  </w:pPr>
                </w:p>
              </w:tc>
              <w:tc>
                <w:tcPr>
                  <w:tcW w:w="4603" w:type="pct"/>
                  <w:gridSpan w:val="2"/>
                  <w:vAlign w:val="center"/>
                </w:tcPr>
                <w:p>
                  <w:pPr>
                    <w:pStyle w:val="50"/>
                    <w:jc w:val="both"/>
                    <w:rPr>
                      <w:color w:val="auto"/>
                    </w:rPr>
                  </w:pPr>
                  <w:r>
                    <w:rPr>
                      <w:rFonts w:hint="eastAsia"/>
                      <w:color w:val="auto"/>
                    </w:rPr>
                    <w:t>健康危害：蒸气可引起眼及上呼吸道刺激症状，如浓度过高，几分钟即可引起呼吸困难、紫绀等缺氧症状。</w:t>
                  </w:r>
                </w:p>
              </w:tc>
            </w:tr>
          </w:tbl>
          <w:p>
            <w:pPr>
              <w:spacing w:before="120" w:beforeLines="50" w:line="360" w:lineRule="auto"/>
              <w:rPr>
                <w:bCs/>
                <w:color w:val="auto"/>
                <w:sz w:val="24"/>
              </w:rPr>
            </w:pPr>
            <w:r>
              <w:rPr>
                <w:rFonts w:hint="eastAsia"/>
                <w:bCs/>
                <w:color w:val="auto"/>
                <w:sz w:val="24"/>
              </w:rPr>
              <w:t>5</w:t>
            </w:r>
            <w:r>
              <w:rPr>
                <w:bCs/>
                <w:color w:val="auto"/>
                <w:sz w:val="24"/>
              </w:rPr>
              <w:t>、</w:t>
            </w:r>
            <w:r>
              <w:rPr>
                <w:rFonts w:hint="eastAsia"/>
                <w:bCs/>
                <w:color w:val="auto"/>
                <w:sz w:val="24"/>
              </w:rPr>
              <w:t>平面布置</w:t>
            </w:r>
          </w:p>
          <w:p>
            <w:pPr>
              <w:pStyle w:val="18"/>
              <w:spacing w:line="360" w:lineRule="auto"/>
              <w:ind w:left="0" w:leftChars="0" w:firstLine="480"/>
              <w:rPr>
                <w:rFonts w:hint="eastAsia" w:eastAsia="宋体"/>
                <w:color w:val="auto"/>
                <w:lang w:eastAsia="zh-CN"/>
              </w:rPr>
            </w:pPr>
            <w:r>
              <w:rPr>
                <w:rFonts w:hint="eastAsia"/>
                <w:color w:val="auto"/>
              </w:rPr>
              <w:t>本项目占地为规则方形，占地面积49m</w:t>
            </w:r>
            <w:r>
              <w:rPr>
                <w:rFonts w:hint="eastAsia"/>
                <w:color w:val="auto"/>
                <w:vertAlign w:val="superscript"/>
              </w:rPr>
              <w:t>2</w:t>
            </w:r>
            <w:r>
              <w:rPr>
                <w:rFonts w:hint="eastAsia"/>
                <w:color w:val="auto"/>
              </w:rPr>
              <w:t>，位于杨18井场内西北侧</w:t>
            </w:r>
            <w:r>
              <w:rPr>
                <w:rFonts w:hint="eastAsia"/>
                <w:color w:val="auto"/>
                <w:lang w:val="en-US" w:eastAsia="zh-CN"/>
              </w:rPr>
              <w:t>拆除废旧发电机房处建造</w:t>
            </w:r>
            <w:r>
              <w:rPr>
                <w:rFonts w:hint="eastAsia"/>
                <w:color w:val="auto"/>
              </w:rPr>
              <w:t>，为地上式收集贮存间，四周环绕高3m围墙，上面建有彩钢遮雨棚。暂存间内设1.2m×1.1m×0.7m渗滤液收集池1座；收集池采用C30抗渗混凝土,HPB300(中),HRB400)级钢筋现浇钢筋保护层厚度40mm，池壁外面抹1:2.5水泥砂浆，内表面用20厚1:2.5不发火水泥砂浆抹面。池顶放置0.9m×0.8m钢格板。池底采用C30混凝土，表面涂刷防渗材料，厚度2mm，渗透系数&lt;10</w:t>
            </w:r>
            <w:r>
              <w:rPr>
                <w:rFonts w:hint="eastAsia"/>
                <w:color w:val="auto"/>
                <w:vertAlign w:val="superscript"/>
              </w:rPr>
              <w:t>-10</w:t>
            </w:r>
            <w:r>
              <w:rPr>
                <w:rFonts w:hint="eastAsia"/>
                <w:color w:val="auto"/>
              </w:rPr>
              <w:t>cm/s</w:t>
            </w:r>
            <w:r>
              <w:rPr>
                <w:rFonts w:hint="eastAsia"/>
                <w:color w:val="auto"/>
                <w:lang w:eastAsia="zh-CN"/>
              </w:rPr>
              <w:t>。</w:t>
            </w:r>
            <w:r>
              <w:rPr>
                <w:rFonts w:hint="eastAsia"/>
                <w:color w:val="auto"/>
                <w:lang w:val="en-US" w:eastAsia="zh-CN"/>
              </w:rPr>
              <w:t>暂存间平面图见图2-5，井场</w:t>
            </w:r>
            <w:r>
              <w:rPr>
                <w:rFonts w:hint="eastAsia"/>
                <w:color w:val="auto"/>
              </w:rPr>
              <w:t>平面布置见附图2</w:t>
            </w:r>
            <w:r>
              <w:rPr>
                <w:rFonts w:hint="eastAsia"/>
                <w:color w:val="auto"/>
                <w:lang w:eastAsia="zh-CN"/>
              </w:rPr>
              <w:t>。</w:t>
            </w:r>
          </w:p>
          <w:p>
            <w:pPr>
              <w:jc w:val="center"/>
              <w:rPr>
                <w:rFonts w:hint="eastAsia" w:eastAsia="宋体"/>
                <w:b/>
                <w:bCs/>
                <w:color w:val="auto"/>
                <w:lang w:eastAsia="zh-CN"/>
              </w:rPr>
            </w:pPr>
            <w:r>
              <w:rPr>
                <w:rFonts w:hint="eastAsia" w:eastAsia="宋体"/>
                <w:b/>
                <w:bCs/>
                <w:color w:val="auto"/>
                <w:lang w:eastAsia="zh-CN"/>
              </w:rPr>
              <w:drawing>
                <wp:inline distT="0" distB="0" distL="114300" distR="114300">
                  <wp:extent cx="3888105" cy="4125595"/>
                  <wp:effectExtent l="0" t="0" r="8255" b="17145"/>
                  <wp:docPr id="1" name="图片 1" descr="IMG_4701(20240115-183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4701(20240115-183937)"/>
                          <pic:cNvPicPr>
                            <a:picLocks noChangeAspect="1"/>
                          </pic:cNvPicPr>
                        </pic:nvPicPr>
                        <pic:blipFill>
                          <a:blip r:embed="rId13"/>
                          <a:srcRect l="1590" t="23282" r="4201"/>
                          <a:stretch>
                            <a:fillRect/>
                          </a:stretch>
                        </pic:blipFill>
                        <pic:spPr>
                          <a:xfrm rot="16200000">
                            <a:off x="0" y="0"/>
                            <a:ext cx="3888105" cy="4125595"/>
                          </a:xfrm>
                          <a:prstGeom prst="rect">
                            <a:avLst/>
                          </a:prstGeom>
                        </pic:spPr>
                      </pic:pic>
                    </a:graphicData>
                  </a:graphic>
                </wp:inline>
              </w:drawing>
            </w:r>
          </w:p>
          <w:p>
            <w:pPr>
              <w:jc w:val="center"/>
              <w:rPr>
                <w:rFonts w:hint="eastAsia" w:eastAsia="宋体"/>
                <w:b/>
                <w:bCs/>
                <w:color w:val="auto"/>
                <w:lang w:eastAsia="zh-CN"/>
              </w:rPr>
            </w:pPr>
            <w:r>
              <w:rPr>
                <w:rFonts w:hint="eastAsia"/>
                <w:b/>
                <w:bCs/>
                <w:color w:val="auto"/>
              </w:rPr>
              <w:t>图2-</w:t>
            </w:r>
            <w:r>
              <w:rPr>
                <w:rFonts w:hint="eastAsia"/>
                <w:b/>
                <w:bCs/>
                <w:color w:val="auto"/>
                <w:lang w:val="en-US" w:eastAsia="zh-CN"/>
              </w:rPr>
              <w:t>5</w:t>
            </w:r>
            <w:r>
              <w:rPr>
                <w:rFonts w:hint="eastAsia"/>
                <w:b/>
                <w:bCs/>
                <w:color w:val="auto"/>
              </w:rPr>
              <w:t xml:space="preserve">  </w:t>
            </w:r>
            <w:r>
              <w:rPr>
                <w:rFonts w:hint="eastAsia"/>
                <w:b/>
                <w:bCs/>
                <w:color w:val="auto"/>
                <w:lang w:val="en-US" w:eastAsia="zh-CN"/>
              </w:rPr>
              <w:t>暂存间平面</w:t>
            </w:r>
            <w:r>
              <w:rPr>
                <w:rFonts w:hint="eastAsia"/>
                <w:b/>
                <w:bCs/>
                <w:color w:val="auto"/>
              </w:rPr>
              <w:t>图</w:t>
            </w:r>
          </w:p>
          <w:p>
            <w:pPr>
              <w:spacing w:line="360" w:lineRule="auto"/>
              <w:rPr>
                <w:bCs/>
                <w:color w:val="auto"/>
                <w:sz w:val="24"/>
              </w:rPr>
            </w:pPr>
            <w:r>
              <w:rPr>
                <w:rFonts w:hint="eastAsia"/>
                <w:bCs/>
                <w:color w:val="auto"/>
                <w:sz w:val="24"/>
              </w:rPr>
              <w:t>6、公用工程</w:t>
            </w:r>
          </w:p>
          <w:p>
            <w:pPr>
              <w:pStyle w:val="43"/>
              <w:ind w:firstLine="480"/>
              <w:rPr>
                <w:color w:val="auto"/>
                <w:sz w:val="24"/>
              </w:rPr>
            </w:pPr>
            <w:r>
              <w:rPr>
                <w:rFonts w:hint="eastAsia"/>
                <w:color w:val="auto"/>
                <w:sz w:val="24"/>
              </w:rPr>
              <w:t>（1）供电</w:t>
            </w:r>
          </w:p>
          <w:p>
            <w:pPr>
              <w:pStyle w:val="43"/>
              <w:ind w:firstLine="480"/>
              <w:rPr>
                <w:color w:val="auto"/>
                <w:sz w:val="24"/>
                <w:highlight w:val="yellow"/>
              </w:rPr>
            </w:pPr>
            <w:r>
              <w:rPr>
                <w:rFonts w:hint="eastAsia"/>
                <w:color w:val="auto"/>
                <w:sz w:val="24"/>
              </w:rPr>
              <w:t>项目运行过程中无需用电，照明依托杨18井场供电系统。</w:t>
            </w:r>
          </w:p>
          <w:p>
            <w:pPr>
              <w:pStyle w:val="43"/>
              <w:ind w:firstLine="480"/>
              <w:rPr>
                <w:color w:val="auto"/>
                <w:sz w:val="24"/>
              </w:rPr>
            </w:pPr>
            <w:r>
              <w:rPr>
                <w:rFonts w:hint="eastAsia"/>
                <w:color w:val="auto"/>
                <w:sz w:val="24"/>
              </w:rPr>
              <w:t>（2）供热</w:t>
            </w:r>
          </w:p>
          <w:p>
            <w:pPr>
              <w:pStyle w:val="43"/>
              <w:ind w:firstLine="480"/>
              <w:rPr>
                <w:color w:val="auto"/>
                <w:sz w:val="24"/>
              </w:rPr>
            </w:pPr>
            <w:r>
              <w:rPr>
                <w:rFonts w:hint="eastAsia"/>
                <w:color w:val="auto"/>
                <w:sz w:val="24"/>
              </w:rPr>
              <w:t>本项目无需供热。</w:t>
            </w:r>
          </w:p>
          <w:p>
            <w:pPr>
              <w:pStyle w:val="43"/>
              <w:ind w:firstLine="480"/>
              <w:rPr>
                <w:color w:val="auto"/>
                <w:sz w:val="24"/>
              </w:rPr>
            </w:pPr>
            <w:r>
              <w:rPr>
                <w:rFonts w:hint="eastAsia"/>
                <w:color w:val="auto"/>
                <w:sz w:val="24"/>
              </w:rPr>
              <w:t>（3）给排水</w:t>
            </w:r>
          </w:p>
          <w:p>
            <w:pPr>
              <w:pStyle w:val="43"/>
              <w:ind w:firstLine="480"/>
              <w:rPr>
                <w:color w:val="auto"/>
                <w:sz w:val="24"/>
              </w:rPr>
            </w:pPr>
            <w:r>
              <w:rPr>
                <w:rFonts w:hint="eastAsia" w:ascii="宋体" w:hAnsi="宋体" w:cs="宋体"/>
                <w:bCs/>
                <w:color w:val="auto"/>
                <w:sz w:val="24"/>
              </w:rPr>
              <w:t>本项目不设劳动定员，依托杨16井场工作人员进行管理，因此不涉及用水。</w:t>
            </w:r>
          </w:p>
          <w:p>
            <w:pPr>
              <w:spacing w:line="360" w:lineRule="auto"/>
              <w:rPr>
                <w:bCs/>
                <w:color w:val="auto"/>
                <w:sz w:val="24"/>
              </w:rPr>
            </w:pPr>
            <w:r>
              <w:rPr>
                <w:rFonts w:hint="eastAsia"/>
                <w:bCs/>
                <w:color w:val="auto"/>
                <w:sz w:val="24"/>
              </w:rPr>
              <w:t>7</w:t>
            </w:r>
            <w:r>
              <w:rPr>
                <w:bCs/>
                <w:color w:val="auto"/>
                <w:sz w:val="24"/>
              </w:rPr>
              <w:t>、劳动定员和工作制度</w:t>
            </w:r>
          </w:p>
          <w:p>
            <w:pPr>
              <w:adjustRightInd w:val="0"/>
              <w:snapToGrid w:val="0"/>
              <w:spacing w:line="360" w:lineRule="auto"/>
              <w:ind w:firstLine="480" w:firstLineChars="200"/>
              <w:rPr>
                <w:rFonts w:ascii="宋体" w:hAnsi="宋体" w:cs="宋体"/>
                <w:bCs/>
                <w:color w:val="auto"/>
                <w:sz w:val="24"/>
              </w:rPr>
            </w:pPr>
            <w:r>
              <w:rPr>
                <w:rFonts w:hint="eastAsia" w:ascii="宋体" w:hAnsi="宋体" w:cs="宋体"/>
                <w:bCs/>
                <w:color w:val="auto"/>
                <w:sz w:val="24"/>
              </w:rPr>
              <w:t>项目不设劳动定员，依托杨16井场工作人员进行管理，年工作365天</w:t>
            </w:r>
            <w:r>
              <w:rPr>
                <w:rFonts w:hint="eastAsia" w:ascii="宋体" w:hAnsi="宋体" w:cs="宋体"/>
                <w:bCs/>
                <w:color w:val="auto"/>
                <w:sz w:val="24"/>
                <w:lang w:eastAsia="zh-CN"/>
              </w:rPr>
              <w:t>，。</w:t>
            </w:r>
            <w:r>
              <w:rPr>
                <w:rFonts w:hint="eastAsia" w:ascii="宋体" w:hAnsi="宋体" w:cs="宋体"/>
                <w:bCs/>
                <w:color w:val="auto"/>
                <w:sz w:val="24"/>
                <w:lang w:val="en-US" w:eastAsia="zh-CN"/>
              </w:rPr>
              <w:t>每天只白天运输</w:t>
            </w:r>
            <w:r>
              <w:rPr>
                <w:rFonts w:hint="eastAsia" w:ascii="宋体" w:hAnsi="宋体" w:cs="宋体"/>
                <w:bCs/>
                <w:color w:val="auto"/>
                <w:sz w:val="24"/>
              </w:rPr>
              <w:t>。</w:t>
            </w:r>
          </w:p>
          <w:p>
            <w:pPr>
              <w:spacing w:line="360" w:lineRule="auto"/>
              <w:rPr>
                <w:bCs/>
                <w:color w:val="auto"/>
                <w:sz w:val="24"/>
              </w:rPr>
            </w:pPr>
            <w:r>
              <w:rPr>
                <w:rFonts w:hint="eastAsia"/>
                <w:bCs/>
                <w:color w:val="auto"/>
                <w:sz w:val="24"/>
              </w:rPr>
              <w:t>8、施工进度</w:t>
            </w:r>
          </w:p>
          <w:p>
            <w:pPr>
              <w:pStyle w:val="43"/>
              <w:ind w:firstLine="480"/>
              <w:rPr>
                <w:color w:val="auto"/>
              </w:rPr>
            </w:pPr>
            <w:r>
              <w:rPr>
                <w:rFonts w:hint="eastAsia"/>
                <w:color w:val="auto"/>
                <w:sz w:val="24"/>
              </w:rPr>
              <w:t>项目建设期为2</w:t>
            </w:r>
            <w:r>
              <w:rPr>
                <w:color w:val="auto"/>
                <w:sz w:val="24"/>
              </w:rPr>
              <w:t>02</w:t>
            </w:r>
            <w:r>
              <w:rPr>
                <w:rFonts w:hint="eastAsia"/>
                <w:color w:val="auto"/>
                <w:sz w:val="24"/>
              </w:rPr>
              <w:t>4年</w:t>
            </w:r>
            <w:r>
              <w:rPr>
                <w:rFonts w:hint="eastAsia"/>
                <w:color w:val="auto"/>
                <w:sz w:val="24"/>
                <w:lang w:val="en-US" w:eastAsia="zh-CN"/>
              </w:rPr>
              <w:t>3</w:t>
            </w:r>
            <w:r>
              <w:rPr>
                <w:rFonts w:hint="eastAsia"/>
                <w:color w:val="auto"/>
                <w:sz w:val="24"/>
              </w:rPr>
              <w:t>月至2</w:t>
            </w:r>
            <w:r>
              <w:rPr>
                <w:color w:val="auto"/>
                <w:sz w:val="24"/>
              </w:rPr>
              <w:t>02</w:t>
            </w:r>
            <w:r>
              <w:rPr>
                <w:rFonts w:hint="eastAsia"/>
                <w:color w:val="auto"/>
                <w:sz w:val="24"/>
              </w:rPr>
              <w:t>4年</w:t>
            </w:r>
            <w:r>
              <w:rPr>
                <w:rFonts w:hint="eastAsia"/>
                <w:color w:val="auto"/>
                <w:sz w:val="24"/>
                <w:lang w:val="en-US" w:eastAsia="zh-CN"/>
              </w:rPr>
              <w:t>5</w:t>
            </w:r>
            <w:r>
              <w:rPr>
                <w:rFonts w:hint="eastAsia"/>
                <w:color w:val="auto"/>
                <w:sz w:val="24"/>
              </w:rPr>
              <w:t>月，建设期共2个月。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709" w:hRule="atLeast"/>
          <w:jc w:val="center"/>
        </w:trPr>
        <w:tc>
          <w:tcPr>
            <w:tcW w:w="823" w:type="dxa"/>
            <w:vAlign w:val="center"/>
          </w:tcPr>
          <w:p>
            <w:pPr>
              <w:pStyle w:val="16"/>
              <w:adjustRightInd w:val="0"/>
              <w:snapToGrid w:val="0"/>
              <w:spacing w:before="0" w:beforeAutospacing="0" w:after="0" w:afterAutospacing="0"/>
              <w:jc w:val="center"/>
              <w:rPr>
                <w:rFonts w:cs="宋体"/>
                <w:color w:val="auto"/>
                <w:sz w:val="21"/>
                <w:szCs w:val="21"/>
              </w:rPr>
            </w:pPr>
            <w:r>
              <w:rPr>
                <w:rFonts w:hint="eastAsia" w:cs="宋体"/>
                <w:color w:val="auto"/>
                <w:sz w:val="24"/>
                <w:szCs w:val="24"/>
              </w:rPr>
              <w:t>工艺流程和产排污环节</w:t>
            </w:r>
          </w:p>
        </w:tc>
        <w:tc>
          <w:tcPr>
            <w:tcW w:w="8161" w:type="dxa"/>
          </w:tcPr>
          <w:p>
            <w:pPr>
              <w:pStyle w:val="3"/>
              <w:spacing w:before="0" w:after="0" w:line="360" w:lineRule="auto"/>
              <w:rPr>
                <w:rFonts w:ascii="Times New Roman" w:hAnsi="Times New Roman"/>
                <w:b w:val="0"/>
                <w:bCs w:val="0"/>
                <w:color w:val="auto"/>
                <w:sz w:val="24"/>
                <w:szCs w:val="28"/>
              </w:rPr>
            </w:pPr>
            <w:r>
              <w:rPr>
                <w:rFonts w:ascii="Times New Roman" w:hAnsi="Times New Roman"/>
                <w:b w:val="0"/>
                <w:bCs w:val="0"/>
                <w:color w:val="auto"/>
                <w:sz w:val="24"/>
                <w:szCs w:val="24"/>
              </w:rPr>
              <w:t>1、施工期</w:t>
            </w:r>
            <w:r>
              <w:rPr>
                <w:rFonts w:ascii="Times New Roman" w:hAnsi="Times New Roman"/>
                <w:b w:val="0"/>
                <w:bCs w:val="0"/>
                <w:color w:val="auto"/>
                <w:sz w:val="24"/>
                <w:szCs w:val="28"/>
              </w:rPr>
              <w:t>：</w:t>
            </w:r>
          </w:p>
          <w:p>
            <w:pPr>
              <w:pStyle w:val="43"/>
              <w:ind w:firstLine="480"/>
              <w:rPr>
                <w:color w:val="auto"/>
                <w:sz w:val="24"/>
              </w:rPr>
            </w:pPr>
            <w:r>
              <w:rPr>
                <w:rFonts w:hint="eastAsia"/>
                <w:color w:val="auto"/>
                <w:sz w:val="24"/>
              </w:rPr>
              <w:t>本项目施工期施工工艺流程及产污环节见图2</w:t>
            </w:r>
            <w:r>
              <w:rPr>
                <w:color w:val="auto"/>
                <w:sz w:val="24"/>
              </w:rPr>
              <w:t>-</w:t>
            </w:r>
            <w:r>
              <w:rPr>
                <w:rFonts w:hint="eastAsia"/>
                <w:color w:val="auto"/>
                <w:sz w:val="24"/>
                <w:lang w:val="en-US" w:eastAsia="zh-CN"/>
              </w:rPr>
              <w:t>5</w:t>
            </w:r>
            <w:r>
              <w:rPr>
                <w:rFonts w:hint="eastAsia"/>
                <w:color w:val="auto"/>
                <w:sz w:val="24"/>
              </w:rPr>
              <w:t>。</w:t>
            </w:r>
          </w:p>
          <w:p>
            <w:pPr>
              <w:pStyle w:val="43"/>
              <w:ind w:firstLine="420"/>
              <w:jc w:val="center"/>
              <w:rPr>
                <w:color w:val="auto"/>
              </w:rPr>
            </w:pPr>
            <w:r>
              <w:rPr>
                <w:color w:val="auto"/>
              </w:rPr>
              <w:drawing>
                <wp:inline distT="0" distB="0" distL="114300" distR="114300">
                  <wp:extent cx="4445635" cy="1153795"/>
                  <wp:effectExtent l="0" t="0" r="12065" b="825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4"/>
                          <a:stretch>
                            <a:fillRect/>
                          </a:stretch>
                        </pic:blipFill>
                        <pic:spPr>
                          <a:xfrm>
                            <a:off x="0" y="0"/>
                            <a:ext cx="4445635" cy="1153795"/>
                          </a:xfrm>
                          <a:prstGeom prst="rect">
                            <a:avLst/>
                          </a:prstGeom>
                          <a:noFill/>
                          <a:ln>
                            <a:noFill/>
                          </a:ln>
                        </pic:spPr>
                      </pic:pic>
                    </a:graphicData>
                  </a:graphic>
                </wp:inline>
              </w:drawing>
            </w:r>
          </w:p>
          <w:p>
            <w:pPr>
              <w:pStyle w:val="43"/>
              <w:ind w:firstLine="0" w:firstLineChars="0"/>
              <w:jc w:val="center"/>
              <w:rPr>
                <w:b/>
                <w:bCs/>
                <w:color w:val="auto"/>
                <w:szCs w:val="21"/>
              </w:rPr>
            </w:pPr>
            <w:r>
              <w:rPr>
                <w:rFonts w:hint="eastAsia"/>
                <w:b/>
                <w:bCs/>
                <w:color w:val="auto"/>
                <w:szCs w:val="21"/>
              </w:rPr>
              <w:t>图2</w:t>
            </w:r>
            <w:r>
              <w:rPr>
                <w:b/>
                <w:bCs/>
                <w:color w:val="auto"/>
                <w:szCs w:val="21"/>
              </w:rPr>
              <w:t>-</w:t>
            </w:r>
            <w:r>
              <w:rPr>
                <w:rFonts w:hint="eastAsia"/>
                <w:b/>
                <w:bCs/>
                <w:color w:val="auto"/>
                <w:szCs w:val="21"/>
                <w:lang w:val="en-US" w:eastAsia="zh-CN"/>
              </w:rPr>
              <w:t>5</w:t>
            </w:r>
            <w:r>
              <w:rPr>
                <w:b/>
                <w:bCs/>
                <w:color w:val="auto"/>
                <w:szCs w:val="21"/>
              </w:rPr>
              <w:t xml:space="preserve">  </w:t>
            </w:r>
            <w:r>
              <w:rPr>
                <w:rFonts w:hint="eastAsia"/>
                <w:b/>
                <w:bCs/>
                <w:color w:val="auto"/>
                <w:szCs w:val="21"/>
              </w:rPr>
              <w:t>施工期工艺流程及产污环节图</w:t>
            </w:r>
          </w:p>
          <w:p>
            <w:pPr>
              <w:pStyle w:val="18"/>
              <w:spacing w:after="0" w:line="360" w:lineRule="auto"/>
              <w:ind w:left="0" w:leftChars="0" w:firstLine="0" w:firstLineChars="0"/>
              <w:rPr>
                <w:color w:val="auto"/>
                <w:kern w:val="2"/>
                <w:szCs w:val="24"/>
              </w:rPr>
            </w:pPr>
            <w:r>
              <w:rPr>
                <w:rFonts w:hint="eastAsia"/>
                <w:color w:val="auto"/>
                <w:kern w:val="2"/>
                <w:szCs w:val="24"/>
              </w:rPr>
              <w:t>2、运营期</w:t>
            </w:r>
          </w:p>
          <w:p>
            <w:pPr>
              <w:spacing w:line="360" w:lineRule="auto"/>
              <w:ind w:firstLine="480" w:firstLineChars="200"/>
              <w:rPr>
                <w:color w:val="auto"/>
                <w:sz w:val="24"/>
              </w:rPr>
            </w:pPr>
            <w:r>
              <w:rPr>
                <w:color w:val="auto"/>
                <w:sz w:val="24"/>
              </w:rPr>
              <w:t>（1）</w:t>
            </w:r>
            <w:r>
              <w:rPr>
                <w:color w:val="auto"/>
                <w:sz w:val="24"/>
                <w:szCs w:val="28"/>
              </w:rPr>
              <w:t>工艺流程简述</w:t>
            </w:r>
          </w:p>
          <w:p>
            <w:pPr>
              <w:spacing w:line="360" w:lineRule="auto"/>
              <w:ind w:firstLine="480" w:firstLineChars="200"/>
              <w:rPr>
                <w:rFonts w:hint="eastAsia"/>
                <w:color w:val="auto"/>
                <w:sz w:val="24"/>
              </w:rPr>
            </w:pPr>
            <w:r>
              <w:rPr>
                <w:rFonts w:hint="eastAsia"/>
                <w:color w:val="auto"/>
                <w:sz w:val="24"/>
                <w:lang w:val="en-US" w:eastAsia="zh-CN"/>
              </w:rPr>
              <w:t>本项目仅收集</w:t>
            </w:r>
            <w:r>
              <w:rPr>
                <w:color w:val="auto"/>
                <w:sz w:val="24"/>
              </w:rPr>
              <w:t>各产油泥单元产生的</w:t>
            </w:r>
            <w:r>
              <w:rPr>
                <w:rFonts w:hint="eastAsia"/>
                <w:color w:val="auto"/>
                <w:sz w:val="24"/>
              </w:rPr>
              <w:t>落地油泥</w:t>
            </w:r>
            <w:r>
              <w:rPr>
                <w:rFonts w:hint="eastAsia"/>
                <w:color w:val="auto"/>
                <w:sz w:val="24"/>
                <w:lang w:eastAsia="zh-CN"/>
              </w:rPr>
              <w:t>，</w:t>
            </w:r>
            <w:r>
              <w:rPr>
                <w:rFonts w:hint="eastAsia"/>
                <w:color w:val="auto"/>
                <w:sz w:val="24"/>
                <w:lang w:val="en-US" w:eastAsia="zh-CN"/>
              </w:rPr>
              <w:t>不存在混装现象。落地油泥</w:t>
            </w:r>
            <w:r>
              <w:rPr>
                <w:color w:val="auto"/>
                <w:sz w:val="24"/>
              </w:rPr>
              <w:t>由工作人员及时收集至三层塑料包装袋密封包装后再装入</w:t>
            </w:r>
            <w:r>
              <w:rPr>
                <w:rFonts w:hint="eastAsia"/>
                <w:color w:val="auto"/>
                <w:sz w:val="24"/>
                <w:szCs w:val="32"/>
                <w:lang w:val="en-US" w:eastAsia="zh-CN"/>
              </w:rPr>
              <w:t>专用包装</w:t>
            </w:r>
            <w:r>
              <w:rPr>
                <w:rFonts w:hint="eastAsia"/>
                <w:color w:val="auto"/>
                <w:sz w:val="24"/>
                <w:szCs w:val="32"/>
              </w:rPr>
              <w:t>袋</w:t>
            </w:r>
            <w:r>
              <w:rPr>
                <w:rFonts w:hint="eastAsia"/>
                <w:color w:val="auto"/>
                <w:sz w:val="24"/>
              </w:rPr>
              <w:t>，</w:t>
            </w:r>
            <w:r>
              <w:rPr>
                <w:color w:val="auto"/>
                <w:sz w:val="24"/>
              </w:rPr>
              <w:t>采取人工密封方式，密封送往油泥暂存点贮存。</w:t>
            </w:r>
            <w:r>
              <w:rPr>
                <w:color w:val="auto"/>
                <w:sz w:val="24"/>
                <w:highlight w:val="none"/>
              </w:rPr>
              <w:t>项目</w:t>
            </w:r>
            <w:r>
              <w:rPr>
                <w:rFonts w:hint="eastAsia"/>
                <w:color w:val="auto"/>
                <w:sz w:val="24"/>
                <w:highlight w:val="none"/>
              </w:rPr>
              <w:t>落地油泥</w:t>
            </w:r>
            <w:r>
              <w:rPr>
                <w:color w:val="auto"/>
                <w:sz w:val="24"/>
                <w:highlight w:val="none"/>
              </w:rPr>
              <w:t>运输均由</w:t>
            </w:r>
            <w:r>
              <w:rPr>
                <w:rFonts w:hint="eastAsia" w:ascii="宋体" w:hAnsi="宋体" w:cs="宋体"/>
                <w:color w:val="auto"/>
                <w:sz w:val="24"/>
                <w:szCs w:val="24"/>
                <w:highlight w:val="none"/>
              </w:rPr>
              <w:t>专用车辆</w:t>
            </w:r>
            <w:r>
              <w:rPr>
                <w:color w:val="auto"/>
                <w:sz w:val="24"/>
                <w:highlight w:val="none"/>
              </w:rPr>
              <w:t>进行运输</w:t>
            </w:r>
            <w:r>
              <w:rPr>
                <w:color w:val="auto"/>
                <w:sz w:val="24"/>
              </w:rPr>
              <w:t>，</w:t>
            </w:r>
            <w:r>
              <w:rPr>
                <w:rFonts w:hint="eastAsia"/>
                <w:color w:val="auto"/>
                <w:sz w:val="24"/>
                <w:lang w:val="en-US" w:eastAsia="zh-CN"/>
              </w:rPr>
              <w:t>运输至油泥暂存间大门前，在装卸区域铺上防渗土工布后由人工进行装卸，防渗土工布用后收集至暂存间内。落地油泥由工作人员存放至暂存间时，按照顺序从暂存间左边向右依次堆放，堆放高度不超过1.5m以上。</w:t>
            </w:r>
            <w:r>
              <w:rPr>
                <w:rFonts w:hint="eastAsia"/>
                <w:color w:val="auto"/>
                <w:sz w:val="24"/>
              </w:rPr>
              <w:t>收集的油泥定期由有资质单位运输车辆拉走处理。</w:t>
            </w:r>
          </w:p>
          <w:p>
            <w:pPr>
              <w:spacing w:line="360" w:lineRule="auto"/>
              <w:ind w:firstLine="480" w:firstLineChars="200"/>
              <w:rPr>
                <w:color w:val="auto"/>
                <w:sz w:val="24"/>
              </w:rPr>
            </w:pPr>
            <w:r>
              <w:rPr>
                <w:rFonts w:hint="eastAsia"/>
                <w:color w:val="auto"/>
                <w:sz w:val="24"/>
              </w:rPr>
              <w:t>本项目暂存间至油泥处理站的运输过程由有危险废物运输资质的单位进行运输，</w:t>
            </w:r>
            <w:r>
              <w:rPr>
                <w:color w:val="auto"/>
                <w:sz w:val="24"/>
              </w:rPr>
              <w:t>运输车辆及暂存点内配备新的油泥包装袋，在运输、搬运、暂存过程中若发现包装袋破损，则将破损的油泥整袋装入新的包装袋中，有效防止油泥在运输、搬运和暂存过程中的撒漏情况。</w:t>
            </w:r>
          </w:p>
          <w:p>
            <w:pPr>
              <w:spacing w:line="360" w:lineRule="auto"/>
              <w:ind w:firstLine="480" w:firstLineChars="200"/>
              <w:rPr>
                <w:rFonts w:hint="eastAsia"/>
                <w:color w:val="auto"/>
                <w:sz w:val="24"/>
              </w:rPr>
            </w:pPr>
            <w:r>
              <w:rPr>
                <w:rFonts w:hint="eastAsia"/>
                <w:color w:val="auto"/>
                <w:sz w:val="24"/>
              </w:rPr>
              <w:t>根据建设单位制定的运行管理办法，</w:t>
            </w:r>
            <w:r>
              <w:rPr>
                <w:rFonts w:hint="eastAsia"/>
                <w:color w:val="auto"/>
                <w:sz w:val="24"/>
                <w:lang w:val="en-US" w:eastAsia="zh-CN"/>
              </w:rPr>
              <w:t>落地</w:t>
            </w:r>
            <w:r>
              <w:rPr>
                <w:rFonts w:hint="eastAsia"/>
                <w:color w:val="auto"/>
                <w:sz w:val="24"/>
              </w:rPr>
              <w:t>油泥暂存点接收固定井场的</w:t>
            </w:r>
            <w:r>
              <w:rPr>
                <w:rFonts w:hint="eastAsia"/>
                <w:color w:val="auto"/>
                <w:sz w:val="24"/>
                <w:lang w:val="en-US" w:eastAsia="zh-CN"/>
              </w:rPr>
              <w:t>落地</w:t>
            </w:r>
            <w:r>
              <w:rPr>
                <w:rFonts w:hint="eastAsia"/>
                <w:color w:val="auto"/>
                <w:sz w:val="24"/>
              </w:rPr>
              <w:t>油泥，不属于该暂存点接收范围内的</w:t>
            </w:r>
            <w:r>
              <w:rPr>
                <w:rFonts w:hint="eastAsia"/>
                <w:color w:val="auto"/>
                <w:sz w:val="24"/>
                <w:lang w:val="en-US" w:eastAsia="zh-CN"/>
              </w:rPr>
              <w:t>落地</w:t>
            </w:r>
            <w:r>
              <w:rPr>
                <w:rFonts w:hint="eastAsia"/>
                <w:color w:val="auto"/>
                <w:sz w:val="24"/>
              </w:rPr>
              <w:t>油泥禁止接收，同时</w:t>
            </w:r>
            <w:r>
              <w:rPr>
                <w:rFonts w:hint="eastAsia"/>
                <w:color w:val="auto"/>
                <w:sz w:val="24"/>
                <w:lang w:val="en-US" w:eastAsia="zh-CN"/>
              </w:rPr>
              <w:t>落地</w:t>
            </w:r>
            <w:r>
              <w:rPr>
                <w:rFonts w:hint="eastAsia"/>
                <w:color w:val="auto"/>
                <w:sz w:val="24"/>
              </w:rPr>
              <w:t>油泥暂存点设有</w:t>
            </w:r>
            <w:r>
              <w:rPr>
                <w:rFonts w:hint="eastAsia"/>
                <w:color w:val="auto"/>
                <w:sz w:val="24"/>
                <w:lang w:val="en-US" w:eastAsia="zh-CN"/>
              </w:rPr>
              <w:t>落地</w:t>
            </w:r>
            <w:r>
              <w:rPr>
                <w:rFonts w:hint="eastAsia"/>
                <w:color w:val="auto"/>
                <w:sz w:val="24"/>
              </w:rPr>
              <w:t>油泥接收、转运管理台账，对所有</w:t>
            </w:r>
            <w:r>
              <w:rPr>
                <w:rFonts w:hint="eastAsia"/>
                <w:color w:val="auto"/>
                <w:sz w:val="24"/>
                <w:lang w:val="en-US" w:eastAsia="zh-CN"/>
              </w:rPr>
              <w:t>落地油泥</w:t>
            </w:r>
            <w:r>
              <w:rPr>
                <w:rFonts w:hint="eastAsia"/>
                <w:color w:val="auto"/>
                <w:sz w:val="24"/>
              </w:rPr>
              <w:t>的来源、接收量、处置去向、处置量、时间等均进行记录。</w:t>
            </w:r>
          </w:p>
          <w:p>
            <w:pPr>
              <w:spacing w:line="360" w:lineRule="auto"/>
              <w:ind w:firstLine="480" w:firstLineChars="200"/>
              <w:rPr>
                <w:color w:val="auto"/>
              </w:rPr>
            </w:pPr>
            <w:r>
              <w:rPr>
                <w:rFonts w:hint="eastAsia"/>
                <w:color w:val="auto"/>
                <w:sz w:val="24"/>
              </w:rPr>
              <w:t>项目</w:t>
            </w:r>
            <w:r>
              <w:rPr>
                <w:color w:val="auto"/>
                <w:sz w:val="24"/>
              </w:rPr>
              <w:t>工艺流程及产污环节见图</w:t>
            </w:r>
            <w:r>
              <w:rPr>
                <w:rFonts w:hint="eastAsia"/>
                <w:color w:val="auto"/>
                <w:sz w:val="24"/>
              </w:rPr>
              <w:t>2-</w:t>
            </w:r>
            <w:r>
              <w:rPr>
                <w:rFonts w:hint="eastAsia"/>
                <w:color w:val="auto"/>
                <w:sz w:val="24"/>
                <w:lang w:val="en-US" w:eastAsia="zh-CN"/>
              </w:rPr>
              <w:t>6</w:t>
            </w:r>
            <w:r>
              <w:rPr>
                <w:color w:val="auto"/>
                <w:sz w:val="24"/>
              </w:rPr>
              <w:t>。</w:t>
            </w:r>
          </w:p>
          <w:p>
            <w:pPr>
              <w:rPr>
                <w:color w:val="auto"/>
              </w:rPr>
            </w:pPr>
            <w:r>
              <w:rPr>
                <w:color w:val="auto"/>
              </w:rPr>
              <w:drawing>
                <wp:inline distT="0" distB="0" distL="114300" distR="114300">
                  <wp:extent cx="5040630" cy="1333500"/>
                  <wp:effectExtent l="0" t="0" r="0" b="0"/>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5"/>
                          <a:stretch>
                            <a:fillRect/>
                          </a:stretch>
                        </pic:blipFill>
                        <pic:spPr>
                          <a:xfrm>
                            <a:off x="0" y="0"/>
                            <a:ext cx="5040630" cy="1333500"/>
                          </a:xfrm>
                          <a:prstGeom prst="rect">
                            <a:avLst/>
                          </a:prstGeom>
                          <a:noFill/>
                          <a:ln>
                            <a:noFill/>
                          </a:ln>
                        </pic:spPr>
                      </pic:pic>
                    </a:graphicData>
                  </a:graphic>
                </wp:inline>
              </w:drawing>
            </w:r>
          </w:p>
          <w:p>
            <w:pPr>
              <w:pStyle w:val="18"/>
              <w:ind w:firstLine="422"/>
              <w:jc w:val="center"/>
              <w:rPr>
                <w:rFonts w:ascii="宋体" w:hAnsi="宋体" w:cs="宋体"/>
                <w:color w:val="auto"/>
                <w:sz w:val="21"/>
                <w:szCs w:val="16"/>
              </w:rPr>
            </w:pPr>
            <w:r>
              <w:rPr>
                <w:rFonts w:hint="eastAsia" w:ascii="宋体" w:hAnsi="宋体" w:cs="宋体"/>
                <w:b/>
                <w:bCs/>
                <w:color w:val="auto"/>
                <w:sz w:val="21"/>
                <w:szCs w:val="18"/>
              </w:rPr>
              <w:t>图2-</w:t>
            </w:r>
            <w:r>
              <w:rPr>
                <w:rFonts w:hint="eastAsia" w:ascii="宋体" w:hAnsi="宋体" w:cs="宋体"/>
                <w:b/>
                <w:bCs/>
                <w:color w:val="auto"/>
                <w:sz w:val="21"/>
                <w:szCs w:val="18"/>
                <w:lang w:val="en-US" w:eastAsia="zh-CN"/>
              </w:rPr>
              <w:t>6</w:t>
            </w:r>
            <w:r>
              <w:rPr>
                <w:rFonts w:hint="eastAsia" w:ascii="宋体" w:hAnsi="宋体" w:cs="宋体"/>
                <w:b/>
                <w:bCs/>
                <w:color w:val="auto"/>
                <w:sz w:val="21"/>
                <w:szCs w:val="18"/>
              </w:rPr>
              <w:t xml:space="preserve">  本项目工艺流程及产污环节图</w:t>
            </w:r>
          </w:p>
          <w:p>
            <w:pPr>
              <w:pStyle w:val="43"/>
              <w:ind w:firstLine="480"/>
              <w:jc w:val="left"/>
              <w:rPr>
                <w:color w:val="auto"/>
                <w:sz w:val="24"/>
                <w:szCs w:val="28"/>
              </w:rPr>
            </w:pPr>
            <w:r>
              <w:rPr>
                <w:color w:val="auto"/>
                <w:sz w:val="24"/>
              </w:rPr>
              <w:t>（</w:t>
            </w:r>
            <w:r>
              <w:rPr>
                <w:rFonts w:hint="eastAsia"/>
                <w:color w:val="auto"/>
                <w:sz w:val="24"/>
              </w:rPr>
              <w:t>2</w:t>
            </w:r>
            <w:r>
              <w:rPr>
                <w:color w:val="auto"/>
                <w:sz w:val="24"/>
              </w:rPr>
              <w:t>）</w:t>
            </w:r>
            <w:r>
              <w:rPr>
                <w:rFonts w:hint="eastAsia"/>
                <w:color w:val="auto"/>
                <w:sz w:val="24"/>
                <w:szCs w:val="28"/>
              </w:rPr>
              <w:t>主要污染工序</w:t>
            </w:r>
          </w:p>
          <w:p>
            <w:pPr>
              <w:widowControl/>
              <w:spacing w:line="360" w:lineRule="auto"/>
              <w:ind w:firstLine="480" w:firstLineChars="200"/>
              <w:jc w:val="left"/>
              <w:rPr>
                <w:rFonts w:ascii="宋体" w:hAnsi="宋体" w:cs="宋体"/>
                <w:color w:val="auto"/>
                <w:kern w:val="0"/>
                <w:sz w:val="24"/>
                <w:lang w:bidi="ar"/>
              </w:rPr>
            </w:pPr>
            <w:r>
              <w:rPr>
                <w:rFonts w:hint="eastAsia" w:ascii="宋体" w:hAnsi="宋体" w:cs="宋体"/>
                <w:color w:val="auto"/>
                <w:kern w:val="0"/>
                <w:sz w:val="24"/>
                <w:lang w:bidi="ar"/>
              </w:rPr>
              <w:t>① 废气</w:t>
            </w:r>
          </w:p>
          <w:p>
            <w:pPr>
              <w:widowControl/>
              <w:spacing w:line="360" w:lineRule="auto"/>
              <w:ind w:firstLine="480" w:firstLineChars="200"/>
              <w:jc w:val="left"/>
              <w:rPr>
                <w:color w:val="auto"/>
                <w:sz w:val="24"/>
              </w:rPr>
            </w:pPr>
            <w:r>
              <w:rPr>
                <w:rFonts w:hint="eastAsia" w:ascii="宋体" w:hAnsi="宋体" w:cs="宋体"/>
                <w:color w:val="auto"/>
                <w:kern w:val="0"/>
                <w:sz w:val="24"/>
                <w:lang w:bidi="ar"/>
              </w:rPr>
              <w:t>本项目产生的废气主要为落地油泥在储存过程中产生少量非甲烷总烃。</w:t>
            </w:r>
          </w:p>
          <w:p>
            <w:pPr>
              <w:spacing w:line="360" w:lineRule="auto"/>
              <w:ind w:firstLine="480" w:firstLineChars="200"/>
              <w:rPr>
                <w:color w:val="auto"/>
                <w:sz w:val="24"/>
              </w:rPr>
            </w:pPr>
            <w:r>
              <w:rPr>
                <w:rFonts w:hint="eastAsia" w:ascii="宋体" w:hAnsi="宋体" w:cs="宋体"/>
                <w:color w:val="auto"/>
                <w:kern w:val="0"/>
                <w:sz w:val="24"/>
                <w:lang w:bidi="ar"/>
              </w:rPr>
              <w:t xml:space="preserve">② 废水 </w:t>
            </w:r>
          </w:p>
          <w:p>
            <w:pPr>
              <w:pStyle w:val="43"/>
              <w:ind w:firstLine="480"/>
              <w:rPr>
                <w:rFonts w:ascii="宋体" w:hAnsi="宋体" w:cs="宋体"/>
                <w:color w:val="auto"/>
                <w:kern w:val="0"/>
                <w:sz w:val="24"/>
                <w:lang w:bidi="ar"/>
              </w:rPr>
            </w:pPr>
            <w:r>
              <w:rPr>
                <w:rFonts w:ascii="宋体" w:hAnsi="宋体" w:cs="宋体"/>
                <w:color w:val="auto"/>
                <w:kern w:val="0"/>
                <w:sz w:val="24"/>
                <w:lang w:bidi="ar"/>
              </w:rPr>
              <w:t>本项目不产生废水。</w:t>
            </w:r>
            <w:r>
              <w:rPr>
                <w:rFonts w:hint="eastAsia" w:ascii="宋体" w:hAnsi="宋体" w:cs="宋体"/>
                <w:color w:val="auto"/>
                <w:kern w:val="0"/>
                <w:sz w:val="24"/>
                <w:lang w:bidi="ar"/>
              </w:rPr>
              <w:t>暂存</w:t>
            </w:r>
            <w:r>
              <w:rPr>
                <w:rFonts w:ascii="宋体" w:hAnsi="宋体" w:cs="宋体"/>
                <w:color w:val="auto"/>
                <w:kern w:val="0"/>
                <w:sz w:val="24"/>
                <w:lang w:bidi="ar"/>
              </w:rPr>
              <w:t>间内设有</w:t>
            </w:r>
            <w:r>
              <w:rPr>
                <w:rFonts w:hint="eastAsia" w:ascii="宋体" w:hAnsi="宋体" w:cs="宋体"/>
                <w:color w:val="auto"/>
                <w:kern w:val="0"/>
                <w:sz w:val="24"/>
                <w:lang w:bidi="ar"/>
              </w:rPr>
              <w:t>1.2</w:t>
            </w:r>
            <w:r>
              <w:rPr>
                <w:rFonts w:ascii="宋体" w:hAnsi="宋体" w:cs="宋体"/>
                <w:color w:val="auto"/>
                <w:kern w:val="0"/>
                <w:sz w:val="24"/>
                <w:lang w:bidi="ar"/>
              </w:rPr>
              <w:t>m×</w:t>
            </w:r>
            <w:r>
              <w:rPr>
                <w:rFonts w:hint="eastAsia" w:ascii="宋体" w:hAnsi="宋体" w:cs="宋体"/>
                <w:color w:val="auto"/>
                <w:kern w:val="0"/>
                <w:sz w:val="24"/>
                <w:lang w:bidi="ar"/>
              </w:rPr>
              <w:t>1.1</w:t>
            </w:r>
            <w:r>
              <w:rPr>
                <w:rFonts w:ascii="宋体" w:hAnsi="宋体" w:cs="宋体"/>
                <w:color w:val="auto"/>
                <w:kern w:val="0"/>
                <w:sz w:val="24"/>
                <w:lang w:bidi="ar"/>
              </w:rPr>
              <w:t>m×</w:t>
            </w:r>
            <w:r>
              <w:rPr>
                <w:rFonts w:hint="eastAsia" w:ascii="宋体" w:hAnsi="宋体" w:cs="宋体"/>
                <w:color w:val="auto"/>
                <w:kern w:val="0"/>
                <w:sz w:val="24"/>
                <w:lang w:bidi="ar"/>
              </w:rPr>
              <w:t>0.7</w:t>
            </w:r>
            <w:r>
              <w:rPr>
                <w:rFonts w:ascii="宋体" w:hAnsi="宋体" w:cs="宋体"/>
                <w:color w:val="auto"/>
                <w:kern w:val="0"/>
                <w:sz w:val="24"/>
                <w:lang w:bidi="ar"/>
              </w:rPr>
              <w:t>m的</w:t>
            </w:r>
            <w:r>
              <w:rPr>
                <w:rFonts w:hint="eastAsia" w:ascii="宋体" w:hAnsi="宋体" w:cs="宋体"/>
                <w:color w:val="auto"/>
                <w:kern w:val="0"/>
                <w:sz w:val="24"/>
                <w:lang w:bidi="ar"/>
              </w:rPr>
              <w:t>渗滤液收集池</w:t>
            </w:r>
            <w:r>
              <w:rPr>
                <w:rFonts w:ascii="宋体" w:hAnsi="宋体" w:cs="宋体"/>
                <w:color w:val="auto"/>
                <w:kern w:val="0"/>
                <w:sz w:val="24"/>
                <w:lang w:bidi="ar"/>
              </w:rPr>
              <w:t>，用</w:t>
            </w:r>
            <w:r>
              <w:rPr>
                <w:rFonts w:hint="eastAsia" w:ascii="宋体" w:hAnsi="宋体" w:cs="宋体"/>
                <w:color w:val="auto"/>
                <w:kern w:val="0"/>
                <w:sz w:val="24"/>
                <w:lang w:bidi="ar"/>
              </w:rPr>
              <w:t>于</w:t>
            </w:r>
            <w:r>
              <w:rPr>
                <w:rFonts w:ascii="宋体" w:hAnsi="宋体" w:cs="宋体"/>
                <w:color w:val="auto"/>
                <w:kern w:val="0"/>
                <w:sz w:val="24"/>
                <w:lang w:bidi="ar"/>
              </w:rPr>
              <w:t>收集储存过程中包装袋破损渗漏的油泥或渗滤液，收集后用油泥包装袋密封包装后与</w:t>
            </w:r>
            <w:r>
              <w:rPr>
                <w:rFonts w:hint="eastAsia" w:ascii="宋体" w:hAnsi="宋体" w:cs="宋体"/>
                <w:color w:val="auto"/>
                <w:kern w:val="0"/>
                <w:sz w:val="24"/>
                <w:lang w:bidi="ar"/>
              </w:rPr>
              <w:t>落地油泥</w:t>
            </w:r>
            <w:r>
              <w:rPr>
                <w:rFonts w:ascii="宋体" w:hAnsi="宋体" w:cs="宋体"/>
                <w:color w:val="auto"/>
                <w:kern w:val="0"/>
                <w:sz w:val="24"/>
                <w:lang w:bidi="ar"/>
              </w:rPr>
              <w:t>一起委</w:t>
            </w:r>
            <w:r>
              <w:rPr>
                <w:rFonts w:hint="eastAsia" w:ascii="宋体" w:hAnsi="宋体" w:cs="宋体"/>
                <w:color w:val="auto"/>
                <w:kern w:val="0"/>
                <w:sz w:val="24"/>
                <w:lang w:bidi="ar"/>
              </w:rPr>
              <w:t>托处置。</w:t>
            </w:r>
          </w:p>
          <w:p>
            <w:pPr>
              <w:pStyle w:val="43"/>
              <w:ind w:firstLine="480"/>
              <w:rPr>
                <w:rFonts w:ascii="宋体" w:hAnsi="宋体" w:cs="宋体"/>
                <w:color w:val="auto"/>
                <w:kern w:val="0"/>
                <w:sz w:val="24"/>
                <w:lang w:bidi="ar"/>
              </w:rPr>
            </w:pPr>
            <w:r>
              <w:rPr>
                <w:rFonts w:hint="eastAsia" w:ascii="宋体" w:hAnsi="宋体" w:cs="宋体"/>
                <w:color w:val="auto"/>
                <w:kern w:val="0"/>
                <w:sz w:val="24"/>
                <w:lang w:bidi="ar"/>
              </w:rPr>
              <w:t>③ 噪声</w:t>
            </w:r>
          </w:p>
          <w:p>
            <w:pPr>
              <w:spacing w:line="360" w:lineRule="auto"/>
              <w:ind w:firstLine="480" w:firstLineChars="200"/>
              <w:rPr>
                <w:rFonts w:ascii="宋体" w:hAnsi="宋体" w:cs="宋体"/>
                <w:color w:val="auto"/>
                <w:kern w:val="0"/>
                <w:sz w:val="24"/>
                <w:lang w:bidi="ar"/>
              </w:rPr>
            </w:pPr>
            <w:r>
              <w:rPr>
                <w:rFonts w:hint="eastAsia" w:ascii="宋体" w:hAnsi="宋体" w:cs="宋体"/>
                <w:color w:val="auto"/>
                <w:kern w:val="0"/>
                <w:sz w:val="24"/>
                <w:lang w:bidi="ar"/>
              </w:rPr>
              <w:t>本项目运营期噪声主要为运输车辆噪声，声源65-75dB（A）。</w:t>
            </w:r>
          </w:p>
          <w:p>
            <w:pPr>
              <w:pStyle w:val="43"/>
              <w:ind w:firstLine="480"/>
              <w:rPr>
                <w:rFonts w:ascii="宋体" w:hAnsi="宋体" w:cs="宋体"/>
                <w:color w:val="auto"/>
                <w:kern w:val="0"/>
                <w:sz w:val="24"/>
                <w:lang w:bidi="ar"/>
              </w:rPr>
            </w:pPr>
            <w:r>
              <w:rPr>
                <w:rFonts w:hint="eastAsia" w:ascii="宋体" w:hAnsi="宋体" w:cs="宋体"/>
                <w:color w:val="auto"/>
                <w:kern w:val="0"/>
                <w:sz w:val="24"/>
                <w:lang w:bidi="ar"/>
              </w:rPr>
              <w:t>④ 固废</w:t>
            </w:r>
          </w:p>
          <w:p>
            <w:pPr>
              <w:widowControl/>
              <w:spacing w:line="360" w:lineRule="auto"/>
              <w:ind w:firstLine="480" w:firstLineChars="200"/>
              <w:jc w:val="left"/>
              <w:rPr>
                <w:color w:val="auto"/>
              </w:rPr>
            </w:pPr>
            <w:r>
              <w:rPr>
                <w:rFonts w:hint="eastAsia" w:ascii="宋体" w:hAnsi="宋体" w:cs="宋体"/>
                <w:color w:val="auto"/>
                <w:kern w:val="0"/>
                <w:sz w:val="24"/>
                <w:lang w:bidi="ar"/>
              </w:rPr>
              <w:t>本项目危废暂存过程不产生固体废物，暂存的落地油泥</w:t>
            </w:r>
            <w:r>
              <w:rPr>
                <w:rFonts w:hint="eastAsia" w:ascii="宋体" w:hAnsi="宋体" w:cs="宋体"/>
                <w:color w:val="auto"/>
                <w:kern w:val="0"/>
                <w:sz w:val="24"/>
                <w:lang w:eastAsia="zh-CN" w:bidi="ar"/>
              </w:rPr>
              <w:t>、</w:t>
            </w:r>
            <w:r>
              <w:rPr>
                <w:rFonts w:hint="eastAsia" w:ascii="宋体" w:hAnsi="宋体" w:cs="宋体"/>
                <w:color w:val="auto"/>
                <w:kern w:val="0"/>
                <w:sz w:val="24"/>
                <w:lang w:val="en-US" w:eastAsia="zh-CN" w:bidi="ar"/>
              </w:rPr>
              <w:t>渗滤液</w:t>
            </w:r>
            <w:r>
              <w:rPr>
                <w:rFonts w:hint="eastAsia" w:ascii="宋体" w:hAnsi="宋体" w:cs="宋体"/>
                <w:color w:val="auto"/>
                <w:kern w:val="0"/>
                <w:sz w:val="24"/>
                <w:lang w:bidi="ar"/>
              </w:rPr>
              <w:t>及其包装物全部由有资质单位外运处置，不存在遗留。</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823" w:type="dxa"/>
            <w:vAlign w:val="center"/>
          </w:tcPr>
          <w:p>
            <w:pPr>
              <w:pStyle w:val="16"/>
              <w:adjustRightInd w:val="0"/>
              <w:snapToGrid w:val="0"/>
              <w:spacing w:before="0" w:beforeAutospacing="0" w:after="0" w:afterAutospacing="0"/>
              <w:jc w:val="center"/>
              <w:rPr>
                <w:rFonts w:cs="宋体"/>
                <w:color w:val="auto"/>
                <w:sz w:val="21"/>
                <w:szCs w:val="21"/>
              </w:rPr>
            </w:pPr>
            <w:r>
              <w:rPr>
                <w:rFonts w:hint="eastAsia" w:cs="宋体"/>
                <w:bCs/>
                <w:color w:val="auto"/>
                <w:kern w:val="2"/>
                <w:sz w:val="21"/>
                <w:szCs w:val="21"/>
              </w:rPr>
              <w:t>与项目有关的原有环境污染问题</w:t>
            </w:r>
          </w:p>
        </w:tc>
        <w:tc>
          <w:tcPr>
            <w:tcW w:w="8161" w:type="dxa"/>
          </w:tcPr>
          <w:p>
            <w:pPr>
              <w:keepNext w:val="0"/>
              <w:keepLines w:val="0"/>
              <w:pageBreakBefore w:val="0"/>
              <w:widowControl w:val="0"/>
              <w:kinsoku/>
              <w:wordWrap/>
              <w:overflowPunct/>
              <w:topLinePunct w:val="0"/>
              <w:autoSpaceDE/>
              <w:autoSpaceDN/>
              <w:bidi w:val="0"/>
              <w:adjustRightInd/>
              <w:snapToGrid w:val="0"/>
              <w:spacing w:before="157" w:beforeLines="50" w:line="360" w:lineRule="auto"/>
              <w:jc w:val="left"/>
              <w:textAlignment w:val="auto"/>
              <w:rPr>
                <w:color w:val="auto"/>
                <w:sz w:val="24"/>
                <w:szCs w:val="32"/>
              </w:rPr>
            </w:pPr>
            <w:r>
              <w:rPr>
                <w:rFonts w:hint="eastAsia"/>
                <w:color w:val="auto"/>
                <w:sz w:val="24"/>
                <w:szCs w:val="32"/>
              </w:rPr>
              <w:t>1、</w:t>
            </w:r>
            <w:r>
              <w:rPr>
                <w:color w:val="auto"/>
                <w:sz w:val="24"/>
                <w:szCs w:val="32"/>
              </w:rPr>
              <w:t>现有工程环保工作回顾</w:t>
            </w:r>
          </w:p>
          <w:p>
            <w:pPr>
              <w:spacing w:line="360" w:lineRule="auto"/>
              <w:ind w:firstLine="480" w:firstLineChars="200"/>
              <w:rPr>
                <w:color w:val="auto"/>
                <w:sz w:val="24"/>
                <w:szCs w:val="32"/>
              </w:rPr>
            </w:pPr>
            <w:r>
              <w:rPr>
                <w:rFonts w:hint="eastAsia"/>
                <w:color w:val="auto"/>
                <w:sz w:val="24"/>
                <w:szCs w:val="32"/>
              </w:rPr>
              <w:t>本项目为新建项目，项目占地为杨18井场内，劳动定员依托杨16井场工作人员进行管理。</w:t>
            </w:r>
          </w:p>
          <w:p>
            <w:pPr>
              <w:spacing w:line="360" w:lineRule="auto"/>
              <w:ind w:firstLine="480" w:firstLineChars="200"/>
              <w:rPr>
                <w:color w:val="auto"/>
                <w:sz w:val="24"/>
                <w:szCs w:val="32"/>
              </w:rPr>
            </w:pPr>
            <w:r>
              <w:rPr>
                <w:rFonts w:hint="eastAsia"/>
                <w:color w:val="auto"/>
                <w:sz w:val="24"/>
                <w:szCs w:val="32"/>
              </w:rPr>
              <w:t>杨18井场位于陕西省榆林市靖边县小河镇巨浪村，采油井2口，占地面积3500</w:t>
            </w:r>
            <w:r>
              <w:rPr>
                <w:color w:val="auto"/>
                <w:sz w:val="24"/>
                <w:szCs w:val="32"/>
              </w:rPr>
              <w:t>m</w:t>
            </w:r>
            <w:r>
              <w:rPr>
                <w:color w:val="auto"/>
                <w:sz w:val="24"/>
                <w:szCs w:val="32"/>
                <w:vertAlign w:val="superscript"/>
              </w:rPr>
              <w:t>2</w:t>
            </w:r>
            <w:r>
              <w:rPr>
                <w:rFonts w:hint="eastAsia"/>
                <w:color w:val="auto"/>
                <w:sz w:val="24"/>
                <w:szCs w:val="32"/>
              </w:rPr>
              <w:t>，目前站</w:t>
            </w:r>
            <w:r>
              <w:rPr>
                <w:color w:val="auto"/>
                <w:sz w:val="24"/>
                <w:szCs w:val="32"/>
              </w:rPr>
              <w:t>内</w:t>
            </w:r>
            <w:r>
              <w:rPr>
                <w:rFonts w:hint="eastAsia"/>
                <w:color w:val="auto"/>
                <w:sz w:val="24"/>
                <w:szCs w:val="32"/>
              </w:rPr>
              <w:t>井场边界建有围栏，井场内配套截排水沟、导游槽、污油池和雨水蒸发池。</w:t>
            </w:r>
            <w:r>
              <w:rPr>
                <w:color w:val="auto"/>
                <w:sz w:val="24"/>
              </w:rPr>
              <w:t>运行期不设值班人员，只设定期巡查人员。</w:t>
            </w:r>
          </w:p>
          <w:p>
            <w:pPr>
              <w:pStyle w:val="4"/>
              <w:spacing w:before="0" w:after="0" w:line="360" w:lineRule="auto"/>
              <w:ind w:firstLine="480" w:firstLineChars="200"/>
              <w:rPr>
                <w:b w:val="0"/>
                <w:bCs w:val="0"/>
                <w:color w:val="auto"/>
                <w:sz w:val="24"/>
              </w:rPr>
            </w:pPr>
            <w:r>
              <w:rPr>
                <w:rFonts w:hint="eastAsia"/>
                <w:b w:val="0"/>
                <w:bCs w:val="0"/>
                <w:color w:val="auto"/>
                <w:sz w:val="24"/>
              </w:rPr>
              <w:t>杨18井场于2007年6月由西安地质矿产研究所编制完成了《长庆石油勘探开发小河与陇东项目经理部杨18#油井建设工程环境影响报告表》，于2007年12月取得靖边县环境保护局批复(批复文号：靖环发[2007]33号)。</w:t>
            </w:r>
          </w:p>
          <w:p>
            <w:pPr>
              <w:pStyle w:val="43"/>
              <w:ind w:firstLine="0" w:firstLineChars="0"/>
              <w:rPr>
                <w:color w:val="auto"/>
                <w:sz w:val="24"/>
              </w:rPr>
            </w:pPr>
            <w:r>
              <w:rPr>
                <w:rFonts w:hint="eastAsia"/>
                <w:color w:val="auto"/>
                <w:sz w:val="24"/>
              </w:rPr>
              <w:t>2、现有工程污染物排放情况</w:t>
            </w:r>
          </w:p>
          <w:p>
            <w:pPr>
              <w:pStyle w:val="43"/>
              <w:ind w:firstLine="480"/>
              <w:rPr>
                <w:rFonts w:ascii="宋体" w:hAnsi="宋体"/>
                <w:color w:val="auto"/>
                <w:sz w:val="24"/>
              </w:rPr>
            </w:pPr>
            <w:r>
              <w:rPr>
                <w:rFonts w:hint="eastAsia" w:ascii="宋体" w:hAnsi="宋体"/>
                <w:color w:val="auto"/>
                <w:sz w:val="24"/>
              </w:rPr>
              <w:t>（</w:t>
            </w:r>
            <w:r>
              <w:rPr>
                <w:color w:val="auto"/>
                <w:sz w:val="24"/>
              </w:rPr>
              <w:t>1</w:t>
            </w:r>
            <w:r>
              <w:rPr>
                <w:rFonts w:hint="eastAsia" w:ascii="宋体" w:hAnsi="宋体"/>
                <w:color w:val="auto"/>
                <w:sz w:val="24"/>
              </w:rPr>
              <w:t>）废气</w:t>
            </w:r>
          </w:p>
          <w:p>
            <w:pPr>
              <w:adjustRightInd w:val="0"/>
              <w:snapToGrid w:val="0"/>
              <w:spacing w:line="360" w:lineRule="auto"/>
              <w:ind w:firstLine="480" w:firstLineChars="200"/>
              <w:rPr>
                <w:rFonts w:hint="eastAsia"/>
                <w:bCs/>
                <w:color w:val="auto"/>
                <w:sz w:val="24"/>
                <w:lang w:eastAsia="zh-CN"/>
              </w:rPr>
            </w:pPr>
            <w:r>
              <w:rPr>
                <w:rFonts w:hint="eastAsia"/>
                <w:bCs/>
                <w:color w:val="auto"/>
                <w:sz w:val="24"/>
              </w:rPr>
              <w:t>运营</w:t>
            </w:r>
            <w:r>
              <w:rPr>
                <w:bCs/>
                <w:color w:val="auto"/>
                <w:sz w:val="24"/>
              </w:rPr>
              <w:t>期对环境的影响因素主要是采油</w:t>
            </w:r>
            <w:r>
              <w:rPr>
                <w:rFonts w:hint="eastAsia"/>
                <w:bCs/>
                <w:color w:val="auto"/>
                <w:sz w:val="24"/>
              </w:rPr>
              <w:t>井场无组织</w:t>
            </w:r>
            <w:r>
              <w:rPr>
                <w:bCs/>
                <w:color w:val="auto"/>
                <w:sz w:val="24"/>
              </w:rPr>
              <w:t>挥发的少量</w:t>
            </w:r>
            <w:r>
              <w:rPr>
                <w:rFonts w:hint="eastAsia"/>
                <w:bCs/>
                <w:color w:val="auto"/>
                <w:sz w:val="24"/>
              </w:rPr>
              <w:t>非甲烷总烃。本项目采用原油密闭处理技术，油气损耗极小，无组织烃类气体排放量很小。站场生产装置区的无组织烃类气体排放主要来自于泵、阀门、法兰等设备动静密封点泄漏。参照《石油化工行业 VOCs污染源排查工作指南》附录中密封点排放速率核算方法，</w:t>
            </w:r>
            <w:r>
              <w:rPr>
                <w:rFonts w:hint="eastAsia"/>
                <w:bCs/>
                <w:color w:val="auto"/>
                <w:sz w:val="24"/>
                <w:lang w:val="en-US" w:eastAsia="zh-CN"/>
              </w:rPr>
              <w:t>杨18井场原油产量约0.8t/d，</w:t>
            </w:r>
            <w:r>
              <w:rPr>
                <w:rFonts w:hint="eastAsia"/>
                <w:bCs/>
                <w:color w:val="auto"/>
                <w:sz w:val="24"/>
              </w:rPr>
              <w:t>则本项目运营期烃类气体损耗量约0.</w:t>
            </w:r>
            <w:r>
              <w:rPr>
                <w:rFonts w:hint="eastAsia"/>
                <w:bCs/>
                <w:color w:val="auto"/>
                <w:sz w:val="24"/>
                <w:lang w:val="en-US" w:eastAsia="zh-CN"/>
              </w:rPr>
              <w:t>08</w:t>
            </w:r>
            <w:r>
              <w:rPr>
                <w:rFonts w:hint="eastAsia"/>
                <w:bCs/>
                <w:color w:val="auto"/>
                <w:sz w:val="24"/>
              </w:rPr>
              <w:t>t/a。</w:t>
            </w:r>
          </w:p>
          <w:p>
            <w:pPr>
              <w:adjustRightInd w:val="0"/>
              <w:snapToGrid w:val="0"/>
              <w:spacing w:line="360" w:lineRule="auto"/>
              <w:ind w:firstLine="420" w:firstLineChars="200"/>
              <w:jc w:val="center"/>
              <w:rPr>
                <w:color w:val="auto"/>
              </w:rPr>
            </w:pPr>
            <w:r>
              <w:rPr>
                <w:color w:val="auto"/>
              </w:rPr>
              <w:drawing>
                <wp:inline distT="0" distB="0" distL="114300" distR="114300">
                  <wp:extent cx="1809750" cy="438150"/>
                  <wp:effectExtent l="0" t="0" r="0" b="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6"/>
                          <a:stretch>
                            <a:fillRect/>
                          </a:stretch>
                        </pic:blipFill>
                        <pic:spPr>
                          <a:xfrm>
                            <a:off x="0" y="0"/>
                            <a:ext cx="1809750" cy="438150"/>
                          </a:xfrm>
                          <a:prstGeom prst="rect">
                            <a:avLst/>
                          </a:prstGeom>
                          <a:noFill/>
                          <a:ln>
                            <a:noFill/>
                          </a:ln>
                        </pic:spPr>
                      </pic:pic>
                    </a:graphicData>
                  </a:graphic>
                </wp:inline>
              </w:drawing>
            </w:r>
          </w:p>
          <w:p>
            <w:pPr>
              <w:adjustRightInd w:val="0"/>
              <w:snapToGrid w:val="0"/>
              <w:spacing w:line="360" w:lineRule="auto"/>
              <w:ind w:firstLine="480" w:firstLineChars="200"/>
              <w:rPr>
                <w:rFonts w:hint="eastAsia"/>
                <w:bCs/>
                <w:color w:val="auto"/>
                <w:sz w:val="24"/>
                <w:lang w:val="en-US" w:eastAsia="zh-CN"/>
              </w:rPr>
            </w:pPr>
            <w:r>
              <w:rPr>
                <w:rFonts w:hint="eastAsia"/>
                <w:bCs/>
                <w:color w:val="auto"/>
                <w:sz w:val="24"/>
                <w:lang w:val="en-US" w:eastAsia="zh-CN"/>
              </w:rPr>
              <w:t>式中：eTOC—密封点的 TOC 排放速率，千克/小时；</w:t>
            </w:r>
          </w:p>
          <w:p>
            <w:pPr>
              <w:adjustRightInd w:val="0"/>
              <w:snapToGrid w:val="0"/>
              <w:spacing w:line="360" w:lineRule="auto"/>
              <w:ind w:firstLine="480" w:firstLineChars="200"/>
              <w:rPr>
                <w:rFonts w:hint="eastAsia"/>
                <w:bCs/>
                <w:color w:val="auto"/>
                <w:sz w:val="24"/>
                <w:lang w:val="en-US" w:eastAsia="zh-CN"/>
              </w:rPr>
            </w:pPr>
            <w:r>
              <w:rPr>
                <w:rFonts w:hint="eastAsia"/>
                <w:bCs/>
                <w:color w:val="auto"/>
                <w:sz w:val="24"/>
                <w:lang w:val="en-US" w:eastAsia="zh-CN"/>
              </w:rPr>
              <w:t>FA,i—密封点 i 排放系数，千克/（小时·排放源），密封点中阀门的排放系数取0.00023kg/h，法兰、连接件的排放系数取0.00183kg/h；</w:t>
            </w:r>
          </w:p>
          <w:p>
            <w:pPr>
              <w:adjustRightInd w:val="0"/>
              <w:snapToGrid w:val="0"/>
              <w:spacing w:line="360" w:lineRule="auto"/>
              <w:ind w:firstLine="480" w:firstLineChars="200"/>
              <w:rPr>
                <w:rFonts w:hint="eastAsia"/>
                <w:bCs/>
                <w:color w:val="auto"/>
                <w:sz w:val="24"/>
                <w:lang w:val="en-US" w:eastAsia="zh-CN"/>
              </w:rPr>
            </w:pPr>
            <w:r>
              <w:rPr>
                <w:rFonts w:hint="eastAsia"/>
                <w:bCs/>
                <w:color w:val="auto"/>
                <w:sz w:val="24"/>
                <w:lang w:val="en-US" w:eastAsia="zh-CN"/>
              </w:rPr>
              <w:t>WFTOC—流经密封点i的物料中TOC的平均质量分数（本项目按 100%计算）；</w:t>
            </w:r>
          </w:p>
          <w:p>
            <w:pPr>
              <w:adjustRightInd w:val="0"/>
              <w:snapToGrid w:val="0"/>
              <w:spacing w:line="360" w:lineRule="auto"/>
              <w:ind w:firstLine="480" w:firstLineChars="200"/>
              <w:rPr>
                <w:rFonts w:hint="eastAsia"/>
                <w:bCs/>
                <w:color w:val="auto"/>
                <w:sz w:val="24"/>
                <w:lang w:val="en-US" w:eastAsia="zh-CN"/>
              </w:rPr>
            </w:pPr>
            <w:r>
              <w:rPr>
                <w:rFonts w:hint="eastAsia"/>
                <w:bCs/>
                <w:color w:val="auto"/>
                <w:sz w:val="24"/>
                <w:lang w:val="en-US" w:eastAsia="zh-CN"/>
              </w:rPr>
              <w:t>Ni—密封点 i 的个数。</w:t>
            </w:r>
          </w:p>
          <w:p>
            <w:pPr>
              <w:adjustRightInd w:val="0"/>
              <w:snapToGrid w:val="0"/>
              <w:spacing w:line="360" w:lineRule="auto"/>
              <w:ind w:firstLine="480" w:firstLineChars="200"/>
              <w:rPr>
                <w:rFonts w:hint="eastAsia"/>
                <w:bCs/>
                <w:color w:val="auto"/>
                <w:sz w:val="24"/>
              </w:rPr>
            </w:pPr>
            <w:r>
              <w:rPr>
                <w:rFonts w:hint="eastAsia"/>
                <w:bCs/>
                <w:color w:val="auto"/>
                <w:sz w:val="24"/>
                <w:lang w:val="en-US" w:eastAsia="zh-CN"/>
              </w:rPr>
              <w:t>同时，</w:t>
            </w:r>
            <w:r>
              <w:rPr>
                <w:rFonts w:hint="eastAsia"/>
                <w:bCs/>
                <w:color w:val="auto"/>
                <w:sz w:val="24"/>
              </w:rPr>
              <w:t>根据</w:t>
            </w:r>
            <w:r>
              <w:rPr>
                <w:rFonts w:hint="eastAsia"/>
                <w:color w:val="auto"/>
                <w:sz w:val="24"/>
              </w:rPr>
              <w:t>2023年11月</w:t>
            </w:r>
            <w:r>
              <w:rPr>
                <w:rFonts w:hint="eastAsia"/>
                <w:color w:val="auto"/>
                <w:sz w:val="24"/>
                <w:lang w:val="en-US" w:eastAsia="zh-CN"/>
              </w:rPr>
              <w:t>24</w:t>
            </w:r>
            <w:r>
              <w:rPr>
                <w:rFonts w:hint="eastAsia"/>
                <w:color w:val="auto"/>
                <w:sz w:val="24"/>
              </w:rPr>
              <w:t>日</w:t>
            </w:r>
            <w:r>
              <w:rPr>
                <w:rFonts w:hint="eastAsia" w:ascii="宋体" w:hAnsi="宋体" w:cs="宋体"/>
                <w:color w:val="auto"/>
                <w:sz w:val="24"/>
              </w:rPr>
              <w:t>～</w:t>
            </w:r>
            <w:r>
              <w:rPr>
                <w:rFonts w:hint="eastAsia"/>
                <w:color w:val="auto"/>
                <w:sz w:val="24"/>
              </w:rPr>
              <w:t>2023年11月</w:t>
            </w:r>
            <w:r>
              <w:rPr>
                <w:rFonts w:hint="eastAsia"/>
                <w:color w:val="auto"/>
                <w:sz w:val="24"/>
                <w:lang w:val="en-US" w:eastAsia="zh-CN"/>
              </w:rPr>
              <w:t>25</w:t>
            </w:r>
            <w:r>
              <w:rPr>
                <w:rFonts w:hint="eastAsia"/>
                <w:color w:val="auto"/>
                <w:sz w:val="24"/>
              </w:rPr>
              <w:t>日陕西精棣环境检测有限公司对杨18井场无组织废气的监测结果（见表</w:t>
            </w:r>
            <w:r>
              <w:rPr>
                <w:rFonts w:hint="eastAsia"/>
                <w:color w:val="auto"/>
                <w:sz w:val="24"/>
                <w:lang w:val="en-US" w:eastAsia="zh-CN"/>
              </w:rPr>
              <w:t>2-4</w:t>
            </w:r>
            <w:r>
              <w:rPr>
                <w:rFonts w:hint="eastAsia"/>
                <w:color w:val="auto"/>
                <w:sz w:val="24"/>
              </w:rPr>
              <w:t>）</w:t>
            </w:r>
            <w:r>
              <w:rPr>
                <w:rFonts w:hint="eastAsia"/>
                <w:bCs/>
                <w:color w:val="auto"/>
                <w:sz w:val="24"/>
              </w:rPr>
              <w:t>。</w:t>
            </w:r>
          </w:p>
          <w:p>
            <w:pPr>
              <w:pStyle w:val="47"/>
              <w:spacing w:line="240" w:lineRule="auto"/>
              <w:ind w:firstLine="442"/>
              <w:rPr>
                <w:rFonts w:hint="eastAsia"/>
                <w:b/>
                <w:bCs/>
                <w:color w:val="auto"/>
                <w:sz w:val="22"/>
                <w:szCs w:val="22"/>
              </w:rPr>
            </w:pPr>
            <w:r>
              <w:rPr>
                <w:rFonts w:hint="eastAsia"/>
                <w:b/>
                <w:bCs/>
                <w:color w:val="auto"/>
                <w:sz w:val="22"/>
                <w:szCs w:val="22"/>
              </w:rPr>
              <w:t>表2-</w:t>
            </w:r>
            <w:r>
              <w:rPr>
                <w:rFonts w:hint="eastAsia"/>
                <w:b/>
                <w:bCs/>
                <w:color w:val="auto"/>
                <w:sz w:val="22"/>
                <w:szCs w:val="22"/>
                <w:lang w:val="en-US" w:eastAsia="zh-CN"/>
              </w:rPr>
              <w:t>4</w:t>
            </w:r>
            <w:r>
              <w:rPr>
                <w:rFonts w:hint="eastAsia"/>
                <w:b/>
                <w:bCs/>
                <w:color w:val="auto"/>
                <w:sz w:val="22"/>
                <w:szCs w:val="22"/>
              </w:rPr>
              <w:t xml:space="preserve">  </w:t>
            </w:r>
            <w:r>
              <w:rPr>
                <w:b/>
                <w:bCs/>
                <w:color w:val="auto"/>
                <w:sz w:val="22"/>
                <w:szCs w:val="22"/>
              </w:rPr>
              <w:t xml:space="preserve">                   </w:t>
            </w:r>
            <w:r>
              <w:rPr>
                <w:rFonts w:hint="eastAsia"/>
                <w:b/>
                <w:bCs/>
                <w:color w:val="auto"/>
                <w:sz w:val="22"/>
                <w:szCs w:val="22"/>
              </w:rPr>
              <w:t>无组织废气监测结果</w:t>
            </w:r>
          </w:p>
          <w:tbl>
            <w:tblPr>
              <w:tblStyle w:val="19"/>
              <w:tblW w:w="777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4"/>
              <w:gridCol w:w="1167"/>
              <w:gridCol w:w="1259"/>
              <w:gridCol w:w="1039"/>
              <w:gridCol w:w="1237"/>
              <w:gridCol w:w="1214"/>
              <w:gridCol w:w="9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trPr>
              <w:tc>
                <w:tcPr>
                  <w:tcW w:w="954" w:type="dxa"/>
                  <w:vMerge w:val="restart"/>
                  <w:noWrap w:val="0"/>
                  <w:vAlign w:val="center"/>
                </w:tcPr>
                <w:p>
                  <w:pPr>
                    <w:snapToGrid w:val="0"/>
                    <w:jc w:val="center"/>
                    <w:rPr>
                      <w:bCs/>
                      <w:color w:val="auto"/>
                      <w:szCs w:val="21"/>
                    </w:rPr>
                  </w:pPr>
                  <w:r>
                    <w:rPr>
                      <w:rFonts w:hint="eastAsia"/>
                      <w:bCs/>
                      <w:color w:val="auto"/>
                      <w:szCs w:val="21"/>
                    </w:rPr>
                    <w:t>检测日期</w:t>
                  </w:r>
                </w:p>
              </w:tc>
              <w:tc>
                <w:tcPr>
                  <w:tcW w:w="1167" w:type="dxa"/>
                  <w:vMerge w:val="restart"/>
                  <w:noWrap w:val="0"/>
                  <w:vAlign w:val="center"/>
                </w:tcPr>
                <w:p>
                  <w:pPr>
                    <w:snapToGrid w:val="0"/>
                    <w:jc w:val="center"/>
                    <w:rPr>
                      <w:bCs/>
                      <w:color w:val="auto"/>
                      <w:szCs w:val="21"/>
                    </w:rPr>
                  </w:pPr>
                  <w:r>
                    <w:rPr>
                      <w:rFonts w:hint="eastAsia"/>
                      <w:bCs/>
                      <w:color w:val="auto"/>
                      <w:szCs w:val="21"/>
                    </w:rPr>
                    <w:t>检测点位</w:t>
                  </w:r>
                </w:p>
              </w:tc>
              <w:tc>
                <w:tcPr>
                  <w:tcW w:w="1259" w:type="dxa"/>
                  <w:vMerge w:val="restart"/>
                  <w:noWrap w:val="0"/>
                  <w:vAlign w:val="center"/>
                </w:tcPr>
                <w:p>
                  <w:pPr>
                    <w:snapToGrid w:val="0"/>
                    <w:jc w:val="center"/>
                    <w:rPr>
                      <w:rFonts w:hint="eastAsia"/>
                      <w:bCs/>
                      <w:color w:val="auto"/>
                      <w:szCs w:val="21"/>
                    </w:rPr>
                  </w:pPr>
                  <w:r>
                    <w:rPr>
                      <w:rFonts w:hint="eastAsia"/>
                      <w:bCs/>
                      <w:color w:val="auto"/>
                      <w:szCs w:val="21"/>
                    </w:rPr>
                    <w:t>检测项目</w:t>
                  </w:r>
                </w:p>
              </w:tc>
              <w:tc>
                <w:tcPr>
                  <w:tcW w:w="3490" w:type="dxa"/>
                  <w:gridSpan w:val="3"/>
                  <w:noWrap w:val="0"/>
                  <w:vAlign w:val="center"/>
                </w:tcPr>
                <w:p>
                  <w:pPr>
                    <w:pStyle w:val="47"/>
                    <w:spacing w:line="240" w:lineRule="auto"/>
                    <w:ind w:firstLine="0" w:firstLineChars="0"/>
                    <w:jc w:val="center"/>
                    <w:rPr>
                      <w:color w:val="auto"/>
                      <w:sz w:val="22"/>
                      <w:szCs w:val="22"/>
                    </w:rPr>
                  </w:pPr>
                  <w:r>
                    <w:rPr>
                      <w:rFonts w:hint="eastAsia"/>
                      <w:color w:val="auto"/>
                      <w:szCs w:val="21"/>
                    </w:rPr>
                    <w:t>检测结果</w:t>
                  </w:r>
                  <w:r>
                    <w:rPr>
                      <w:rFonts w:hint="eastAsia"/>
                      <w:color w:val="auto"/>
                      <w:kern w:val="0"/>
                      <w:szCs w:val="21"/>
                      <w:lang w:bidi="ar"/>
                    </w:rPr>
                    <w:t>（</w:t>
                  </w:r>
                  <w:r>
                    <w:rPr>
                      <w:color w:val="auto"/>
                      <w:kern w:val="0"/>
                      <w:szCs w:val="21"/>
                      <w:lang w:bidi="ar"/>
                    </w:rPr>
                    <w:t>mg/m</w:t>
                  </w:r>
                  <w:r>
                    <w:rPr>
                      <w:color w:val="auto"/>
                      <w:kern w:val="0"/>
                      <w:szCs w:val="21"/>
                      <w:vertAlign w:val="superscript"/>
                      <w:lang w:bidi="ar"/>
                    </w:rPr>
                    <w:t>3</w:t>
                  </w:r>
                  <w:r>
                    <w:rPr>
                      <w:rFonts w:hint="eastAsia"/>
                      <w:color w:val="auto"/>
                      <w:kern w:val="0"/>
                      <w:szCs w:val="21"/>
                      <w:lang w:bidi="ar"/>
                    </w:rPr>
                    <w:t>）</w:t>
                  </w:r>
                </w:p>
              </w:tc>
              <w:tc>
                <w:tcPr>
                  <w:tcW w:w="908" w:type="dxa"/>
                  <w:vMerge w:val="restart"/>
                  <w:noWrap w:val="0"/>
                  <w:vAlign w:val="center"/>
                </w:tcPr>
                <w:p>
                  <w:pPr>
                    <w:pStyle w:val="47"/>
                    <w:spacing w:line="240" w:lineRule="auto"/>
                    <w:ind w:firstLine="0" w:firstLineChars="0"/>
                    <w:jc w:val="center"/>
                    <w:rPr>
                      <w:rFonts w:hint="eastAsia"/>
                      <w:color w:val="auto"/>
                      <w:szCs w:val="21"/>
                    </w:rPr>
                  </w:pPr>
                  <w:r>
                    <w:rPr>
                      <w:rFonts w:hint="eastAsia"/>
                      <w:color w:val="auto"/>
                      <w:szCs w:val="21"/>
                    </w:rPr>
                    <w:t>标准值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trPr>
              <w:tc>
                <w:tcPr>
                  <w:tcW w:w="954" w:type="dxa"/>
                  <w:vMerge w:val="continue"/>
                  <w:noWrap w:val="0"/>
                  <w:vAlign w:val="center"/>
                </w:tcPr>
                <w:p>
                  <w:pPr>
                    <w:widowControl/>
                    <w:snapToGrid w:val="0"/>
                    <w:jc w:val="center"/>
                    <w:rPr>
                      <w:bCs/>
                      <w:color w:val="auto"/>
                      <w:szCs w:val="21"/>
                    </w:rPr>
                  </w:pPr>
                </w:p>
              </w:tc>
              <w:tc>
                <w:tcPr>
                  <w:tcW w:w="1167" w:type="dxa"/>
                  <w:vMerge w:val="continue"/>
                  <w:noWrap w:val="0"/>
                  <w:vAlign w:val="center"/>
                </w:tcPr>
                <w:p>
                  <w:pPr>
                    <w:widowControl/>
                    <w:snapToGrid w:val="0"/>
                    <w:jc w:val="center"/>
                    <w:rPr>
                      <w:bCs/>
                      <w:color w:val="auto"/>
                      <w:szCs w:val="21"/>
                    </w:rPr>
                  </w:pPr>
                </w:p>
              </w:tc>
              <w:tc>
                <w:tcPr>
                  <w:tcW w:w="1259" w:type="dxa"/>
                  <w:vMerge w:val="continue"/>
                  <w:noWrap w:val="0"/>
                  <w:vAlign w:val="center"/>
                </w:tcPr>
                <w:p>
                  <w:pPr>
                    <w:widowControl/>
                    <w:snapToGrid w:val="0"/>
                    <w:jc w:val="center"/>
                    <w:rPr>
                      <w:bCs/>
                      <w:color w:val="auto"/>
                      <w:szCs w:val="21"/>
                    </w:rPr>
                  </w:pPr>
                </w:p>
              </w:tc>
              <w:tc>
                <w:tcPr>
                  <w:tcW w:w="1039" w:type="dxa"/>
                  <w:noWrap w:val="0"/>
                  <w:vAlign w:val="center"/>
                </w:tcPr>
                <w:p>
                  <w:pPr>
                    <w:widowControl/>
                    <w:adjustRightInd w:val="0"/>
                    <w:snapToGrid w:val="0"/>
                    <w:jc w:val="center"/>
                    <w:rPr>
                      <w:color w:val="auto"/>
                      <w:szCs w:val="21"/>
                    </w:rPr>
                  </w:pPr>
                  <w:r>
                    <w:rPr>
                      <w:rFonts w:hint="eastAsia"/>
                      <w:color w:val="auto"/>
                      <w:szCs w:val="21"/>
                    </w:rPr>
                    <w:t>第一次</w:t>
                  </w:r>
                </w:p>
              </w:tc>
              <w:tc>
                <w:tcPr>
                  <w:tcW w:w="1237" w:type="dxa"/>
                  <w:noWrap w:val="0"/>
                  <w:vAlign w:val="center"/>
                </w:tcPr>
                <w:p>
                  <w:pPr>
                    <w:widowControl/>
                    <w:adjustRightInd w:val="0"/>
                    <w:snapToGrid w:val="0"/>
                    <w:jc w:val="center"/>
                    <w:rPr>
                      <w:color w:val="auto"/>
                      <w:szCs w:val="21"/>
                    </w:rPr>
                  </w:pPr>
                  <w:r>
                    <w:rPr>
                      <w:rFonts w:hint="eastAsia"/>
                      <w:color w:val="auto"/>
                      <w:szCs w:val="21"/>
                    </w:rPr>
                    <w:t>第二次</w:t>
                  </w:r>
                </w:p>
              </w:tc>
              <w:tc>
                <w:tcPr>
                  <w:tcW w:w="1214" w:type="dxa"/>
                  <w:noWrap w:val="0"/>
                  <w:vAlign w:val="center"/>
                </w:tcPr>
                <w:p>
                  <w:pPr>
                    <w:widowControl/>
                    <w:adjustRightInd w:val="0"/>
                    <w:snapToGrid w:val="0"/>
                    <w:jc w:val="center"/>
                    <w:rPr>
                      <w:color w:val="auto"/>
                      <w:szCs w:val="21"/>
                    </w:rPr>
                  </w:pPr>
                  <w:r>
                    <w:rPr>
                      <w:rFonts w:hint="eastAsia"/>
                      <w:color w:val="auto"/>
                      <w:szCs w:val="21"/>
                    </w:rPr>
                    <w:t>第三次</w:t>
                  </w:r>
                </w:p>
              </w:tc>
              <w:tc>
                <w:tcPr>
                  <w:tcW w:w="908" w:type="dxa"/>
                  <w:vMerge w:val="continue"/>
                  <w:noWrap w:val="0"/>
                  <w:vAlign w:val="center"/>
                </w:tcPr>
                <w:p>
                  <w:pPr>
                    <w:widowControl/>
                    <w:adjustRightInd w:val="0"/>
                    <w:snapToGrid w:val="0"/>
                    <w:jc w:val="center"/>
                    <w:rPr>
                      <w:rFonts w:hint="eastAsia"/>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restart"/>
                  <w:noWrap w:val="0"/>
                  <w:vAlign w:val="center"/>
                </w:tcPr>
                <w:p>
                  <w:pPr>
                    <w:pStyle w:val="47"/>
                    <w:spacing w:line="360" w:lineRule="auto"/>
                    <w:ind w:firstLine="0" w:firstLineChars="0"/>
                    <w:jc w:val="center"/>
                    <w:rPr>
                      <w:rFonts w:hint="eastAsia"/>
                      <w:color w:val="auto"/>
                      <w:sz w:val="22"/>
                      <w:szCs w:val="22"/>
                    </w:rPr>
                  </w:pPr>
                  <w:r>
                    <w:rPr>
                      <w:color w:val="auto"/>
                      <w:sz w:val="22"/>
                      <w:szCs w:val="22"/>
                    </w:rPr>
                    <w:t>202</w:t>
                  </w:r>
                  <w:r>
                    <w:rPr>
                      <w:rFonts w:hint="eastAsia"/>
                      <w:color w:val="auto"/>
                      <w:sz w:val="22"/>
                      <w:szCs w:val="22"/>
                    </w:rPr>
                    <w:t>3.</w:t>
                  </w:r>
                </w:p>
                <w:p>
                  <w:pPr>
                    <w:pStyle w:val="47"/>
                    <w:spacing w:line="360" w:lineRule="auto"/>
                    <w:ind w:firstLine="0" w:firstLineChars="0"/>
                    <w:jc w:val="center"/>
                    <w:rPr>
                      <w:rFonts w:hint="default" w:eastAsia="宋体"/>
                      <w:color w:val="auto"/>
                      <w:sz w:val="22"/>
                      <w:szCs w:val="22"/>
                      <w:lang w:val="en-US" w:eastAsia="zh-CN"/>
                    </w:rPr>
                  </w:pPr>
                  <w:r>
                    <w:rPr>
                      <w:rFonts w:hint="eastAsia"/>
                      <w:color w:val="auto"/>
                      <w:sz w:val="22"/>
                      <w:szCs w:val="22"/>
                      <w:lang w:val="en-US" w:eastAsia="zh-CN"/>
                    </w:rPr>
                    <w:t>11.24</w:t>
                  </w: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1#</w:t>
                  </w:r>
                  <w:r>
                    <w:rPr>
                      <w:rFonts w:hint="eastAsia"/>
                      <w:color w:val="auto"/>
                      <w:kern w:val="0"/>
                      <w:szCs w:val="21"/>
                      <w:lang w:bidi="ar"/>
                    </w:rPr>
                    <w:t>上风向</w:t>
                  </w:r>
                </w:p>
              </w:tc>
              <w:tc>
                <w:tcPr>
                  <w:tcW w:w="1259" w:type="dxa"/>
                  <w:vMerge w:val="restart"/>
                  <w:tcBorders>
                    <w:top w:val="single" w:color="auto" w:sz="4" w:space="0"/>
                    <w:left w:val="single" w:color="auto" w:sz="4" w:space="0"/>
                    <w:right w:val="nil"/>
                  </w:tcBorders>
                  <w:noWrap w:val="0"/>
                  <w:vAlign w:val="center"/>
                </w:tcPr>
                <w:p>
                  <w:pPr>
                    <w:pStyle w:val="47"/>
                    <w:spacing w:line="276" w:lineRule="auto"/>
                    <w:ind w:firstLine="0" w:firstLineChars="0"/>
                    <w:jc w:val="center"/>
                    <w:rPr>
                      <w:rFonts w:hint="eastAsia"/>
                      <w:color w:val="auto"/>
                      <w:szCs w:val="21"/>
                    </w:rPr>
                  </w:pPr>
                  <w:r>
                    <w:rPr>
                      <w:rFonts w:hint="eastAsia"/>
                      <w:color w:val="auto"/>
                      <w:szCs w:val="21"/>
                    </w:rPr>
                    <w:t>非甲烷</w:t>
                  </w:r>
                </w:p>
                <w:p>
                  <w:pPr>
                    <w:pStyle w:val="47"/>
                    <w:spacing w:line="276" w:lineRule="auto"/>
                    <w:ind w:firstLine="0" w:firstLineChars="0"/>
                    <w:jc w:val="center"/>
                    <w:rPr>
                      <w:color w:val="auto"/>
                      <w:kern w:val="0"/>
                      <w:szCs w:val="21"/>
                      <w:lang w:bidi="ar"/>
                    </w:rPr>
                  </w:pPr>
                  <w:r>
                    <w:rPr>
                      <w:rFonts w:hint="eastAsia"/>
                      <w:color w:val="auto"/>
                      <w:szCs w:val="21"/>
                    </w:rPr>
                    <w:t>总烃</w:t>
                  </w: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0.11</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0.13</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0.14</w:t>
                  </w:r>
                </w:p>
              </w:tc>
              <w:tc>
                <w:tcPr>
                  <w:tcW w:w="908" w:type="dxa"/>
                  <w:vMerge w:val="restart"/>
                  <w:noWrap w:val="0"/>
                  <w:vAlign w:val="center"/>
                </w:tcPr>
                <w:p>
                  <w:pPr>
                    <w:pStyle w:val="47"/>
                    <w:spacing w:line="360" w:lineRule="auto"/>
                    <w:ind w:firstLine="0" w:firstLineChars="0"/>
                    <w:jc w:val="center"/>
                    <w:rPr>
                      <w:color w:val="auto"/>
                      <w:szCs w:val="21"/>
                    </w:rPr>
                  </w:pPr>
                  <w:r>
                    <w:rPr>
                      <w:rFonts w:hint="eastAsia"/>
                      <w:color w:val="auto"/>
                      <w:szCs w:val="21"/>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2#</w:t>
                  </w:r>
                  <w:r>
                    <w:rPr>
                      <w:rFonts w:hint="eastAsia"/>
                      <w:color w:val="auto"/>
                      <w:kern w:val="0"/>
                      <w:szCs w:val="21"/>
                      <w:lang w:bidi="ar"/>
                    </w:rPr>
                    <w:t>下风向</w:t>
                  </w:r>
                </w:p>
              </w:tc>
              <w:tc>
                <w:tcPr>
                  <w:tcW w:w="1259" w:type="dxa"/>
                  <w:vMerge w:val="continue"/>
                  <w:tcBorders>
                    <w:left w:val="single" w:color="auto" w:sz="4" w:space="0"/>
                    <w:right w:val="nil"/>
                  </w:tcBorders>
                  <w:noWrap w:val="0"/>
                  <w:vAlign w:val="center"/>
                </w:tcPr>
                <w:p>
                  <w:pPr>
                    <w:widowControl/>
                    <w:adjustRightInd w:val="0"/>
                    <w:snapToGrid w:val="0"/>
                    <w:jc w:val="center"/>
                    <w:rPr>
                      <w:color w:val="auto"/>
                      <w:kern w:val="0"/>
                      <w:szCs w:val="21"/>
                      <w:lang w:bidi="ar"/>
                    </w:rPr>
                  </w:pP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0.34</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0.34</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0.66</w:t>
                  </w:r>
                </w:p>
              </w:tc>
              <w:tc>
                <w:tcPr>
                  <w:tcW w:w="908" w:type="dxa"/>
                  <w:vMerge w:val="continue"/>
                  <w:noWrap w:val="0"/>
                  <w:vAlign w:val="center"/>
                </w:tcPr>
                <w:p>
                  <w:pPr>
                    <w:pStyle w:val="47"/>
                    <w:spacing w:line="360" w:lineRule="auto"/>
                    <w:ind w:firstLine="0" w:firstLineChars="0"/>
                    <w:jc w:val="center"/>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3#</w:t>
                  </w:r>
                  <w:r>
                    <w:rPr>
                      <w:rFonts w:hint="eastAsia"/>
                      <w:color w:val="auto"/>
                      <w:kern w:val="0"/>
                      <w:szCs w:val="21"/>
                      <w:lang w:bidi="ar"/>
                    </w:rPr>
                    <w:t>下风向</w:t>
                  </w:r>
                </w:p>
              </w:tc>
              <w:tc>
                <w:tcPr>
                  <w:tcW w:w="1259" w:type="dxa"/>
                  <w:vMerge w:val="continue"/>
                  <w:tcBorders>
                    <w:left w:val="single" w:color="auto" w:sz="4" w:space="0"/>
                    <w:right w:val="nil"/>
                  </w:tcBorders>
                  <w:noWrap w:val="0"/>
                  <w:vAlign w:val="center"/>
                </w:tcPr>
                <w:p>
                  <w:pPr>
                    <w:widowControl/>
                    <w:adjustRightInd w:val="0"/>
                    <w:snapToGrid w:val="0"/>
                    <w:jc w:val="center"/>
                    <w:rPr>
                      <w:color w:val="auto"/>
                      <w:kern w:val="0"/>
                      <w:szCs w:val="21"/>
                      <w:lang w:bidi="ar"/>
                    </w:rPr>
                  </w:pP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0.54</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0.66</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0.67</w:t>
                  </w:r>
                </w:p>
              </w:tc>
              <w:tc>
                <w:tcPr>
                  <w:tcW w:w="908" w:type="dxa"/>
                  <w:vMerge w:val="continue"/>
                  <w:noWrap w:val="0"/>
                  <w:vAlign w:val="center"/>
                </w:tcPr>
                <w:p>
                  <w:pPr>
                    <w:pStyle w:val="47"/>
                    <w:spacing w:line="360" w:lineRule="auto"/>
                    <w:ind w:firstLine="0" w:firstLineChars="0"/>
                    <w:jc w:val="center"/>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4#</w:t>
                  </w:r>
                  <w:r>
                    <w:rPr>
                      <w:rFonts w:hint="eastAsia"/>
                      <w:color w:val="auto"/>
                      <w:kern w:val="0"/>
                      <w:szCs w:val="21"/>
                      <w:lang w:bidi="ar"/>
                    </w:rPr>
                    <w:t>下风向</w:t>
                  </w:r>
                </w:p>
              </w:tc>
              <w:tc>
                <w:tcPr>
                  <w:tcW w:w="1259" w:type="dxa"/>
                  <w:vMerge w:val="continue"/>
                  <w:tcBorders>
                    <w:left w:val="single" w:color="auto" w:sz="4" w:space="0"/>
                    <w:bottom w:val="single" w:color="auto" w:sz="4" w:space="0"/>
                    <w:right w:val="nil"/>
                  </w:tcBorders>
                  <w:noWrap w:val="0"/>
                  <w:vAlign w:val="center"/>
                </w:tcPr>
                <w:p>
                  <w:pPr>
                    <w:widowControl/>
                    <w:adjustRightInd w:val="0"/>
                    <w:snapToGrid w:val="0"/>
                    <w:jc w:val="center"/>
                    <w:rPr>
                      <w:color w:val="auto"/>
                      <w:kern w:val="0"/>
                      <w:szCs w:val="21"/>
                      <w:lang w:bidi="ar"/>
                    </w:rPr>
                  </w:pP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0.83</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0.79</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0.8</w:t>
                  </w:r>
                </w:p>
              </w:tc>
              <w:tc>
                <w:tcPr>
                  <w:tcW w:w="908" w:type="dxa"/>
                  <w:vMerge w:val="continue"/>
                  <w:noWrap w:val="0"/>
                  <w:vAlign w:val="center"/>
                </w:tcPr>
                <w:p>
                  <w:pPr>
                    <w:pStyle w:val="47"/>
                    <w:spacing w:line="360" w:lineRule="auto"/>
                    <w:ind w:firstLine="0" w:firstLineChars="0"/>
                    <w:jc w:val="center"/>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1#</w:t>
                  </w:r>
                  <w:r>
                    <w:rPr>
                      <w:rFonts w:hint="eastAsia"/>
                      <w:color w:val="auto"/>
                      <w:kern w:val="0"/>
                      <w:szCs w:val="21"/>
                      <w:lang w:bidi="ar"/>
                    </w:rPr>
                    <w:t>上风向</w:t>
                  </w:r>
                </w:p>
              </w:tc>
              <w:tc>
                <w:tcPr>
                  <w:tcW w:w="1259" w:type="dxa"/>
                  <w:vMerge w:val="restart"/>
                  <w:tcBorders>
                    <w:top w:val="single" w:color="auto" w:sz="4" w:space="0"/>
                    <w:left w:val="single" w:color="auto" w:sz="4" w:space="0"/>
                    <w:right w:val="nil"/>
                  </w:tcBorders>
                  <w:noWrap w:val="0"/>
                  <w:vAlign w:val="center"/>
                </w:tcPr>
                <w:p>
                  <w:pPr>
                    <w:pStyle w:val="47"/>
                    <w:spacing w:line="276" w:lineRule="auto"/>
                    <w:ind w:firstLine="0" w:firstLineChars="0"/>
                    <w:jc w:val="center"/>
                    <w:rPr>
                      <w:color w:val="auto"/>
                      <w:szCs w:val="21"/>
                    </w:rPr>
                  </w:pPr>
                  <w:r>
                    <w:rPr>
                      <w:rFonts w:hint="eastAsia"/>
                      <w:color w:val="auto"/>
                      <w:szCs w:val="21"/>
                    </w:rPr>
                    <w:t>总烃</w:t>
                  </w: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2.08</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1.97</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1.96</w:t>
                  </w:r>
                </w:p>
              </w:tc>
              <w:tc>
                <w:tcPr>
                  <w:tcW w:w="908" w:type="dxa"/>
                  <w:vMerge w:val="restart"/>
                  <w:noWrap w:val="0"/>
                  <w:vAlign w:val="center"/>
                </w:tcPr>
                <w:p>
                  <w:pPr>
                    <w:pStyle w:val="47"/>
                    <w:spacing w:line="360" w:lineRule="auto"/>
                    <w:ind w:firstLine="0" w:firstLineChars="0"/>
                    <w:jc w:val="center"/>
                    <w:rPr>
                      <w:rFonts w:hint="eastAsia"/>
                      <w:color w:val="auto"/>
                      <w:szCs w:val="21"/>
                    </w:rPr>
                  </w:pPr>
                  <w:r>
                    <w:rPr>
                      <w:rFonts w:hint="eastAsia"/>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2#</w:t>
                  </w:r>
                  <w:r>
                    <w:rPr>
                      <w:rFonts w:hint="eastAsia"/>
                      <w:color w:val="auto"/>
                      <w:kern w:val="0"/>
                      <w:szCs w:val="21"/>
                      <w:lang w:bidi="ar"/>
                    </w:rPr>
                    <w:t>下风向</w:t>
                  </w:r>
                </w:p>
              </w:tc>
              <w:tc>
                <w:tcPr>
                  <w:tcW w:w="1259" w:type="dxa"/>
                  <w:vMerge w:val="continue"/>
                  <w:tcBorders>
                    <w:left w:val="single" w:color="auto" w:sz="4" w:space="0"/>
                    <w:right w:val="nil"/>
                  </w:tcBorders>
                  <w:noWrap w:val="0"/>
                  <w:vAlign w:val="center"/>
                </w:tcPr>
                <w:p>
                  <w:pPr>
                    <w:widowControl/>
                    <w:adjustRightInd w:val="0"/>
                    <w:snapToGrid w:val="0"/>
                    <w:jc w:val="center"/>
                    <w:rPr>
                      <w:color w:val="auto"/>
                      <w:kern w:val="0"/>
                      <w:szCs w:val="21"/>
                      <w:lang w:bidi="ar"/>
                    </w:rPr>
                  </w:pP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3.49</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3.36</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3.42</w:t>
                  </w:r>
                </w:p>
              </w:tc>
              <w:tc>
                <w:tcPr>
                  <w:tcW w:w="908" w:type="dxa"/>
                  <w:vMerge w:val="continue"/>
                  <w:noWrap w:val="0"/>
                  <w:vAlign w:val="center"/>
                </w:tcPr>
                <w:p>
                  <w:pPr>
                    <w:pStyle w:val="47"/>
                    <w:spacing w:line="360" w:lineRule="auto"/>
                    <w:ind w:firstLine="0" w:firstLineChars="0"/>
                    <w:jc w:val="center"/>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3#</w:t>
                  </w:r>
                  <w:r>
                    <w:rPr>
                      <w:rFonts w:hint="eastAsia"/>
                      <w:color w:val="auto"/>
                      <w:kern w:val="0"/>
                      <w:szCs w:val="21"/>
                      <w:lang w:bidi="ar"/>
                    </w:rPr>
                    <w:t>下风向</w:t>
                  </w:r>
                </w:p>
              </w:tc>
              <w:tc>
                <w:tcPr>
                  <w:tcW w:w="1259" w:type="dxa"/>
                  <w:vMerge w:val="continue"/>
                  <w:tcBorders>
                    <w:left w:val="single" w:color="auto" w:sz="4" w:space="0"/>
                    <w:right w:val="nil"/>
                  </w:tcBorders>
                  <w:noWrap w:val="0"/>
                  <w:vAlign w:val="center"/>
                </w:tcPr>
                <w:p>
                  <w:pPr>
                    <w:widowControl/>
                    <w:adjustRightInd w:val="0"/>
                    <w:snapToGrid w:val="0"/>
                    <w:jc w:val="center"/>
                    <w:rPr>
                      <w:color w:val="auto"/>
                      <w:kern w:val="0"/>
                      <w:szCs w:val="21"/>
                      <w:lang w:bidi="ar"/>
                    </w:rPr>
                  </w:pP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3.49</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3.49</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3.53</w:t>
                  </w:r>
                </w:p>
              </w:tc>
              <w:tc>
                <w:tcPr>
                  <w:tcW w:w="908" w:type="dxa"/>
                  <w:vMerge w:val="continue"/>
                  <w:noWrap w:val="0"/>
                  <w:vAlign w:val="center"/>
                </w:tcPr>
                <w:p>
                  <w:pPr>
                    <w:pStyle w:val="47"/>
                    <w:spacing w:line="360" w:lineRule="auto"/>
                    <w:ind w:firstLine="0" w:firstLineChars="0"/>
                    <w:jc w:val="center"/>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4#</w:t>
                  </w:r>
                  <w:r>
                    <w:rPr>
                      <w:rFonts w:hint="eastAsia"/>
                      <w:color w:val="auto"/>
                      <w:kern w:val="0"/>
                      <w:szCs w:val="21"/>
                      <w:lang w:bidi="ar"/>
                    </w:rPr>
                    <w:t>下风向</w:t>
                  </w:r>
                </w:p>
              </w:tc>
              <w:tc>
                <w:tcPr>
                  <w:tcW w:w="1259" w:type="dxa"/>
                  <w:vMerge w:val="continue"/>
                  <w:tcBorders>
                    <w:left w:val="single" w:color="auto" w:sz="4" w:space="0"/>
                    <w:bottom w:val="single" w:color="auto" w:sz="4" w:space="0"/>
                    <w:right w:val="nil"/>
                  </w:tcBorders>
                  <w:noWrap w:val="0"/>
                  <w:vAlign w:val="center"/>
                </w:tcPr>
                <w:p>
                  <w:pPr>
                    <w:widowControl/>
                    <w:adjustRightInd w:val="0"/>
                    <w:snapToGrid w:val="0"/>
                    <w:jc w:val="center"/>
                    <w:rPr>
                      <w:color w:val="auto"/>
                      <w:kern w:val="0"/>
                      <w:szCs w:val="21"/>
                      <w:lang w:bidi="ar"/>
                    </w:rPr>
                  </w:pP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3.45</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3.61</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3.72</w:t>
                  </w:r>
                </w:p>
              </w:tc>
              <w:tc>
                <w:tcPr>
                  <w:tcW w:w="908" w:type="dxa"/>
                  <w:vMerge w:val="continue"/>
                  <w:noWrap w:val="0"/>
                  <w:vAlign w:val="center"/>
                </w:tcPr>
                <w:p>
                  <w:pPr>
                    <w:pStyle w:val="47"/>
                    <w:spacing w:line="360" w:lineRule="auto"/>
                    <w:ind w:firstLine="0" w:firstLineChars="0"/>
                    <w:jc w:val="center"/>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restart"/>
                  <w:noWrap w:val="0"/>
                  <w:vAlign w:val="center"/>
                </w:tcPr>
                <w:p>
                  <w:pPr>
                    <w:pStyle w:val="47"/>
                    <w:spacing w:line="360" w:lineRule="auto"/>
                    <w:ind w:firstLine="0" w:firstLineChars="0"/>
                    <w:jc w:val="center"/>
                    <w:rPr>
                      <w:rFonts w:hint="eastAsia"/>
                      <w:color w:val="auto"/>
                      <w:sz w:val="22"/>
                      <w:szCs w:val="22"/>
                    </w:rPr>
                  </w:pPr>
                  <w:r>
                    <w:rPr>
                      <w:color w:val="auto"/>
                      <w:sz w:val="22"/>
                      <w:szCs w:val="22"/>
                    </w:rPr>
                    <w:t>202</w:t>
                  </w:r>
                  <w:r>
                    <w:rPr>
                      <w:rFonts w:hint="eastAsia"/>
                      <w:color w:val="auto"/>
                      <w:sz w:val="22"/>
                      <w:szCs w:val="22"/>
                    </w:rPr>
                    <w:t>3.</w:t>
                  </w:r>
                </w:p>
                <w:p>
                  <w:pPr>
                    <w:pStyle w:val="47"/>
                    <w:spacing w:line="360" w:lineRule="auto"/>
                    <w:ind w:firstLine="0" w:firstLineChars="0"/>
                    <w:jc w:val="center"/>
                    <w:rPr>
                      <w:rFonts w:hint="default" w:eastAsia="宋体"/>
                      <w:color w:val="auto"/>
                      <w:sz w:val="22"/>
                      <w:szCs w:val="22"/>
                      <w:lang w:val="en-US" w:eastAsia="zh-CN"/>
                    </w:rPr>
                  </w:pPr>
                  <w:r>
                    <w:rPr>
                      <w:rFonts w:hint="eastAsia"/>
                      <w:color w:val="auto"/>
                      <w:sz w:val="22"/>
                      <w:szCs w:val="22"/>
                    </w:rPr>
                    <w:t>1</w:t>
                  </w:r>
                  <w:r>
                    <w:rPr>
                      <w:rFonts w:hint="eastAsia"/>
                      <w:color w:val="auto"/>
                      <w:sz w:val="22"/>
                      <w:szCs w:val="22"/>
                      <w:lang w:val="en-US" w:eastAsia="zh-CN"/>
                    </w:rPr>
                    <w:t>1.25</w:t>
                  </w: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1#</w:t>
                  </w:r>
                  <w:r>
                    <w:rPr>
                      <w:rFonts w:hint="eastAsia"/>
                      <w:color w:val="auto"/>
                      <w:kern w:val="0"/>
                      <w:szCs w:val="21"/>
                      <w:lang w:bidi="ar"/>
                    </w:rPr>
                    <w:t>上风向</w:t>
                  </w:r>
                </w:p>
              </w:tc>
              <w:tc>
                <w:tcPr>
                  <w:tcW w:w="1259" w:type="dxa"/>
                  <w:vMerge w:val="restart"/>
                  <w:tcBorders>
                    <w:top w:val="single" w:color="auto" w:sz="4" w:space="0"/>
                    <w:left w:val="single" w:color="auto" w:sz="4" w:space="0"/>
                    <w:right w:val="nil"/>
                  </w:tcBorders>
                  <w:noWrap w:val="0"/>
                  <w:vAlign w:val="center"/>
                </w:tcPr>
                <w:p>
                  <w:pPr>
                    <w:pStyle w:val="47"/>
                    <w:spacing w:line="276" w:lineRule="auto"/>
                    <w:ind w:firstLine="0" w:firstLineChars="0"/>
                    <w:jc w:val="center"/>
                    <w:rPr>
                      <w:rFonts w:hint="eastAsia"/>
                      <w:color w:val="auto"/>
                      <w:szCs w:val="21"/>
                    </w:rPr>
                  </w:pPr>
                  <w:r>
                    <w:rPr>
                      <w:rFonts w:hint="eastAsia"/>
                      <w:color w:val="auto"/>
                      <w:szCs w:val="21"/>
                    </w:rPr>
                    <w:t>非甲烷</w:t>
                  </w:r>
                </w:p>
                <w:p>
                  <w:pPr>
                    <w:pStyle w:val="47"/>
                    <w:spacing w:line="276" w:lineRule="auto"/>
                    <w:ind w:firstLine="0" w:firstLineChars="0"/>
                    <w:jc w:val="center"/>
                    <w:rPr>
                      <w:color w:val="auto"/>
                      <w:kern w:val="0"/>
                      <w:szCs w:val="21"/>
                      <w:lang w:bidi="ar"/>
                    </w:rPr>
                  </w:pPr>
                  <w:r>
                    <w:rPr>
                      <w:rFonts w:hint="eastAsia"/>
                      <w:color w:val="auto"/>
                      <w:szCs w:val="21"/>
                    </w:rPr>
                    <w:t>总烃</w:t>
                  </w: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0.15</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0.14</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0.13</w:t>
                  </w:r>
                </w:p>
              </w:tc>
              <w:tc>
                <w:tcPr>
                  <w:tcW w:w="908" w:type="dxa"/>
                  <w:vMerge w:val="restart"/>
                  <w:noWrap w:val="0"/>
                  <w:vAlign w:val="center"/>
                </w:tcPr>
                <w:p>
                  <w:pPr>
                    <w:pStyle w:val="47"/>
                    <w:spacing w:line="360" w:lineRule="auto"/>
                    <w:ind w:firstLine="0" w:firstLineChars="0"/>
                    <w:jc w:val="center"/>
                    <w:rPr>
                      <w:color w:val="auto"/>
                      <w:szCs w:val="21"/>
                    </w:rPr>
                  </w:pPr>
                  <w:r>
                    <w:rPr>
                      <w:rFonts w:hint="eastAsia"/>
                      <w:color w:val="auto"/>
                      <w:szCs w:val="21"/>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b/>
                      <w:bCs/>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2#</w:t>
                  </w:r>
                  <w:r>
                    <w:rPr>
                      <w:rFonts w:hint="eastAsia"/>
                      <w:color w:val="auto"/>
                      <w:kern w:val="0"/>
                      <w:szCs w:val="21"/>
                      <w:lang w:bidi="ar"/>
                    </w:rPr>
                    <w:t>下风向</w:t>
                  </w:r>
                </w:p>
              </w:tc>
              <w:tc>
                <w:tcPr>
                  <w:tcW w:w="1259" w:type="dxa"/>
                  <w:vMerge w:val="continue"/>
                  <w:tcBorders>
                    <w:left w:val="single" w:color="auto" w:sz="4" w:space="0"/>
                    <w:right w:val="nil"/>
                  </w:tcBorders>
                  <w:noWrap w:val="0"/>
                  <w:vAlign w:val="center"/>
                </w:tcPr>
                <w:p>
                  <w:pPr>
                    <w:widowControl/>
                    <w:adjustRightInd w:val="0"/>
                    <w:snapToGrid w:val="0"/>
                    <w:jc w:val="center"/>
                    <w:rPr>
                      <w:color w:val="auto"/>
                      <w:kern w:val="0"/>
                      <w:szCs w:val="21"/>
                      <w:lang w:bidi="ar"/>
                    </w:rPr>
                  </w:pP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0.5</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0.42</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0.52</w:t>
                  </w:r>
                </w:p>
              </w:tc>
              <w:tc>
                <w:tcPr>
                  <w:tcW w:w="908" w:type="dxa"/>
                  <w:vMerge w:val="continue"/>
                  <w:noWrap w:val="0"/>
                  <w:vAlign w:val="center"/>
                </w:tcPr>
                <w:p>
                  <w:pPr>
                    <w:pStyle w:val="47"/>
                    <w:spacing w:line="360" w:lineRule="auto"/>
                    <w:ind w:firstLine="0" w:firstLineChars="0"/>
                    <w:jc w:val="center"/>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b/>
                      <w:bCs/>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3#</w:t>
                  </w:r>
                  <w:r>
                    <w:rPr>
                      <w:rFonts w:hint="eastAsia"/>
                      <w:color w:val="auto"/>
                      <w:kern w:val="0"/>
                      <w:szCs w:val="21"/>
                      <w:lang w:bidi="ar"/>
                    </w:rPr>
                    <w:t>下风向</w:t>
                  </w:r>
                </w:p>
              </w:tc>
              <w:tc>
                <w:tcPr>
                  <w:tcW w:w="1259" w:type="dxa"/>
                  <w:vMerge w:val="continue"/>
                  <w:tcBorders>
                    <w:left w:val="single" w:color="auto" w:sz="4" w:space="0"/>
                    <w:right w:val="nil"/>
                  </w:tcBorders>
                  <w:noWrap w:val="0"/>
                  <w:vAlign w:val="center"/>
                </w:tcPr>
                <w:p>
                  <w:pPr>
                    <w:widowControl/>
                    <w:adjustRightInd w:val="0"/>
                    <w:snapToGrid w:val="0"/>
                    <w:jc w:val="center"/>
                    <w:rPr>
                      <w:color w:val="auto"/>
                      <w:kern w:val="0"/>
                      <w:szCs w:val="21"/>
                      <w:lang w:bidi="ar"/>
                    </w:rPr>
                  </w:pP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0.34</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0.65</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0.69</w:t>
                  </w:r>
                </w:p>
              </w:tc>
              <w:tc>
                <w:tcPr>
                  <w:tcW w:w="908" w:type="dxa"/>
                  <w:vMerge w:val="continue"/>
                  <w:noWrap w:val="0"/>
                  <w:vAlign w:val="center"/>
                </w:tcPr>
                <w:p>
                  <w:pPr>
                    <w:pStyle w:val="47"/>
                    <w:spacing w:line="360" w:lineRule="auto"/>
                    <w:ind w:firstLine="0" w:firstLineChars="0"/>
                    <w:jc w:val="center"/>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b/>
                      <w:bCs/>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4#</w:t>
                  </w:r>
                  <w:r>
                    <w:rPr>
                      <w:rFonts w:hint="eastAsia"/>
                      <w:color w:val="auto"/>
                      <w:kern w:val="0"/>
                      <w:szCs w:val="21"/>
                      <w:lang w:bidi="ar"/>
                    </w:rPr>
                    <w:t>下风向</w:t>
                  </w:r>
                </w:p>
              </w:tc>
              <w:tc>
                <w:tcPr>
                  <w:tcW w:w="1259" w:type="dxa"/>
                  <w:vMerge w:val="continue"/>
                  <w:tcBorders>
                    <w:left w:val="single" w:color="auto" w:sz="4" w:space="0"/>
                    <w:bottom w:val="single" w:color="auto" w:sz="4" w:space="0"/>
                    <w:right w:val="nil"/>
                  </w:tcBorders>
                  <w:noWrap w:val="0"/>
                  <w:vAlign w:val="center"/>
                </w:tcPr>
                <w:p>
                  <w:pPr>
                    <w:widowControl/>
                    <w:adjustRightInd w:val="0"/>
                    <w:snapToGrid w:val="0"/>
                    <w:jc w:val="center"/>
                    <w:rPr>
                      <w:color w:val="auto"/>
                      <w:kern w:val="0"/>
                      <w:szCs w:val="21"/>
                      <w:lang w:bidi="ar"/>
                    </w:rPr>
                  </w:pP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0.66</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0.61</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0.58</w:t>
                  </w:r>
                </w:p>
              </w:tc>
              <w:tc>
                <w:tcPr>
                  <w:tcW w:w="908" w:type="dxa"/>
                  <w:vMerge w:val="continue"/>
                  <w:noWrap w:val="0"/>
                  <w:vAlign w:val="center"/>
                </w:tcPr>
                <w:p>
                  <w:pPr>
                    <w:pStyle w:val="47"/>
                    <w:spacing w:line="360" w:lineRule="auto"/>
                    <w:ind w:firstLine="0" w:firstLineChars="0"/>
                    <w:jc w:val="center"/>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b/>
                      <w:bCs/>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1#</w:t>
                  </w:r>
                  <w:r>
                    <w:rPr>
                      <w:rFonts w:hint="eastAsia"/>
                      <w:color w:val="auto"/>
                      <w:kern w:val="0"/>
                      <w:szCs w:val="21"/>
                      <w:lang w:bidi="ar"/>
                    </w:rPr>
                    <w:t>上风向</w:t>
                  </w:r>
                </w:p>
              </w:tc>
              <w:tc>
                <w:tcPr>
                  <w:tcW w:w="1259" w:type="dxa"/>
                  <w:vMerge w:val="restart"/>
                  <w:tcBorders>
                    <w:top w:val="single" w:color="auto" w:sz="4" w:space="0"/>
                    <w:left w:val="single" w:color="auto" w:sz="4" w:space="0"/>
                    <w:right w:val="nil"/>
                  </w:tcBorders>
                  <w:noWrap w:val="0"/>
                  <w:vAlign w:val="center"/>
                </w:tcPr>
                <w:p>
                  <w:pPr>
                    <w:pStyle w:val="47"/>
                    <w:spacing w:line="276" w:lineRule="auto"/>
                    <w:ind w:firstLine="0" w:firstLineChars="0"/>
                    <w:jc w:val="center"/>
                    <w:rPr>
                      <w:color w:val="auto"/>
                      <w:szCs w:val="21"/>
                    </w:rPr>
                  </w:pPr>
                  <w:r>
                    <w:rPr>
                      <w:rFonts w:hint="eastAsia"/>
                      <w:color w:val="auto"/>
                      <w:szCs w:val="21"/>
                    </w:rPr>
                    <w:t>总烃</w:t>
                  </w: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2.08</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2.15</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2.2</w:t>
                  </w:r>
                </w:p>
              </w:tc>
              <w:tc>
                <w:tcPr>
                  <w:tcW w:w="908" w:type="dxa"/>
                  <w:vMerge w:val="restart"/>
                  <w:noWrap w:val="0"/>
                  <w:vAlign w:val="center"/>
                </w:tcPr>
                <w:p>
                  <w:pPr>
                    <w:pStyle w:val="47"/>
                    <w:spacing w:line="360" w:lineRule="auto"/>
                    <w:ind w:firstLine="0" w:firstLineChars="0"/>
                    <w:jc w:val="center"/>
                    <w:rPr>
                      <w:rFonts w:hint="eastAsia"/>
                      <w:color w:val="auto"/>
                      <w:szCs w:val="21"/>
                    </w:rPr>
                  </w:pPr>
                  <w:r>
                    <w:rPr>
                      <w:rFonts w:hint="eastAsia"/>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b/>
                      <w:bCs/>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2#</w:t>
                  </w:r>
                  <w:r>
                    <w:rPr>
                      <w:rFonts w:hint="eastAsia"/>
                      <w:color w:val="auto"/>
                      <w:kern w:val="0"/>
                      <w:szCs w:val="21"/>
                      <w:lang w:bidi="ar"/>
                    </w:rPr>
                    <w:t>下风向</w:t>
                  </w:r>
                </w:p>
              </w:tc>
              <w:tc>
                <w:tcPr>
                  <w:tcW w:w="1259" w:type="dxa"/>
                  <w:vMerge w:val="continue"/>
                  <w:tcBorders>
                    <w:left w:val="single" w:color="auto" w:sz="4" w:space="0"/>
                    <w:right w:val="nil"/>
                  </w:tcBorders>
                  <w:noWrap w:val="0"/>
                  <w:vAlign w:val="center"/>
                </w:tcPr>
                <w:p>
                  <w:pPr>
                    <w:widowControl/>
                    <w:adjustRightInd w:val="0"/>
                    <w:snapToGrid w:val="0"/>
                    <w:jc w:val="center"/>
                    <w:rPr>
                      <w:color w:val="auto"/>
                      <w:kern w:val="0"/>
                      <w:szCs w:val="21"/>
                      <w:lang w:bidi="ar"/>
                    </w:rPr>
                  </w:pP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3.28</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3.08</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3.3</w:t>
                  </w:r>
                </w:p>
              </w:tc>
              <w:tc>
                <w:tcPr>
                  <w:tcW w:w="908" w:type="dxa"/>
                  <w:vMerge w:val="continue"/>
                  <w:noWrap w:val="0"/>
                  <w:vAlign w:val="center"/>
                </w:tcPr>
                <w:p>
                  <w:pPr>
                    <w:pStyle w:val="47"/>
                    <w:spacing w:line="360" w:lineRule="auto"/>
                    <w:ind w:firstLine="0" w:firstLineChars="0"/>
                    <w:jc w:val="center"/>
                    <w:rPr>
                      <w:b/>
                      <w:bCs/>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954" w:type="dxa"/>
                  <w:vMerge w:val="continue"/>
                  <w:noWrap w:val="0"/>
                  <w:vAlign w:val="center"/>
                </w:tcPr>
                <w:p>
                  <w:pPr>
                    <w:pStyle w:val="47"/>
                    <w:spacing w:line="360" w:lineRule="auto"/>
                    <w:ind w:firstLine="0" w:firstLineChars="0"/>
                    <w:jc w:val="center"/>
                    <w:rPr>
                      <w:b/>
                      <w:bCs/>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3#</w:t>
                  </w:r>
                  <w:r>
                    <w:rPr>
                      <w:rFonts w:hint="eastAsia"/>
                      <w:color w:val="auto"/>
                      <w:kern w:val="0"/>
                      <w:szCs w:val="21"/>
                      <w:lang w:bidi="ar"/>
                    </w:rPr>
                    <w:t>下风向</w:t>
                  </w:r>
                </w:p>
              </w:tc>
              <w:tc>
                <w:tcPr>
                  <w:tcW w:w="1259" w:type="dxa"/>
                  <w:vMerge w:val="continue"/>
                  <w:tcBorders>
                    <w:left w:val="single" w:color="auto" w:sz="4" w:space="0"/>
                    <w:right w:val="nil"/>
                  </w:tcBorders>
                  <w:noWrap w:val="0"/>
                  <w:vAlign w:val="center"/>
                </w:tcPr>
                <w:p>
                  <w:pPr>
                    <w:widowControl/>
                    <w:adjustRightInd w:val="0"/>
                    <w:snapToGrid w:val="0"/>
                    <w:jc w:val="center"/>
                    <w:rPr>
                      <w:color w:val="auto"/>
                      <w:kern w:val="0"/>
                      <w:szCs w:val="21"/>
                      <w:lang w:bidi="ar"/>
                    </w:rPr>
                  </w:pP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3.25</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3.49</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3.35</w:t>
                  </w:r>
                </w:p>
              </w:tc>
              <w:tc>
                <w:tcPr>
                  <w:tcW w:w="908" w:type="dxa"/>
                  <w:vMerge w:val="continue"/>
                  <w:noWrap w:val="0"/>
                  <w:vAlign w:val="center"/>
                </w:tcPr>
                <w:p>
                  <w:pPr>
                    <w:pStyle w:val="47"/>
                    <w:spacing w:line="360" w:lineRule="auto"/>
                    <w:ind w:firstLine="0" w:firstLineChars="0"/>
                    <w:jc w:val="center"/>
                    <w:rPr>
                      <w:b/>
                      <w:bCs/>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trPr>
              <w:tc>
                <w:tcPr>
                  <w:tcW w:w="954" w:type="dxa"/>
                  <w:vMerge w:val="continue"/>
                  <w:noWrap w:val="0"/>
                  <w:vAlign w:val="center"/>
                </w:tcPr>
                <w:p>
                  <w:pPr>
                    <w:pStyle w:val="47"/>
                    <w:spacing w:line="360" w:lineRule="auto"/>
                    <w:ind w:firstLine="0" w:firstLineChars="0"/>
                    <w:jc w:val="center"/>
                    <w:rPr>
                      <w:b/>
                      <w:bCs/>
                      <w:color w:val="auto"/>
                      <w:sz w:val="22"/>
                      <w:szCs w:val="22"/>
                    </w:rPr>
                  </w:pPr>
                </w:p>
              </w:tc>
              <w:tc>
                <w:tcPr>
                  <w:tcW w:w="1167" w:type="dxa"/>
                  <w:tcBorders>
                    <w:top w:val="single" w:color="auto" w:sz="4" w:space="0"/>
                    <w:left w:val="nil"/>
                    <w:bottom w:val="single" w:color="auto" w:sz="4" w:space="0"/>
                    <w:right w:val="single" w:color="auto" w:sz="4" w:space="0"/>
                  </w:tcBorders>
                  <w:noWrap w:val="0"/>
                  <w:vAlign w:val="center"/>
                </w:tcPr>
                <w:p>
                  <w:pPr>
                    <w:widowControl/>
                    <w:adjustRightInd w:val="0"/>
                    <w:snapToGrid w:val="0"/>
                    <w:jc w:val="center"/>
                    <w:rPr>
                      <w:color w:val="auto"/>
                      <w:kern w:val="0"/>
                      <w:szCs w:val="21"/>
                      <w:lang w:bidi="ar"/>
                    </w:rPr>
                  </w:pPr>
                  <w:r>
                    <w:rPr>
                      <w:color w:val="auto"/>
                      <w:kern w:val="0"/>
                      <w:szCs w:val="21"/>
                      <w:lang w:bidi="ar"/>
                    </w:rPr>
                    <w:t>4#</w:t>
                  </w:r>
                  <w:r>
                    <w:rPr>
                      <w:rFonts w:hint="eastAsia"/>
                      <w:color w:val="auto"/>
                      <w:kern w:val="0"/>
                      <w:szCs w:val="21"/>
                      <w:lang w:bidi="ar"/>
                    </w:rPr>
                    <w:t>下风向</w:t>
                  </w:r>
                </w:p>
              </w:tc>
              <w:tc>
                <w:tcPr>
                  <w:tcW w:w="1259" w:type="dxa"/>
                  <w:vMerge w:val="continue"/>
                  <w:tcBorders>
                    <w:left w:val="single" w:color="auto" w:sz="4" w:space="0"/>
                    <w:bottom w:val="single" w:color="auto" w:sz="4" w:space="0"/>
                    <w:right w:val="nil"/>
                  </w:tcBorders>
                  <w:noWrap w:val="0"/>
                  <w:vAlign w:val="center"/>
                </w:tcPr>
                <w:p>
                  <w:pPr>
                    <w:widowControl/>
                    <w:adjustRightInd w:val="0"/>
                    <w:snapToGrid w:val="0"/>
                    <w:jc w:val="center"/>
                    <w:rPr>
                      <w:color w:val="auto"/>
                      <w:kern w:val="0"/>
                      <w:szCs w:val="21"/>
                      <w:lang w:bidi="ar"/>
                    </w:rPr>
                  </w:pPr>
                </w:p>
              </w:tc>
              <w:tc>
                <w:tcPr>
                  <w:tcW w:w="1039"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3.34</w:t>
                  </w:r>
                </w:p>
              </w:tc>
              <w:tc>
                <w:tcPr>
                  <w:tcW w:w="1237"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3.48</w:t>
                  </w:r>
                </w:p>
              </w:tc>
              <w:tc>
                <w:tcPr>
                  <w:tcW w:w="1214" w:type="dxa"/>
                  <w:noWrap w:val="0"/>
                  <w:vAlign w:val="center"/>
                </w:tcPr>
                <w:p>
                  <w:pPr>
                    <w:keepNext w:val="0"/>
                    <w:keepLines w:val="0"/>
                    <w:widowControl/>
                    <w:suppressLineNumbers w:val="0"/>
                    <w:jc w:val="center"/>
                    <w:textAlignment w:val="center"/>
                    <w:rPr>
                      <w:b/>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3.41</w:t>
                  </w:r>
                </w:p>
              </w:tc>
              <w:tc>
                <w:tcPr>
                  <w:tcW w:w="908" w:type="dxa"/>
                  <w:vMerge w:val="continue"/>
                  <w:noWrap w:val="0"/>
                  <w:vAlign w:val="center"/>
                </w:tcPr>
                <w:p>
                  <w:pPr>
                    <w:pStyle w:val="47"/>
                    <w:spacing w:line="360" w:lineRule="auto"/>
                    <w:ind w:firstLine="0" w:firstLineChars="0"/>
                    <w:jc w:val="center"/>
                    <w:rPr>
                      <w:b/>
                      <w:bCs/>
                      <w:color w:val="auto"/>
                      <w:sz w:val="22"/>
                      <w:szCs w:val="22"/>
                    </w:rPr>
                  </w:pPr>
                </w:p>
              </w:tc>
            </w:tr>
          </w:tbl>
          <w:p>
            <w:pPr>
              <w:pStyle w:val="47"/>
              <w:keepNext w:val="0"/>
              <w:keepLines w:val="0"/>
              <w:pageBreakBefore w:val="0"/>
              <w:widowControl w:val="0"/>
              <w:kinsoku/>
              <w:wordWrap/>
              <w:overflowPunct/>
              <w:topLinePunct w:val="0"/>
              <w:autoSpaceDE/>
              <w:autoSpaceDN/>
              <w:bidi w:val="0"/>
              <w:adjustRightInd/>
              <w:snapToGrid/>
              <w:spacing w:before="157" w:beforeLines="50" w:line="360" w:lineRule="auto"/>
              <w:ind w:firstLine="420"/>
              <w:textAlignment w:val="auto"/>
              <w:rPr>
                <w:bCs/>
                <w:color w:val="auto"/>
                <w:sz w:val="24"/>
              </w:rPr>
            </w:pPr>
            <w:r>
              <w:rPr>
                <w:rFonts w:hint="eastAsia"/>
                <w:color w:val="auto"/>
                <w:sz w:val="24"/>
              </w:rPr>
              <w:t>因此，杨18井场上风向及下风向的非甲烷总烃满足《陆上石油天然气开采工业大气污染物排放标准》（GB39728-2020）中的4.0mg/m</w:t>
            </w:r>
            <w:r>
              <w:rPr>
                <w:rFonts w:hint="eastAsia"/>
                <w:color w:val="auto"/>
                <w:sz w:val="24"/>
                <w:vertAlign w:val="superscript"/>
              </w:rPr>
              <w:t>3</w:t>
            </w:r>
            <w:r>
              <w:rPr>
                <w:rFonts w:hint="eastAsia"/>
                <w:color w:val="auto"/>
                <w:sz w:val="24"/>
              </w:rPr>
              <w:t>限值要求。</w:t>
            </w:r>
          </w:p>
          <w:p>
            <w:pPr>
              <w:spacing w:line="360" w:lineRule="auto"/>
              <w:ind w:firstLine="480" w:firstLineChars="200"/>
              <w:jc w:val="left"/>
              <w:rPr>
                <w:color w:val="auto"/>
                <w:sz w:val="24"/>
              </w:rPr>
            </w:pPr>
            <w:r>
              <w:rPr>
                <w:rFonts w:hint="eastAsia" w:ascii="宋体" w:hAnsi="宋体" w:cs="宋体"/>
                <w:color w:val="auto"/>
                <w:sz w:val="24"/>
              </w:rPr>
              <w:t>（</w:t>
            </w:r>
            <w:r>
              <w:rPr>
                <w:rFonts w:hint="eastAsia"/>
                <w:color w:val="auto"/>
                <w:sz w:val="24"/>
              </w:rPr>
              <w:t>2</w:t>
            </w:r>
            <w:r>
              <w:rPr>
                <w:rFonts w:hint="eastAsia" w:ascii="宋体" w:hAnsi="宋体" w:cs="宋体"/>
                <w:color w:val="auto"/>
                <w:sz w:val="24"/>
              </w:rPr>
              <w:t>）</w:t>
            </w:r>
            <w:r>
              <w:rPr>
                <w:rFonts w:hint="eastAsia"/>
                <w:color w:val="auto"/>
                <w:sz w:val="24"/>
              </w:rPr>
              <w:t>噪声</w:t>
            </w:r>
          </w:p>
          <w:p>
            <w:pPr>
              <w:adjustRightInd w:val="0"/>
              <w:snapToGrid w:val="0"/>
              <w:spacing w:line="360" w:lineRule="auto"/>
              <w:ind w:firstLine="480" w:firstLineChars="200"/>
              <w:rPr>
                <w:bCs/>
                <w:color w:val="auto"/>
                <w:sz w:val="24"/>
              </w:rPr>
            </w:pPr>
            <w:r>
              <w:rPr>
                <w:rFonts w:hint="eastAsia"/>
                <w:bCs/>
                <w:color w:val="auto"/>
                <w:sz w:val="24"/>
              </w:rPr>
              <w:t>杨18井场</w:t>
            </w:r>
            <w:r>
              <w:rPr>
                <w:rFonts w:hint="eastAsia"/>
                <w:color w:val="auto"/>
                <w:sz w:val="24"/>
              </w:rPr>
              <w:t>原有工程噪声主要为</w:t>
            </w:r>
            <w:r>
              <w:rPr>
                <w:bCs/>
                <w:color w:val="auto"/>
                <w:sz w:val="24"/>
              </w:rPr>
              <w:t>采油泵</w:t>
            </w:r>
            <w:r>
              <w:rPr>
                <w:rFonts w:hint="eastAsia"/>
                <w:bCs/>
                <w:color w:val="auto"/>
                <w:sz w:val="24"/>
              </w:rPr>
              <w:t>及运输车量产生噪声，采油泵</w:t>
            </w:r>
            <w:r>
              <w:rPr>
                <w:bCs/>
                <w:color w:val="auto"/>
                <w:sz w:val="24"/>
              </w:rPr>
              <w:t>声级比较低，加之0.</w:t>
            </w:r>
            <w:r>
              <w:rPr>
                <w:rFonts w:hint="eastAsia"/>
                <w:bCs/>
                <w:color w:val="auto"/>
                <w:sz w:val="24"/>
              </w:rPr>
              <w:t>5</w:t>
            </w:r>
            <w:r>
              <w:rPr>
                <w:bCs/>
                <w:color w:val="auto"/>
                <w:sz w:val="24"/>
              </w:rPr>
              <w:t>km内无居民，采油泵噪声不会产生扰民现象。</w:t>
            </w:r>
            <w:r>
              <w:rPr>
                <w:rFonts w:hint="eastAsia"/>
                <w:bCs/>
                <w:color w:val="auto"/>
                <w:sz w:val="24"/>
              </w:rPr>
              <w:t>运营期原有运输过程将产生交通噪声，由于油泥产生量较小，运输车辆运输能力为10 t/车，则运输次数很少，不会对周围居民的正常生活产生影响。</w:t>
            </w:r>
          </w:p>
          <w:p>
            <w:pPr>
              <w:pStyle w:val="47"/>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bCs/>
                <w:color w:val="auto"/>
                <w:sz w:val="24"/>
              </w:rPr>
            </w:pPr>
            <w:r>
              <w:rPr>
                <w:rFonts w:hint="eastAsia"/>
                <w:color w:val="auto"/>
                <w:sz w:val="24"/>
              </w:rPr>
              <w:t>本次委托陕西精棣环境检测有限公司于</w:t>
            </w:r>
            <w:r>
              <w:rPr>
                <w:color w:val="auto"/>
                <w:sz w:val="24"/>
              </w:rPr>
              <w:t>202</w:t>
            </w:r>
            <w:r>
              <w:rPr>
                <w:rFonts w:hint="eastAsia"/>
                <w:color w:val="auto"/>
                <w:sz w:val="24"/>
              </w:rPr>
              <w:t>3年11月</w:t>
            </w:r>
            <w:r>
              <w:rPr>
                <w:rFonts w:hint="eastAsia"/>
                <w:color w:val="auto"/>
                <w:sz w:val="24"/>
                <w:lang w:val="en-US" w:eastAsia="zh-CN"/>
              </w:rPr>
              <w:t>24</w:t>
            </w:r>
            <w:r>
              <w:rPr>
                <w:rFonts w:hint="eastAsia"/>
                <w:color w:val="auto"/>
                <w:sz w:val="24"/>
              </w:rPr>
              <w:t>日</w:t>
            </w:r>
            <w:r>
              <w:rPr>
                <w:rFonts w:hint="eastAsia" w:ascii="宋体" w:hAnsi="宋体" w:cs="宋体"/>
                <w:color w:val="auto"/>
                <w:sz w:val="24"/>
              </w:rPr>
              <w:t>～</w:t>
            </w:r>
            <w:r>
              <w:rPr>
                <w:color w:val="auto"/>
                <w:sz w:val="24"/>
              </w:rPr>
              <w:t>202</w:t>
            </w:r>
            <w:r>
              <w:rPr>
                <w:rFonts w:hint="eastAsia"/>
                <w:color w:val="auto"/>
                <w:sz w:val="24"/>
              </w:rPr>
              <w:t>3年11月</w:t>
            </w:r>
            <w:r>
              <w:rPr>
                <w:rFonts w:hint="eastAsia"/>
                <w:color w:val="auto"/>
                <w:sz w:val="24"/>
                <w:lang w:val="en-US" w:eastAsia="zh-CN"/>
              </w:rPr>
              <w:t>25</w:t>
            </w:r>
            <w:r>
              <w:rPr>
                <w:rFonts w:hint="eastAsia"/>
                <w:color w:val="auto"/>
                <w:sz w:val="24"/>
              </w:rPr>
              <w:t>日对杨18井场厂界噪声进行了监测，监测过程中现有设备均正常运行。监测结果见表3-3。由此表可以看出，杨18井场厂界</w:t>
            </w:r>
            <w:r>
              <w:rPr>
                <w:rFonts w:hint="eastAsia"/>
                <w:bCs/>
                <w:color w:val="auto"/>
                <w:sz w:val="24"/>
              </w:rPr>
              <w:t>噪声均满足《工业企业厂界环境噪声排放标准》（</w:t>
            </w:r>
            <w:r>
              <w:rPr>
                <w:bCs/>
                <w:color w:val="auto"/>
                <w:sz w:val="24"/>
              </w:rPr>
              <w:t>GB12348-2008</w:t>
            </w:r>
            <w:r>
              <w:rPr>
                <w:rFonts w:hint="eastAsia"/>
                <w:bCs/>
                <w:color w:val="auto"/>
                <w:sz w:val="24"/>
              </w:rPr>
              <w:t>）中</w:t>
            </w:r>
            <w:r>
              <w:rPr>
                <w:bCs/>
                <w:color w:val="auto"/>
                <w:sz w:val="24"/>
              </w:rPr>
              <w:t>2</w:t>
            </w:r>
            <w:r>
              <w:rPr>
                <w:rFonts w:hint="eastAsia"/>
                <w:bCs/>
                <w:color w:val="auto"/>
                <w:sz w:val="24"/>
              </w:rPr>
              <w:t>类声功能区标准。</w:t>
            </w:r>
          </w:p>
          <w:p>
            <w:pPr>
              <w:pStyle w:val="47"/>
              <w:spacing w:line="360" w:lineRule="auto"/>
              <w:ind w:firstLine="480"/>
              <w:jc w:val="left"/>
              <w:rPr>
                <w:color w:val="auto"/>
                <w:sz w:val="24"/>
              </w:rPr>
            </w:pPr>
            <w:r>
              <w:rPr>
                <w:rFonts w:hint="eastAsia"/>
                <w:color w:val="auto"/>
                <w:sz w:val="24"/>
              </w:rPr>
              <w:t>（3）固体废物</w:t>
            </w:r>
          </w:p>
          <w:p>
            <w:pPr>
              <w:adjustRightInd w:val="0"/>
              <w:snapToGrid w:val="0"/>
              <w:spacing w:line="360" w:lineRule="auto"/>
              <w:ind w:firstLine="480" w:firstLineChars="200"/>
              <w:rPr>
                <w:bCs/>
                <w:color w:val="auto"/>
                <w:sz w:val="24"/>
              </w:rPr>
            </w:pPr>
            <w:r>
              <w:rPr>
                <w:bCs/>
                <w:color w:val="auto"/>
                <w:sz w:val="24"/>
              </w:rPr>
              <w:t>运营期采油井会产生少量落地</w:t>
            </w:r>
            <w:r>
              <w:rPr>
                <w:rFonts w:hint="eastAsia"/>
                <w:bCs/>
                <w:color w:val="auto"/>
                <w:sz w:val="24"/>
              </w:rPr>
              <w:t>油泥</w:t>
            </w:r>
            <w:r>
              <w:rPr>
                <w:bCs/>
                <w:color w:val="auto"/>
                <w:sz w:val="24"/>
              </w:rPr>
              <w:t>，</w:t>
            </w:r>
            <w:r>
              <w:rPr>
                <w:rFonts w:hint="eastAsia"/>
                <w:color w:val="auto"/>
                <w:sz w:val="24"/>
              </w:rPr>
              <w:t>根据企业提供资料，其产生量约</w:t>
            </w:r>
            <w:r>
              <w:rPr>
                <w:color w:val="auto"/>
                <w:sz w:val="24"/>
              </w:rPr>
              <w:t>0.</w:t>
            </w:r>
            <w:r>
              <w:rPr>
                <w:rFonts w:hint="eastAsia"/>
                <w:color w:val="auto"/>
                <w:sz w:val="24"/>
              </w:rPr>
              <w:t>2</w:t>
            </w:r>
            <w:r>
              <w:rPr>
                <w:color w:val="auto"/>
                <w:sz w:val="24"/>
              </w:rPr>
              <w:t>t/a</w:t>
            </w:r>
            <w:r>
              <w:rPr>
                <w:rFonts w:hint="eastAsia"/>
                <w:color w:val="auto"/>
                <w:sz w:val="24"/>
              </w:rPr>
              <w:t>，落地油泥属于</w:t>
            </w:r>
            <w:r>
              <w:rPr>
                <w:color w:val="auto"/>
                <w:sz w:val="24"/>
                <w:szCs w:val="32"/>
              </w:rPr>
              <w:t>HW08</w:t>
            </w:r>
            <w:r>
              <w:rPr>
                <w:rFonts w:hint="eastAsia"/>
                <w:color w:val="auto"/>
                <w:sz w:val="24"/>
                <w:szCs w:val="32"/>
              </w:rPr>
              <w:t>废矿物油与含矿物油废物</w:t>
            </w:r>
            <w:r>
              <w:rPr>
                <w:rFonts w:hint="eastAsia"/>
                <w:color w:val="auto"/>
                <w:sz w:val="24"/>
              </w:rPr>
              <w:t>（危废代码</w:t>
            </w:r>
            <w:r>
              <w:rPr>
                <w:color w:val="auto"/>
                <w:sz w:val="24"/>
              </w:rPr>
              <w:t>071-001-08</w:t>
            </w:r>
            <w:r>
              <w:rPr>
                <w:rFonts w:hint="eastAsia"/>
                <w:color w:val="auto"/>
                <w:sz w:val="24"/>
              </w:rPr>
              <w:t>），</w:t>
            </w:r>
            <w:r>
              <w:rPr>
                <w:bCs/>
                <w:color w:val="auto"/>
                <w:sz w:val="24"/>
              </w:rPr>
              <w:t>定期</w:t>
            </w:r>
            <w:r>
              <w:rPr>
                <w:rFonts w:hint="eastAsia"/>
                <w:bCs/>
                <w:color w:val="auto"/>
                <w:sz w:val="24"/>
              </w:rPr>
              <w:t>交</w:t>
            </w:r>
            <w:r>
              <w:rPr>
                <w:bCs/>
                <w:color w:val="auto"/>
                <w:sz w:val="24"/>
              </w:rPr>
              <w:t>由</w:t>
            </w:r>
            <w:r>
              <w:rPr>
                <w:rFonts w:hint="eastAsia"/>
                <w:bCs/>
                <w:color w:val="auto"/>
                <w:sz w:val="24"/>
              </w:rPr>
              <w:t>有资质的</w:t>
            </w:r>
            <w:r>
              <w:rPr>
                <w:bCs/>
                <w:color w:val="auto"/>
                <w:sz w:val="24"/>
              </w:rPr>
              <w:t>公司统一处理</w:t>
            </w:r>
            <w:r>
              <w:rPr>
                <w:rFonts w:hint="eastAsia"/>
                <w:bCs/>
                <w:color w:val="auto"/>
                <w:sz w:val="24"/>
              </w:rPr>
              <w:t>。</w:t>
            </w:r>
          </w:p>
          <w:p>
            <w:pPr>
              <w:pStyle w:val="47"/>
              <w:spacing w:line="360" w:lineRule="auto"/>
              <w:ind w:firstLine="0" w:firstLineChars="0"/>
              <w:jc w:val="left"/>
              <w:rPr>
                <w:color w:val="auto"/>
                <w:sz w:val="24"/>
              </w:rPr>
            </w:pPr>
            <w:r>
              <w:rPr>
                <w:rFonts w:hint="eastAsia"/>
                <w:color w:val="auto"/>
                <w:sz w:val="24"/>
              </w:rPr>
              <w:t>4、现有工程问题</w:t>
            </w:r>
          </w:p>
          <w:p>
            <w:pPr>
              <w:pStyle w:val="47"/>
              <w:numPr>
                <w:ilvl w:val="0"/>
                <w:numId w:val="0"/>
              </w:numPr>
              <w:spacing w:line="360" w:lineRule="auto"/>
              <w:ind w:firstLine="480" w:firstLineChars="200"/>
              <w:jc w:val="left"/>
              <w:rPr>
                <w:rFonts w:hint="eastAsia"/>
                <w:color w:val="auto"/>
                <w:kern w:val="0"/>
                <w:sz w:val="24"/>
                <w:szCs w:val="21"/>
              </w:rPr>
            </w:pPr>
            <w:r>
              <w:rPr>
                <w:rFonts w:hint="eastAsia"/>
                <w:color w:val="auto"/>
                <w:kern w:val="0"/>
                <w:sz w:val="24"/>
                <w:szCs w:val="21"/>
                <w:lang w:val="en-US" w:eastAsia="zh-CN"/>
              </w:rPr>
              <w:t>根据现场调查以及对比</w:t>
            </w:r>
            <w:r>
              <w:rPr>
                <w:rFonts w:hint="eastAsia"/>
                <w:color w:val="auto"/>
                <w:kern w:val="0"/>
                <w:sz w:val="24"/>
                <w:szCs w:val="21"/>
                <w:lang w:eastAsia="zh-CN"/>
              </w:rPr>
              <w:t>《</w:t>
            </w:r>
            <w:r>
              <w:rPr>
                <w:rFonts w:hint="eastAsia"/>
                <w:color w:val="auto"/>
                <w:kern w:val="0"/>
                <w:sz w:val="24"/>
                <w:szCs w:val="21"/>
                <w:lang w:val="en-US" w:eastAsia="zh-CN"/>
              </w:rPr>
              <w:t>陕北油</w:t>
            </w:r>
            <w:r>
              <w:rPr>
                <w:rFonts w:hint="eastAsia"/>
                <w:color w:val="auto"/>
                <w:kern w:val="0"/>
                <w:sz w:val="24"/>
                <w:szCs w:val="21"/>
                <w:lang w:eastAsia="zh-CN"/>
              </w:rPr>
              <w:t>气田开采清洁文明井场验收标准》（陕环办发[2016]31号）的</w:t>
            </w:r>
            <w:r>
              <w:rPr>
                <w:rFonts w:hint="eastAsia"/>
                <w:color w:val="auto"/>
                <w:kern w:val="0"/>
                <w:sz w:val="24"/>
                <w:szCs w:val="21"/>
                <w:lang w:val="en-US" w:eastAsia="zh-CN"/>
              </w:rPr>
              <w:t>情况，本次评价提出本项目依托杨18井场以下现有问题：</w:t>
            </w:r>
            <w:r>
              <w:rPr>
                <w:rFonts w:hint="eastAsia"/>
                <w:color w:val="auto"/>
                <w:sz w:val="24"/>
              </w:rPr>
              <w:t>杨18井场</w:t>
            </w:r>
            <w:r>
              <w:rPr>
                <w:rFonts w:hint="eastAsia"/>
                <w:color w:val="auto"/>
                <w:kern w:val="0"/>
                <w:sz w:val="24"/>
                <w:szCs w:val="21"/>
              </w:rPr>
              <w:t>现有</w:t>
            </w:r>
            <w:r>
              <w:rPr>
                <w:rFonts w:hint="eastAsia"/>
                <w:color w:val="auto"/>
                <w:kern w:val="0"/>
                <w:sz w:val="24"/>
                <w:szCs w:val="21"/>
                <w:lang w:val="en-US" w:eastAsia="zh-CN"/>
              </w:rPr>
              <w:t>集油槽和</w:t>
            </w:r>
            <w:r>
              <w:rPr>
                <w:rFonts w:hint="eastAsia"/>
                <w:color w:val="auto"/>
                <w:kern w:val="0"/>
                <w:sz w:val="24"/>
                <w:szCs w:val="21"/>
              </w:rPr>
              <w:t>污油池为砖砌水泥沙浆抹面，污油池</w:t>
            </w:r>
            <w:r>
              <w:rPr>
                <w:rFonts w:hint="eastAsia"/>
                <w:color w:val="auto"/>
                <w:kern w:val="0"/>
                <w:sz w:val="24"/>
                <w:szCs w:val="21"/>
                <w:lang w:val="en-US" w:eastAsia="zh-CN"/>
              </w:rPr>
              <w:t>上方加盖，</w:t>
            </w:r>
            <w:r>
              <w:rPr>
                <w:rFonts w:hint="eastAsia"/>
                <w:color w:val="auto"/>
                <w:kern w:val="0"/>
                <w:sz w:val="24"/>
                <w:szCs w:val="21"/>
              </w:rPr>
              <w:t>四周设置护栏，未按照《石油化工工程防渗技术规范》（GB/T 50934-2013）中重点防渗要求进行防渗处理。</w:t>
            </w:r>
          </w:p>
          <w:p>
            <w:pPr>
              <w:pStyle w:val="43"/>
              <w:ind w:firstLine="0" w:firstLineChars="0"/>
              <w:rPr>
                <w:color w:val="auto"/>
                <w:sz w:val="24"/>
              </w:rPr>
            </w:pPr>
            <w:r>
              <w:rPr>
                <w:rFonts w:hint="eastAsia"/>
                <w:color w:val="auto"/>
                <w:sz w:val="24"/>
              </w:rPr>
              <w:t>5、“以新带老”措施</w:t>
            </w:r>
          </w:p>
          <w:p>
            <w:pPr>
              <w:pStyle w:val="18"/>
              <w:spacing w:after="0" w:line="360" w:lineRule="auto"/>
              <w:ind w:left="0" w:leftChars="0" w:firstLine="480"/>
              <w:rPr>
                <w:color w:val="auto"/>
                <w:kern w:val="0"/>
                <w:sz w:val="24"/>
                <w:szCs w:val="20"/>
              </w:rPr>
            </w:pPr>
            <w:r>
              <w:rPr>
                <w:rFonts w:hint="eastAsia"/>
                <w:color w:val="auto"/>
              </w:rPr>
              <w:t>为了解决上述问题，提出“以新带老”整改措施纳入本次工程，具体整改措施如下：</w:t>
            </w:r>
            <w:r>
              <w:rPr>
                <w:rFonts w:hint="eastAsia"/>
                <w:color w:val="auto"/>
                <w:kern w:val="0"/>
                <w:sz w:val="24"/>
                <w:szCs w:val="20"/>
              </w:rPr>
              <w:t>本环评要求加强</w:t>
            </w:r>
            <w:r>
              <w:rPr>
                <w:rFonts w:hint="eastAsia"/>
                <w:color w:val="auto"/>
                <w:kern w:val="0"/>
                <w:sz w:val="24"/>
                <w:szCs w:val="20"/>
                <w:lang w:val="en-US" w:eastAsia="zh-CN"/>
              </w:rPr>
              <w:t>集油槽和</w:t>
            </w:r>
            <w:r>
              <w:rPr>
                <w:rFonts w:hint="eastAsia"/>
                <w:color w:val="auto"/>
                <w:kern w:val="0"/>
                <w:sz w:val="24"/>
                <w:szCs w:val="20"/>
              </w:rPr>
              <w:t>污油池的维护，</w:t>
            </w:r>
            <w:r>
              <w:rPr>
                <w:rFonts w:hint="eastAsia"/>
                <w:color w:val="auto"/>
                <w:kern w:val="0"/>
                <w:sz w:val="24"/>
                <w:szCs w:val="20"/>
                <w:lang w:val="en-US" w:eastAsia="zh-CN"/>
              </w:rPr>
              <w:t>采取防渗及防腐措施，</w:t>
            </w:r>
            <w:r>
              <w:rPr>
                <w:rFonts w:hint="eastAsia"/>
                <w:color w:val="auto"/>
                <w:kern w:val="0"/>
                <w:sz w:val="24"/>
                <w:szCs w:val="20"/>
              </w:rPr>
              <w:t>确保防渗措施达到等效黏土防渗层Mb≥6.0m、K≤1×10</w:t>
            </w:r>
            <w:r>
              <w:rPr>
                <w:rFonts w:hint="eastAsia"/>
                <w:color w:val="auto"/>
                <w:kern w:val="0"/>
                <w:sz w:val="24"/>
                <w:szCs w:val="20"/>
                <w:vertAlign w:val="superscript"/>
              </w:rPr>
              <w:t>-7</w:t>
            </w:r>
            <w:r>
              <w:rPr>
                <w:rFonts w:hint="eastAsia"/>
                <w:color w:val="auto"/>
                <w:kern w:val="0"/>
                <w:sz w:val="24"/>
                <w:szCs w:val="20"/>
              </w:rPr>
              <w:t>cm/s或参照GB 18598执行的防渗等级要求。</w:t>
            </w:r>
          </w:p>
          <w:p>
            <w:pPr>
              <w:pStyle w:val="18"/>
              <w:ind w:left="0" w:leftChars="0" w:firstLine="480"/>
              <w:rPr>
                <w:rFonts w:hint="eastAsia"/>
                <w:color w:val="auto"/>
                <w:highlight w:val="none"/>
              </w:rPr>
            </w:pPr>
          </w:p>
          <w:p>
            <w:pPr>
              <w:rPr>
                <w:color w:val="auto"/>
                <w:sz w:val="24"/>
                <w:highlight w:val="yellow"/>
              </w:rPr>
            </w:pPr>
          </w:p>
          <w:p>
            <w:pPr>
              <w:pStyle w:val="18"/>
              <w:ind w:firstLine="480"/>
              <w:rPr>
                <w:color w:val="auto"/>
                <w:highlight w:val="yellow"/>
              </w:rPr>
            </w:pPr>
          </w:p>
          <w:p>
            <w:pPr>
              <w:rPr>
                <w:color w:val="auto"/>
                <w:sz w:val="24"/>
                <w:highlight w:val="yellow"/>
              </w:rPr>
            </w:pPr>
          </w:p>
          <w:p>
            <w:pPr>
              <w:pStyle w:val="18"/>
              <w:ind w:firstLine="480"/>
              <w:rPr>
                <w:color w:val="auto"/>
                <w:highlight w:val="yellow"/>
              </w:rPr>
            </w:pPr>
          </w:p>
          <w:p>
            <w:pPr>
              <w:rPr>
                <w:color w:val="auto"/>
                <w:sz w:val="24"/>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pStyle w:val="24"/>
              <w:rPr>
                <w:color w:val="auto"/>
                <w:highlight w:val="yellow"/>
              </w:rPr>
            </w:pPr>
          </w:p>
          <w:p>
            <w:pPr>
              <w:rPr>
                <w:color w:val="auto"/>
                <w:sz w:val="24"/>
                <w:highlight w:val="yellow"/>
              </w:rPr>
            </w:pPr>
          </w:p>
          <w:p>
            <w:pPr>
              <w:rPr>
                <w:color w:val="auto"/>
              </w:rPr>
            </w:pPr>
          </w:p>
        </w:tc>
      </w:tr>
    </w:tbl>
    <w:p>
      <w:pPr>
        <w:pStyle w:val="16"/>
        <w:jc w:val="center"/>
        <w:rPr>
          <w:rFonts w:ascii="黑体" w:hAnsi="黑体" w:eastAsia="黑体"/>
          <w:snapToGrid w:val="0"/>
          <w:color w:val="auto"/>
          <w:sz w:val="36"/>
          <w:szCs w:val="36"/>
        </w:rPr>
        <w:sectPr>
          <w:pgSz w:w="11906" w:h="16838"/>
          <w:pgMar w:top="1701" w:right="1531" w:bottom="1701" w:left="1531" w:header="851" w:footer="851" w:gutter="0"/>
          <w:cols w:space="720" w:num="1"/>
          <w:docGrid w:linePitch="312" w:charSpace="0"/>
        </w:sectPr>
      </w:pPr>
    </w:p>
    <w:p>
      <w:pPr>
        <w:pStyle w:val="16"/>
        <w:adjustRightInd w:val="0"/>
        <w:snapToGrid w:val="0"/>
        <w:spacing w:before="0" w:beforeAutospacing="0" w:after="0" w:afterAutospacing="0" w:line="14" w:lineRule="auto"/>
        <w:jc w:val="center"/>
        <w:outlineLvl w:val="0"/>
        <w:rPr>
          <w:rFonts w:ascii="黑体" w:hAnsi="黑体" w:eastAsia="黑体"/>
          <w:snapToGrid w:val="0"/>
          <w:color w:val="auto"/>
          <w:sz w:val="30"/>
          <w:szCs w:val="30"/>
        </w:rPr>
      </w:pPr>
    </w:p>
    <w:p>
      <w:pPr>
        <w:pStyle w:val="16"/>
        <w:jc w:val="center"/>
        <w:outlineLvl w:val="0"/>
        <w:rPr>
          <w:rFonts w:ascii="黑体" w:hAnsi="黑体" w:eastAsia="黑体"/>
          <w:snapToGrid w:val="0"/>
          <w:color w:val="auto"/>
          <w:sz w:val="30"/>
          <w:szCs w:val="30"/>
        </w:rPr>
      </w:pPr>
      <w:r>
        <w:rPr>
          <w:rFonts w:hint="eastAsia" w:ascii="黑体" w:hAnsi="黑体" w:eastAsia="黑体"/>
          <w:snapToGrid w:val="0"/>
          <w:color w:val="auto"/>
          <w:sz w:val="30"/>
          <w:szCs w:val="30"/>
        </w:rPr>
        <w:t>三、区域环境质量现状、环境保护目标及评价标准</w:t>
      </w:r>
    </w:p>
    <w:tbl>
      <w:tblPr>
        <w:tblStyle w:val="19"/>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00"/>
        <w:gridCol w:w="819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906" w:hRule="atLeast"/>
          <w:jc w:val="center"/>
        </w:trPr>
        <w:tc>
          <w:tcPr>
            <w:tcW w:w="800" w:type="dxa"/>
            <w:vAlign w:val="center"/>
          </w:tcPr>
          <w:p>
            <w:pPr>
              <w:adjustRightInd w:val="0"/>
              <w:snapToGrid w:val="0"/>
              <w:jc w:val="center"/>
              <w:rPr>
                <w:rFonts w:ascii="宋体" w:hAnsi="宋体" w:cs="宋体"/>
                <w:color w:val="auto"/>
                <w:kern w:val="0"/>
                <w:sz w:val="24"/>
              </w:rPr>
            </w:pPr>
            <w:r>
              <w:rPr>
                <w:rFonts w:hint="eastAsia" w:ascii="宋体" w:hAnsi="宋体" w:cs="宋体"/>
                <w:color w:val="auto"/>
                <w:kern w:val="0"/>
                <w:sz w:val="24"/>
              </w:rPr>
              <w:t>区域</w:t>
            </w:r>
          </w:p>
          <w:p>
            <w:pPr>
              <w:adjustRightInd w:val="0"/>
              <w:snapToGrid w:val="0"/>
              <w:jc w:val="center"/>
              <w:rPr>
                <w:rFonts w:ascii="宋体" w:hAnsi="宋体" w:cs="宋体"/>
                <w:color w:val="auto"/>
                <w:kern w:val="0"/>
                <w:sz w:val="24"/>
              </w:rPr>
            </w:pPr>
            <w:r>
              <w:rPr>
                <w:rFonts w:hint="eastAsia" w:ascii="宋体" w:hAnsi="宋体" w:cs="宋体"/>
                <w:color w:val="auto"/>
                <w:kern w:val="0"/>
                <w:sz w:val="24"/>
              </w:rPr>
              <w:t>环境</w:t>
            </w:r>
          </w:p>
          <w:p>
            <w:pPr>
              <w:adjustRightInd w:val="0"/>
              <w:snapToGrid w:val="0"/>
              <w:jc w:val="center"/>
              <w:rPr>
                <w:rFonts w:ascii="宋体" w:hAnsi="宋体" w:cs="宋体"/>
                <w:color w:val="auto"/>
                <w:kern w:val="0"/>
                <w:sz w:val="24"/>
              </w:rPr>
            </w:pPr>
            <w:r>
              <w:rPr>
                <w:rFonts w:hint="eastAsia" w:ascii="宋体" w:hAnsi="宋体" w:cs="宋体"/>
                <w:color w:val="auto"/>
                <w:kern w:val="0"/>
                <w:sz w:val="24"/>
              </w:rPr>
              <w:t>质量</w:t>
            </w:r>
          </w:p>
          <w:p>
            <w:pPr>
              <w:adjustRightInd w:val="0"/>
              <w:snapToGrid w:val="0"/>
              <w:jc w:val="center"/>
              <w:rPr>
                <w:rFonts w:ascii="宋体" w:hAnsi="宋体" w:cs="宋体"/>
                <w:color w:val="auto"/>
                <w:kern w:val="0"/>
                <w:szCs w:val="21"/>
              </w:rPr>
            </w:pPr>
            <w:r>
              <w:rPr>
                <w:rFonts w:hint="eastAsia" w:ascii="宋体" w:hAnsi="宋体" w:cs="宋体"/>
                <w:color w:val="auto"/>
                <w:kern w:val="0"/>
                <w:sz w:val="24"/>
              </w:rPr>
              <w:t>现状</w:t>
            </w:r>
          </w:p>
        </w:tc>
        <w:tc>
          <w:tcPr>
            <w:tcW w:w="8190" w:type="dxa"/>
            <w:vAlign w:val="center"/>
          </w:tcPr>
          <w:p>
            <w:pPr>
              <w:spacing w:line="360" w:lineRule="auto"/>
              <w:rPr>
                <w:color w:val="auto"/>
                <w:sz w:val="24"/>
                <w:szCs w:val="32"/>
              </w:rPr>
            </w:pPr>
            <w:r>
              <w:rPr>
                <w:rFonts w:hint="eastAsia"/>
                <w:color w:val="auto"/>
                <w:sz w:val="24"/>
                <w:szCs w:val="32"/>
              </w:rPr>
              <w:t>1、</w:t>
            </w:r>
            <w:r>
              <w:rPr>
                <w:color w:val="auto"/>
                <w:sz w:val="24"/>
                <w:szCs w:val="32"/>
              </w:rPr>
              <w:t>环境空气</w:t>
            </w:r>
            <w:r>
              <w:rPr>
                <w:rFonts w:hint="eastAsia"/>
                <w:color w:val="auto"/>
                <w:sz w:val="24"/>
                <w:szCs w:val="32"/>
              </w:rPr>
              <w:t>质量现状</w:t>
            </w:r>
          </w:p>
          <w:p>
            <w:pPr>
              <w:spacing w:line="360" w:lineRule="auto"/>
              <w:ind w:firstLine="480" w:firstLineChars="200"/>
              <w:rPr>
                <w:color w:val="auto"/>
                <w:sz w:val="24"/>
                <w:szCs w:val="32"/>
              </w:rPr>
            </w:pPr>
            <w:r>
              <w:rPr>
                <w:rFonts w:hint="eastAsia"/>
                <w:color w:val="auto"/>
                <w:sz w:val="24"/>
                <w:szCs w:val="32"/>
              </w:rPr>
              <w:t>（1）</w:t>
            </w:r>
            <w:r>
              <w:rPr>
                <w:color w:val="auto"/>
                <w:sz w:val="24"/>
                <w:szCs w:val="32"/>
              </w:rPr>
              <w:t>基本污染物</w:t>
            </w:r>
          </w:p>
          <w:p>
            <w:pPr>
              <w:spacing w:line="360" w:lineRule="auto"/>
              <w:ind w:firstLine="480" w:firstLineChars="200"/>
              <w:rPr>
                <w:color w:val="auto"/>
                <w:sz w:val="24"/>
                <w:szCs w:val="32"/>
              </w:rPr>
            </w:pPr>
            <w:r>
              <w:rPr>
                <w:rFonts w:hint="eastAsia"/>
                <w:color w:val="auto"/>
                <w:sz w:val="24"/>
                <w:szCs w:val="32"/>
              </w:rPr>
              <w:t>本项目位于榆林省靖边县，根据陕西省生态环境厅办公室2023年1月18日发布的“环保快报（2022年12月及1~12月全省环境空气质量状况）”，靖边县统计结果如下表。</w:t>
            </w:r>
          </w:p>
          <w:p>
            <w:pPr>
              <w:ind w:firstLine="422" w:firstLineChars="200"/>
              <w:rPr>
                <w:b/>
                <w:bCs/>
                <w:color w:val="auto"/>
                <w:highlight w:val="yellow"/>
              </w:rPr>
            </w:pPr>
            <w:r>
              <w:rPr>
                <w:b/>
                <w:bCs/>
                <w:color w:val="auto"/>
              </w:rPr>
              <w:t xml:space="preserve">表3-1  </w:t>
            </w:r>
            <w:r>
              <w:rPr>
                <w:rFonts w:hint="eastAsia"/>
                <w:b/>
                <w:bCs/>
                <w:color w:val="auto"/>
              </w:rPr>
              <w:t xml:space="preserve">              </w:t>
            </w:r>
            <w:r>
              <w:rPr>
                <w:b/>
                <w:bCs/>
                <w:color w:val="auto"/>
              </w:rPr>
              <w:t>20</w:t>
            </w:r>
            <w:r>
              <w:rPr>
                <w:rFonts w:hint="eastAsia"/>
                <w:b/>
                <w:bCs/>
                <w:color w:val="auto"/>
              </w:rPr>
              <w:t>22</w:t>
            </w:r>
            <w:r>
              <w:rPr>
                <w:b/>
                <w:bCs/>
                <w:color w:val="auto"/>
              </w:rPr>
              <w:t>年</w:t>
            </w:r>
            <w:r>
              <w:rPr>
                <w:rFonts w:hint="eastAsia"/>
                <w:b/>
                <w:bCs/>
                <w:color w:val="auto"/>
              </w:rPr>
              <w:t>靖边县环境</w:t>
            </w:r>
            <w:r>
              <w:rPr>
                <w:b/>
                <w:bCs/>
                <w:color w:val="auto"/>
              </w:rPr>
              <w:t>空气质量状况统计表</w:t>
            </w:r>
          </w:p>
          <w:tbl>
            <w:tblPr>
              <w:tblStyle w:val="19"/>
              <w:tblW w:w="77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4"/>
              <w:gridCol w:w="2151"/>
              <w:gridCol w:w="1246"/>
              <w:gridCol w:w="1249"/>
              <w:gridCol w:w="1257"/>
              <w:gridCol w:w="10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jc w:val="center"/>
              </w:trPr>
              <w:tc>
                <w:tcPr>
                  <w:tcW w:w="542" w:type="pct"/>
                  <w:vAlign w:val="center"/>
                </w:tcPr>
                <w:p>
                  <w:pPr>
                    <w:jc w:val="center"/>
                    <w:rPr>
                      <w:color w:val="auto"/>
                    </w:rPr>
                  </w:pPr>
                  <w:r>
                    <w:rPr>
                      <w:color w:val="auto"/>
                    </w:rPr>
                    <w:t>污染物</w:t>
                  </w:r>
                </w:p>
              </w:tc>
              <w:tc>
                <w:tcPr>
                  <w:tcW w:w="1381" w:type="pct"/>
                  <w:vAlign w:val="center"/>
                </w:tcPr>
                <w:p>
                  <w:pPr>
                    <w:jc w:val="center"/>
                    <w:rPr>
                      <w:color w:val="auto"/>
                    </w:rPr>
                  </w:pPr>
                  <w:r>
                    <w:rPr>
                      <w:color w:val="auto"/>
                    </w:rPr>
                    <w:t>年评价指标</w:t>
                  </w:r>
                </w:p>
              </w:tc>
              <w:tc>
                <w:tcPr>
                  <w:tcW w:w="801" w:type="pct"/>
                  <w:tcBorders>
                    <w:bottom w:val="single" w:color="auto" w:sz="4" w:space="0"/>
                  </w:tcBorders>
                  <w:vAlign w:val="center"/>
                </w:tcPr>
                <w:p>
                  <w:pPr>
                    <w:jc w:val="center"/>
                    <w:rPr>
                      <w:color w:val="auto"/>
                    </w:rPr>
                  </w:pPr>
                  <w:r>
                    <w:rPr>
                      <w:color w:val="auto"/>
                    </w:rPr>
                    <w:t>现状浓度/（μg/m</w:t>
                  </w:r>
                  <w:r>
                    <w:rPr>
                      <w:color w:val="auto"/>
                      <w:vertAlign w:val="superscript"/>
                    </w:rPr>
                    <w:t>3</w:t>
                  </w:r>
                  <w:r>
                    <w:rPr>
                      <w:color w:val="auto"/>
                    </w:rPr>
                    <w:t>）</w:t>
                  </w:r>
                </w:p>
              </w:tc>
              <w:tc>
                <w:tcPr>
                  <w:tcW w:w="803" w:type="pct"/>
                  <w:tcBorders>
                    <w:bottom w:val="single" w:color="auto" w:sz="4" w:space="0"/>
                  </w:tcBorders>
                  <w:vAlign w:val="center"/>
                </w:tcPr>
                <w:p>
                  <w:pPr>
                    <w:jc w:val="center"/>
                    <w:rPr>
                      <w:color w:val="auto"/>
                    </w:rPr>
                  </w:pPr>
                  <w:r>
                    <w:rPr>
                      <w:color w:val="auto"/>
                    </w:rPr>
                    <w:t>标准值/</w:t>
                  </w:r>
                </w:p>
                <w:p>
                  <w:pPr>
                    <w:jc w:val="center"/>
                    <w:rPr>
                      <w:color w:val="auto"/>
                    </w:rPr>
                  </w:pPr>
                  <w:r>
                    <w:rPr>
                      <w:color w:val="auto"/>
                    </w:rPr>
                    <w:t>（μg/m</w:t>
                  </w:r>
                  <w:r>
                    <w:rPr>
                      <w:color w:val="auto"/>
                      <w:vertAlign w:val="superscript"/>
                    </w:rPr>
                    <w:t>3</w:t>
                  </w:r>
                  <w:r>
                    <w:rPr>
                      <w:color w:val="auto"/>
                    </w:rPr>
                    <w:t>）</w:t>
                  </w:r>
                </w:p>
              </w:tc>
              <w:tc>
                <w:tcPr>
                  <w:tcW w:w="808" w:type="pct"/>
                  <w:tcBorders>
                    <w:bottom w:val="single" w:color="auto" w:sz="4" w:space="0"/>
                  </w:tcBorders>
                  <w:vAlign w:val="center"/>
                </w:tcPr>
                <w:p>
                  <w:pPr>
                    <w:ind w:firstLine="105" w:firstLineChars="50"/>
                    <w:rPr>
                      <w:color w:val="auto"/>
                    </w:rPr>
                  </w:pPr>
                  <w:r>
                    <w:rPr>
                      <w:color w:val="auto"/>
                    </w:rPr>
                    <w:t>占标率/%</w:t>
                  </w:r>
                </w:p>
              </w:tc>
              <w:tc>
                <w:tcPr>
                  <w:tcW w:w="662" w:type="pct"/>
                  <w:vAlign w:val="center"/>
                </w:tcPr>
                <w:p>
                  <w:pPr>
                    <w:jc w:val="center"/>
                    <w:rPr>
                      <w:color w:val="auto"/>
                    </w:rPr>
                  </w:pPr>
                  <w:r>
                    <w:rPr>
                      <w:color w:val="auto"/>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jc w:val="center"/>
              </w:trPr>
              <w:tc>
                <w:tcPr>
                  <w:tcW w:w="542" w:type="pct"/>
                  <w:vAlign w:val="center"/>
                </w:tcPr>
                <w:p>
                  <w:pPr>
                    <w:jc w:val="center"/>
                    <w:rPr>
                      <w:color w:val="auto"/>
                    </w:rPr>
                  </w:pPr>
                  <w:r>
                    <w:rPr>
                      <w:color w:val="auto"/>
                    </w:rPr>
                    <w:t>PM</w:t>
                  </w:r>
                  <w:r>
                    <w:rPr>
                      <w:color w:val="auto"/>
                      <w:vertAlign w:val="subscript"/>
                    </w:rPr>
                    <w:t>10</w:t>
                  </w:r>
                </w:p>
              </w:tc>
              <w:tc>
                <w:tcPr>
                  <w:tcW w:w="1381" w:type="pct"/>
                  <w:vAlign w:val="center"/>
                </w:tcPr>
                <w:p>
                  <w:pPr>
                    <w:jc w:val="center"/>
                    <w:rPr>
                      <w:color w:val="auto"/>
                    </w:rPr>
                  </w:pPr>
                  <w:r>
                    <w:rPr>
                      <w:color w:val="auto"/>
                    </w:rPr>
                    <w:t>年平均质量浓度</w:t>
                  </w:r>
                </w:p>
              </w:tc>
              <w:tc>
                <w:tcPr>
                  <w:tcW w:w="801" w:type="pct"/>
                  <w:tcBorders>
                    <w:top w:val="single" w:color="auto" w:sz="4" w:space="0"/>
                    <w:bottom w:val="single" w:color="auto" w:sz="4" w:space="0"/>
                  </w:tcBorders>
                  <w:vAlign w:val="center"/>
                </w:tcPr>
                <w:p>
                  <w:pPr>
                    <w:jc w:val="center"/>
                    <w:rPr>
                      <w:rFonts w:hint="eastAsia" w:eastAsia="宋体"/>
                      <w:color w:val="auto"/>
                      <w:lang w:val="en-US" w:eastAsia="zh-CN"/>
                    </w:rPr>
                  </w:pPr>
                  <w:r>
                    <w:rPr>
                      <w:rFonts w:hint="eastAsia"/>
                      <w:color w:val="auto"/>
                    </w:rPr>
                    <w:t>5</w:t>
                  </w:r>
                  <w:r>
                    <w:rPr>
                      <w:rFonts w:hint="eastAsia"/>
                      <w:color w:val="auto"/>
                      <w:lang w:val="en-US" w:eastAsia="zh-CN"/>
                    </w:rPr>
                    <w:t>6</w:t>
                  </w:r>
                </w:p>
              </w:tc>
              <w:tc>
                <w:tcPr>
                  <w:tcW w:w="803" w:type="pct"/>
                  <w:tcBorders>
                    <w:top w:val="single" w:color="auto" w:sz="4" w:space="0"/>
                    <w:bottom w:val="single" w:color="auto" w:sz="4" w:space="0"/>
                  </w:tcBorders>
                  <w:vAlign w:val="center"/>
                </w:tcPr>
                <w:p>
                  <w:pPr>
                    <w:jc w:val="center"/>
                    <w:rPr>
                      <w:color w:val="auto"/>
                    </w:rPr>
                  </w:pPr>
                  <w:r>
                    <w:rPr>
                      <w:color w:val="auto"/>
                    </w:rPr>
                    <w:t>70</w:t>
                  </w:r>
                </w:p>
              </w:tc>
              <w:tc>
                <w:tcPr>
                  <w:tcW w:w="808" w:type="pct"/>
                  <w:tcBorders>
                    <w:top w:val="single" w:color="auto" w:sz="4" w:space="0"/>
                    <w:left w:val="nil"/>
                    <w:bottom w:val="single" w:color="auto" w:sz="4" w:space="0"/>
                    <w:right w:val="nil"/>
                  </w:tcBorders>
                  <w:vAlign w:val="center"/>
                </w:tcPr>
                <w:p>
                  <w:pPr>
                    <w:jc w:val="center"/>
                    <w:rPr>
                      <w:rFonts w:eastAsia="等线"/>
                      <w:color w:val="auto"/>
                      <w:kern w:val="0"/>
                      <w:szCs w:val="21"/>
                    </w:rPr>
                  </w:pPr>
                  <w:r>
                    <w:rPr>
                      <w:rFonts w:hint="eastAsia"/>
                      <w:color w:val="auto"/>
                    </w:rPr>
                    <w:t>77.14</w:t>
                  </w:r>
                </w:p>
              </w:tc>
              <w:tc>
                <w:tcPr>
                  <w:tcW w:w="662" w:type="pct"/>
                  <w:vAlign w:val="center"/>
                </w:tcPr>
                <w:p>
                  <w:pPr>
                    <w:jc w:val="center"/>
                    <w:rPr>
                      <w:color w:val="auto"/>
                    </w:rPr>
                  </w:pPr>
                  <w:r>
                    <w:rPr>
                      <w:color w:val="auto"/>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jc w:val="center"/>
              </w:trPr>
              <w:tc>
                <w:tcPr>
                  <w:tcW w:w="542" w:type="pct"/>
                  <w:vAlign w:val="center"/>
                </w:tcPr>
                <w:p>
                  <w:pPr>
                    <w:jc w:val="center"/>
                    <w:rPr>
                      <w:color w:val="auto"/>
                    </w:rPr>
                  </w:pPr>
                  <w:r>
                    <w:rPr>
                      <w:color w:val="auto"/>
                    </w:rPr>
                    <w:t>PM</w:t>
                  </w:r>
                  <w:r>
                    <w:rPr>
                      <w:color w:val="auto"/>
                      <w:vertAlign w:val="subscript"/>
                    </w:rPr>
                    <w:t>2.5</w:t>
                  </w:r>
                </w:p>
              </w:tc>
              <w:tc>
                <w:tcPr>
                  <w:tcW w:w="1381" w:type="pct"/>
                  <w:vAlign w:val="center"/>
                </w:tcPr>
                <w:p>
                  <w:pPr>
                    <w:jc w:val="center"/>
                    <w:rPr>
                      <w:color w:val="auto"/>
                    </w:rPr>
                  </w:pPr>
                  <w:r>
                    <w:rPr>
                      <w:color w:val="auto"/>
                    </w:rPr>
                    <w:t>年平均质量浓度</w:t>
                  </w:r>
                </w:p>
              </w:tc>
              <w:tc>
                <w:tcPr>
                  <w:tcW w:w="801" w:type="pct"/>
                  <w:tcBorders>
                    <w:top w:val="single" w:color="auto" w:sz="4" w:space="0"/>
                    <w:bottom w:val="single" w:color="auto" w:sz="4" w:space="0"/>
                  </w:tcBorders>
                  <w:vAlign w:val="center"/>
                </w:tcPr>
                <w:p>
                  <w:pPr>
                    <w:jc w:val="center"/>
                    <w:rPr>
                      <w:rFonts w:hint="eastAsia" w:eastAsia="宋体"/>
                      <w:color w:val="auto"/>
                      <w:lang w:val="en-US" w:eastAsia="zh-CN"/>
                    </w:rPr>
                  </w:pPr>
                  <w:r>
                    <w:rPr>
                      <w:rFonts w:hint="eastAsia"/>
                      <w:color w:val="auto"/>
                    </w:rPr>
                    <w:t>2</w:t>
                  </w:r>
                  <w:r>
                    <w:rPr>
                      <w:rFonts w:hint="eastAsia"/>
                      <w:color w:val="auto"/>
                      <w:lang w:val="en-US" w:eastAsia="zh-CN"/>
                    </w:rPr>
                    <w:t>4</w:t>
                  </w:r>
                </w:p>
              </w:tc>
              <w:tc>
                <w:tcPr>
                  <w:tcW w:w="803" w:type="pct"/>
                  <w:tcBorders>
                    <w:top w:val="single" w:color="auto" w:sz="4" w:space="0"/>
                    <w:bottom w:val="single" w:color="auto" w:sz="4" w:space="0"/>
                  </w:tcBorders>
                  <w:vAlign w:val="center"/>
                </w:tcPr>
                <w:p>
                  <w:pPr>
                    <w:jc w:val="center"/>
                    <w:rPr>
                      <w:color w:val="auto"/>
                    </w:rPr>
                  </w:pPr>
                  <w:r>
                    <w:rPr>
                      <w:color w:val="auto"/>
                    </w:rPr>
                    <w:t>35</w:t>
                  </w:r>
                </w:p>
              </w:tc>
              <w:tc>
                <w:tcPr>
                  <w:tcW w:w="808" w:type="pct"/>
                  <w:tcBorders>
                    <w:top w:val="single" w:color="auto" w:sz="4" w:space="0"/>
                    <w:left w:val="nil"/>
                    <w:bottom w:val="single" w:color="auto" w:sz="4" w:space="0"/>
                    <w:right w:val="nil"/>
                  </w:tcBorders>
                  <w:vAlign w:val="center"/>
                </w:tcPr>
                <w:p>
                  <w:pPr>
                    <w:jc w:val="center"/>
                    <w:rPr>
                      <w:rFonts w:eastAsia="等线"/>
                      <w:color w:val="auto"/>
                      <w:szCs w:val="21"/>
                    </w:rPr>
                  </w:pPr>
                  <w:r>
                    <w:rPr>
                      <w:rFonts w:hint="eastAsia"/>
                      <w:color w:val="auto"/>
                    </w:rPr>
                    <w:t>74.29</w:t>
                  </w:r>
                </w:p>
              </w:tc>
              <w:tc>
                <w:tcPr>
                  <w:tcW w:w="662" w:type="pct"/>
                  <w:vAlign w:val="center"/>
                </w:tcPr>
                <w:p>
                  <w:pPr>
                    <w:jc w:val="center"/>
                    <w:rPr>
                      <w:color w:val="auto"/>
                    </w:rPr>
                  </w:pPr>
                  <w:r>
                    <w:rPr>
                      <w:color w:val="auto"/>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jc w:val="center"/>
              </w:trPr>
              <w:tc>
                <w:tcPr>
                  <w:tcW w:w="542" w:type="pct"/>
                  <w:vAlign w:val="center"/>
                </w:tcPr>
                <w:p>
                  <w:pPr>
                    <w:jc w:val="center"/>
                    <w:rPr>
                      <w:color w:val="auto"/>
                    </w:rPr>
                  </w:pPr>
                  <w:r>
                    <w:rPr>
                      <w:color w:val="auto"/>
                    </w:rPr>
                    <w:t>SO</w:t>
                  </w:r>
                  <w:r>
                    <w:rPr>
                      <w:color w:val="auto"/>
                      <w:vertAlign w:val="subscript"/>
                    </w:rPr>
                    <w:t>2</w:t>
                  </w:r>
                </w:p>
              </w:tc>
              <w:tc>
                <w:tcPr>
                  <w:tcW w:w="1381" w:type="pct"/>
                  <w:vAlign w:val="center"/>
                </w:tcPr>
                <w:p>
                  <w:pPr>
                    <w:jc w:val="center"/>
                    <w:rPr>
                      <w:color w:val="auto"/>
                    </w:rPr>
                  </w:pPr>
                  <w:r>
                    <w:rPr>
                      <w:color w:val="auto"/>
                    </w:rPr>
                    <w:t>年平均质量浓度</w:t>
                  </w:r>
                </w:p>
              </w:tc>
              <w:tc>
                <w:tcPr>
                  <w:tcW w:w="801" w:type="pct"/>
                  <w:tcBorders>
                    <w:top w:val="single" w:color="auto" w:sz="4" w:space="0"/>
                    <w:bottom w:val="single" w:color="auto" w:sz="4" w:space="0"/>
                  </w:tcBorders>
                  <w:vAlign w:val="center"/>
                </w:tcPr>
                <w:p>
                  <w:pPr>
                    <w:jc w:val="center"/>
                    <w:rPr>
                      <w:rFonts w:hint="eastAsia" w:eastAsia="宋体"/>
                      <w:color w:val="auto"/>
                      <w:lang w:val="en-US" w:eastAsia="zh-CN"/>
                    </w:rPr>
                  </w:pPr>
                  <w:r>
                    <w:rPr>
                      <w:rFonts w:hint="eastAsia"/>
                      <w:color w:val="auto"/>
                    </w:rPr>
                    <w:t>1</w:t>
                  </w:r>
                  <w:r>
                    <w:rPr>
                      <w:rFonts w:hint="eastAsia"/>
                      <w:color w:val="auto"/>
                      <w:lang w:val="en-US" w:eastAsia="zh-CN"/>
                    </w:rPr>
                    <w:t>1</w:t>
                  </w:r>
                </w:p>
              </w:tc>
              <w:tc>
                <w:tcPr>
                  <w:tcW w:w="803" w:type="pct"/>
                  <w:tcBorders>
                    <w:top w:val="single" w:color="auto" w:sz="4" w:space="0"/>
                    <w:bottom w:val="single" w:color="auto" w:sz="4" w:space="0"/>
                  </w:tcBorders>
                  <w:vAlign w:val="center"/>
                </w:tcPr>
                <w:p>
                  <w:pPr>
                    <w:jc w:val="center"/>
                    <w:rPr>
                      <w:color w:val="auto"/>
                    </w:rPr>
                  </w:pPr>
                  <w:r>
                    <w:rPr>
                      <w:color w:val="auto"/>
                    </w:rPr>
                    <w:t>60</w:t>
                  </w:r>
                </w:p>
              </w:tc>
              <w:tc>
                <w:tcPr>
                  <w:tcW w:w="808" w:type="pct"/>
                  <w:tcBorders>
                    <w:top w:val="single" w:color="auto" w:sz="4" w:space="0"/>
                    <w:left w:val="nil"/>
                    <w:bottom w:val="single" w:color="auto" w:sz="4" w:space="0"/>
                    <w:right w:val="nil"/>
                  </w:tcBorders>
                  <w:vAlign w:val="center"/>
                </w:tcPr>
                <w:p>
                  <w:pPr>
                    <w:jc w:val="center"/>
                    <w:rPr>
                      <w:rFonts w:eastAsia="等线"/>
                      <w:color w:val="auto"/>
                      <w:szCs w:val="21"/>
                    </w:rPr>
                  </w:pPr>
                  <w:r>
                    <w:rPr>
                      <w:rFonts w:hint="eastAsia"/>
                      <w:color w:val="auto"/>
                    </w:rPr>
                    <w:t>16.67</w:t>
                  </w:r>
                </w:p>
              </w:tc>
              <w:tc>
                <w:tcPr>
                  <w:tcW w:w="662" w:type="pct"/>
                  <w:vAlign w:val="center"/>
                </w:tcPr>
                <w:p>
                  <w:pPr>
                    <w:jc w:val="center"/>
                    <w:rPr>
                      <w:color w:val="auto"/>
                    </w:rPr>
                  </w:pPr>
                  <w:r>
                    <w:rPr>
                      <w:color w:val="auto"/>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jc w:val="center"/>
              </w:trPr>
              <w:tc>
                <w:tcPr>
                  <w:tcW w:w="542" w:type="pct"/>
                  <w:vAlign w:val="center"/>
                </w:tcPr>
                <w:p>
                  <w:pPr>
                    <w:jc w:val="center"/>
                    <w:rPr>
                      <w:color w:val="auto"/>
                    </w:rPr>
                  </w:pPr>
                  <w:r>
                    <w:rPr>
                      <w:color w:val="auto"/>
                    </w:rPr>
                    <w:t>NO</w:t>
                  </w:r>
                  <w:r>
                    <w:rPr>
                      <w:color w:val="auto"/>
                      <w:vertAlign w:val="subscript"/>
                    </w:rPr>
                    <w:t>2</w:t>
                  </w:r>
                </w:p>
              </w:tc>
              <w:tc>
                <w:tcPr>
                  <w:tcW w:w="1381" w:type="pct"/>
                  <w:vAlign w:val="center"/>
                </w:tcPr>
                <w:p>
                  <w:pPr>
                    <w:jc w:val="center"/>
                    <w:rPr>
                      <w:color w:val="auto"/>
                    </w:rPr>
                  </w:pPr>
                  <w:r>
                    <w:rPr>
                      <w:color w:val="auto"/>
                    </w:rPr>
                    <w:t>年平均质量浓度</w:t>
                  </w:r>
                </w:p>
              </w:tc>
              <w:tc>
                <w:tcPr>
                  <w:tcW w:w="801" w:type="pct"/>
                  <w:tcBorders>
                    <w:top w:val="single" w:color="auto" w:sz="4" w:space="0"/>
                    <w:bottom w:val="single" w:color="auto" w:sz="4" w:space="0"/>
                  </w:tcBorders>
                  <w:vAlign w:val="center"/>
                </w:tcPr>
                <w:p>
                  <w:pPr>
                    <w:jc w:val="center"/>
                    <w:rPr>
                      <w:rFonts w:hint="eastAsia" w:eastAsia="宋体"/>
                      <w:color w:val="auto"/>
                      <w:lang w:val="en-US" w:eastAsia="zh-CN"/>
                    </w:rPr>
                  </w:pPr>
                  <w:r>
                    <w:rPr>
                      <w:rFonts w:hint="eastAsia"/>
                      <w:color w:val="auto"/>
                    </w:rPr>
                    <w:t>2</w:t>
                  </w:r>
                  <w:r>
                    <w:rPr>
                      <w:rFonts w:hint="eastAsia"/>
                      <w:color w:val="auto"/>
                      <w:lang w:val="en-US" w:eastAsia="zh-CN"/>
                    </w:rPr>
                    <w:t>1</w:t>
                  </w:r>
                </w:p>
              </w:tc>
              <w:tc>
                <w:tcPr>
                  <w:tcW w:w="803" w:type="pct"/>
                  <w:tcBorders>
                    <w:top w:val="single" w:color="auto" w:sz="4" w:space="0"/>
                    <w:bottom w:val="single" w:color="auto" w:sz="4" w:space="0"/>
                  </w:tcBorders>
                  <w:vAlign w:val="center"/>
                </w:tcPr>
                <w:p>
                  <w:pPr>
                    <w:jc w:val="center"/>
                    <w:rPr>
                      <w:color w:val="auto"/>
                    </w:rPr>
                  </w:pPr>
                  <w:r>
                    <w:rPr>
                      <w:color w:val="auto"/>
                    </w:rPr>
                    <w:t>40</w:t>
                  </w:r>
                </w:p>
              </w:tc>
              <w:tc>
                <w:tcPr>
                  <w:tcW w:w="808" w:type="pct"/>
                  <w:tcBorders>
                    <w:top w:val="single" w:color="auto" w:sz="4" w:space="0"/>
                    <w:left w:val="nil"/>
                    <w:bottom w:val="single" w:color="auto" w:sz="4" w:space="0"/>
                    <w:right w:val="nil"/>
                  </w:tcBorders>
                  <w:vAlign w:val="center"/>
                </w:tcPr>
                <w:p>
                  <w:pPr>
                    <w:jc w:val="center"/>
                    <w:rPr>
                      <w:rFonts w:eastAsia="等线"/>
                      <w:color w:val="auto"/>
                      <w:szCs w:val="21"/>
                    </w:rPr>
                  </w:pPr>
                  <w:r>
                    <w:rPr>
                      <w:rFonts w:hint="eastAsia"/>
                      <w:color w:val="auto"/>
                    </w:rPr>
                    <w:t>55</w:t>
                  </w:r>
                </w:p>
              </w:tc>
              <w:tc>
                <w:tcPr>
                  <w:tcW w:w="662" w:type="pct"/>
                  <w:vAlign w:val="center"/>
                </w:tcPr>
                <w:p>
                  <w:pPr>
                    <w:jc w:val="center"/>
                    <w:rPr>
                      <w:color w:val="auto"/>
                    </w:rPr>
                  </w:pPr>
                  <w:r>
                    <w:rPr>
                      <w:color w:val="auto"/>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jc w:val="center"/>
              </w:trPr>
              <w:tc>
                <w:tcPr>
                  <w:tcW w:w="542" w:type="pct"/>
                  <w:vAlign w:val="center"/>
                </w:tcPr>
                <w:p>
                  <w:pPr>
                    <w:jc w:val="center"/>
                    <w:rPr>
                      <w:color w:val="auto"/>
                    </w:rPr>
                  </w:pPr>
                  <w:r>
                    <w:rPr>
                      <w:color w:val="auto"/>
                    </w:rPr>
                    <w:t>CO</w:t>
                  </w:r>
                </w:p>
              </w:tc>
              <w:tc>
                <w:tcPr>
                  <w:tcW w:w="1381" w:type="pct"/>
                  <w:vAlign w:val="center"/>
                </w:tcPr>
                <w:p>
                  <w:pPr>
                    <w:jc w:val="center"/>
                    <w:rPr>
                      <w:color w:val="auto"/>
                    </w:rPr>
                  </w:pPr>
                  <w:r>
                    <w:rPr>
                      <w:color w:val="auto"/>
                    </w:rPr>
                    <w:t>日均浓度第95百分位</w:t>
                  </w:r>
                </w:p>
              </w:tc>
              <w:tc>
                <w:tcPr>
                  <w:tcW w:w="801" w:type="pct"/>
                  <w:tcBorders>
                    <w:top w:val="single" w:color="auto" w:sz="4" w:space="0"/>
                    <w:bottom w:val="single" w:color="auto" w:sz="4" w:space="0"/>
                  </w:tcBorders>
                  <w:vAlign w:val="center"/>
                </w:tcPr>
                <w:p>
                  <w:pPr>
                    <w:jc w:val="center"/>
                    <w:rPr>
                      <w:color w:val="auto"/>
                    </w:rPr>
                  </w:pPr>
                  <w:r>
                    <w:rPr>
                      <w:rFonts w:hint="eastAsia"/>
                      <w:color w:val="auto"/>
                    </w:rPr>
                    <w:t>1</w:t>
                  </w:r>
                  <w:r>
                    <w:rPr>
                      <w:rFonts w:hint="eastAsia"/>
                      <w:color w:val="auto"/>
                      <w:lang w:val="en-US" w:eastAsia="zh-CN"/>
                    </w:rPr>
                    <w:t>0</w:t>
                  </w:r>
                  <w:r>
                    <w:rPr>
                      <w:rFonts w:hint="eastAsia"/>
                      <w:color w:val="auto"/>
                    </w:rPr>
                    <w:t>00</w:t>
                  </w:r>
                </w:p>
              </w:tc>
              <w:tc>
                <w:tcPr>
                  <w:tcW w:w="803" w:type="pct"/>
                  <w:tcBorders>
                    <w:top w:val="single" w:color="auto" w:sz="4" w:space="0"/>
                    <w:bottom w:val="single" w:color="auto" w:sz="4" w:space="0"/>
                  </w:tcBorders>
                  <w:vAlign w:val="center"/>
                </w:tcPr>
                <w:p>
                  <w:pPr>
                    <w:jc w:val="center"/>
                    <w:rPr>
                      <w:color w:val="auto"/>
                    </w:rPr>
                  </w:pPr>
                  <w:r>
                    <w:rPr>
                      <w:color w:val="auto"/>
                    </w:rPr>
                    <w:t>4000</w:t>
                  </w:r>
                </w:p>
              </w:tc>
              <w:tc>
                <w:tcPr>
                  <w:tcW w:w="808" w:type="pct"/>
                  <w:tcBorders>
                    <w:top w:val="single" w:color="auto" w:sz="4" w:space="0"/>
                    <w:left w:val="nil"/>
                    <w:bottom w:val="single" w:color="auto" w:sz="4" w:space="0"/>
                    <w:right w:val="nil"/>
                  </w:tcBorders>
                  <w:vAlign w:val="center"/>
                </w:tcPr>
                <w:p>
                  <w:pPr>
                    <w:jc w:val="center"/>
                    <w:rPr>
                      <w:rFonts w:eastAsia="等线"/>
                      <w:color w:val="auto"/>
                      <w:szCs w:val="21"/>
                    </w:rPr>
                  </w:pPr>
                  <w:r>
                    <w:rPr>
                      <w:rFonts w:hint="eastAsia"/>
                      <w:color w:val="auto"/>
                    </w:rPr>
                    <w:t>30</w:t>
                  </w:r>
                </w:p>
              </w:tc>
              <w:tc>
                <w:tcPr>
                  <w:tcW w:w="662" w:type="pct"/>
                  <w:vAlign w:val="center"/>
                </w:tcPr>
                <w:p>
                  <w:pPr>
                    <w:jc w:val="center"/>
                    <w:rPr>
                      <w:color w:val="auto"/>
                    </w:rPr>
                  </w:pPr>
                  <w:r>
                    <w:rPr>
                      <w:color w:val="auto"/>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542" w:type="pct"/>
                  <w:vAlign w:val="center"/>
                </w:tcPr>
                <w:p>
                  <w:pPr>
                    <w:jc w:val="center"/>
                    <w:rPr>
                      <w:color w:val="auto"/>
                    </w:rPr>
                  </w:pPr>
                  <w:r>
                    <w:rPr>
                      <w:color w:val="auto"/>
                    </w:rPr>
                    <w:t>O</w:t>
                  </w:r>
                  <w:r>
                    <w:rPr>
                      <w:color w:val="auto"/>
                      <w:vertAlign w:val="subscript"/>
                    </w:rPr>
                    <w:t>3</w:t>
                  </w:r>
                </w:p>
              </w:tc>
              <w:tc>
                <w:tcPr>
                  <w:tcW w:w="1381" w:type="pct"/>
                  <w:vAlign w:val="center"/>
                </w:tcPr>
                <w:p>
                  <w:pPr>
                    <w:jc w:val="center"/>
                    <w:rPr>
                      <w:color w:val="auto"/>
                    </w:rPr>
                  </w:pPr>
                  <w:r>
                    <w:rPr>
                      <w:color w:val="auto"/>
                    </w:rPr>
                    <w:t>日8小时平均浓度第90百分位</w:t>
                  </w:r>
                </w:p>
              </w:tc>
              <w:tc>
                <w:tcPr>
                  <w:tcW w:w="801" w:type="pct"/>
                  <w:tcBorders>
                    <w:top w:val="single" w:color="auto" w:sz="4" w:space="0"/>
                    <w:bottom w:val="single" w:color="auto" w:sz="4" w:space="0"/>
                  </w:tcBorders>
                  <w:vAlign w:val="center"/>
                </w:tcPr>
                <w:p>
                  <w:pPr>
                    <w:jc w:val="center"/>
                    <w:rPr>
                      <w:rFonts w:hint="default" w:eastAsia="宋体"/>
                      <w:color w:val="auto"/>
                      <w:lang w:val="en-US" w:eastAsia="zh-CN"/>
                    </w:rPr>
                  </w:pPr>
                  <w:r>
                    <w:rPr>
                      <w:rFonts w:hint="eastAsia"/>
                      <w:color w:val="auto"/>
                    </w:rPr>
                    <w:t>1</w:t>
                  </w:r>
                  <w:r>
                    <w:rPr>
                      <w:rFonts w:hint="eastAsia"/>
                      <w:color w:val="auto"/>
                      <w:lang w:val="en-US" w:eastAsia="zh-CN"/>
                    </w:rPr>
                    <w:t>42</w:t>
                  </w:r>
                </w:p>
              </w:tc>
              <w:tc>
                <w:tcPr>
                  <w:tcW w:w="803" w:type="pct"/>
                  <w:tcBorders>
                    <w:top w:val="single" w:color="auto" w:sz="4" w:space="0"/>
                    <w:bottom w:val="single" w:color="auto" w:sz="4" w:space="0"/>
                  </w:tcBorders>
                  <w:vAlign w:val="center"/>
                </w:tcPr>
                <w:p>
                  <w:pPr>
                    <w:jc w:val="center"/>
                    <w:rPr>
                      <w:color w:val="auto"/>
                    </w:rPr>
                  </w:pPr>
                  <w:r>
                    <w:rPr>
                      <w:color w:val="auto"/>
                    </w:rPr>
                    <w:t>160</w:t>
                  </w:r>
                </w:p>
              </w:tc>
              <w:tc>
                <w:tcPr>
                  <w:tcW w:w="808" w:type="pct"/>
                  <w:tcBorders>
                    <w:top w:val="single" w:color="auto" w:sz="4" w:space="0"/>
                    <w:left w:val="nil"/>
                    <w:bottom w:val="single" w:color="auto" w:sz="4" w:space="0"/>
                    <w:right w:val="nil"/>
                  </w:tcBorders>
                  <w:vAlign w:val="center"/>
                </w:tcPr>
                <w:p>
                  <w:pPr>
                    <w:jc w:val="center"/>
                    <w:rPr>
                      <w:rFonts w:eastAsia="等线"/>
                      <w:color w:val="auto"/>
                      <w:szCs w:val="21"/>
                    </w:rPr>
                  </w:pPr>
                  <w:r>
                    <w:rPr>
                      <w:rFonts w:hint="eastAsia"/>
                      <w:color w:val="auto"/>
                    </w:rPr>
                    <w:t>80.63</w:t>
                  </w:r>
                </w:p>
              </w:tc>
              <w:tc>
                <w:tcPr>
                  <w:tcW w:w="662" w:type="pct"/>
                  <w:vAlign w:val="center"/>
                </w:tcPr>
                <w:p>
                  <w:pPr>
                    <w:jc w:val="center"/>
                    <w:rPr>
                      <w:color w:val="auto"/>
                    </w:rPr>
                  </w:pPr>
                  <w:r>
                    <w:rPr>
                      <w:color w:val="auto"/>
                    </w:rPr>
                    <w:t>达标</w:t>
                  </w:r>
                </w:p>
              </w:tc>
            </w:tr>
          </w:tbl>
          <w:p>
            <w:pPr>
              <w:widowControl/>
              <w:spacing w:before="120" w:beforeLines="50" w:line="360" w:lineRule="auto"/>
              <w:ind w:firstLine="480" w:firstLineChars="200"/>
              <w:rPr>
                <w:color w:val="auto"/>
                <w:sz w:val="24"/>
                <w:szCs w:val="32"/>
              </w:rPr>
            </w:pPr>
            <w:r>
              <w:rPr>
                <w:color w:val="auto"/>
                <w:sz w:val="24"/>
                <w:szCs w:val="32"/>
              </w:rPr>
              <w:t>评价区域202</w:t>
            </w:r>
            <w:r>
              <w:rPr>
                <w:rFonts w:hint="eastAsia"/>
                <w:color w:val="auto"/>
                <w:sz w:val="24"/>
                <w:szCs w:val="32"/>
              </w:rPr>
              <w:t>2</w:t>
            </w:r>
            <w:r>
              <w:rPr>
                <w:color w:val="auto"/>
                <w:sz w:val="24"/>
                <w:szCs w:val="32"/>
              </w:rPr>
              <w:t>年PM</w:t>
            </w:r>
            <w:r>
              <w:rPr>
                <w:color w:val="auto"/>
                <w:sz w:val="24"/>
                <w:szCs w:val="32"/>
                <w:vertAlign w:val="subscript"/>
              </w:rPr>
              <w:t>10</w:t>
            </w:r>
            <w:r>
              <w:rPr>
                <w:color w:val="auto"/>
                <w:sz w:val="24"/>
                <w:szCs w:val="32"/>
              </w:rPr>
              <w:t>、PM</w:t>
            </w:r>
            <w:r>
              <w:rPr>
                <w:color w:val="auto"/>
                <w:sz w:val="24"/>
                <w:szCs w:val="32"/>
                <w:vertAlign w:val="subscript"/>
              </w:rPr>
              <w:t>2.5</w:t>
            </w:r>
            <w:r>
              <w:rPr>
                <w:rFonts w:hint="eastAsia"/>
                <w:color w:val="auto"/>
                <w:sz w:val="24"/>
                <w:szCs w:val="32"/>
              </w:rPr>
              <w:t>、</w:t>
            </w:r>
            <w:r>
              <w:rPr>
                <w:color w:val="auto"/>
                <w:sz w:val="24"/>
                <w:szCs w:val="32"/>
              </w:rPr>
              <w:t>SO</w:t>
            </w:r>
            <w:r>
              <w:rPr>
                <w:color w:val="auto"/>
                <w:sz w:val="24"/>
                <w:szCs w:val="32"/>
                <w:vertAlign w:val="subscript"/>
              </w:rPr>
              <w:t>2</w:t>
            </w:r>
            <w:r>
              <w:rPr>
                <w:color w:val="auto"/>
                <w:sz w:val="24"/>
                <w:szCs w:val="32"/>
              </w:rPr>
              <w:t>、NO</w:t>
            </w:r>
            <w:r>
              <w:rPr>
                <w:color w:val="auto"/>
                <w:sz w:val="24"/>
                <w:szCs w:val="32"/>
                <w:vertAlign w:val="subscript"/>
              </w:rPr>
              <w:t>2</w:t>
            </w:r>
            <w:r>
              <w:rPr>
                <w:color w:val="auto"/>
                <w:sz w:val="24"/>
                <w:szCs w:val="32"/>
              </w:rPr>
              <w:t>年均浓度、CO日均浓度第95百分位、O</w:t>
            </w:r>
            <w:r>
              <w:rPr>
                <w:color w:val="auto"/>
                <w:sz w:val="24"/>
                <w:szCs w:val="32"/>
                <w:vertAlign w:val="subscript"/>
              </w:rPr>
              <w:t>3</w:t>
            </w:r>
            <w:r>
              <w:rPr>
                <w:color w:val="auto"/>
                <w:sz w:val="24"/>
                <w:szCs w:val="32"/>
              </w:rPr>
              <w:t>日8小时平均浓度第90百分位浓度</w:t>
            </w:r>
            <w:r>
              <w:rPr>
                <w:rFonts w:hint="eastAsia"/>
                <w:color w:val="auto"/>
                <w:sz w:val="24"/>
                <w:szCs w:val="32"/>
              </w:rPr>
              <w:t>均</w:t>
            </w:r>
            <w:r>
              <w:rPr>
                <w:color w:val="auto"/>
                <w:sz w:val="24"/>
                <w:szCs w:val="32"/>
              </w:rPr>
              <w:t>满足《环境空气质量标准》（GB3095-2012）及修改单中二类标准限值的要求</w:t>
            </w:r>
            <w:r>
              <w:rPr>
                <w:rFonts w:hint="eastAsia"/>
                <w:color w:val="auto"/>
                <w:sz w:val="24"/>
                <w:szCs w:val="32"/>
              </w:rPr>
              <w:t>。因此，</w:t>
            </w:r>
            <w:r>
              <w:rPr>
                <w:color w:val="auto"/>
                <w:sz w:val="24"/>
                <w:szCs w:val="32"/>
              </w:rPr>
              <w:t>项目所在区域属于达标区。</w:t>
            </w:r>
          </w:p>
          <w:p>
            <w:pPr>
              <w:spacing w:line="360" w:lineRule="auto"/>
              <w:ind w:firstLine="480" w:firstLineChars="200"/>
              <w:rPr>
                <w:color w:val="auto"/>
                <w:sz w:val="24"/>
                <w:szCs w:val="32"/>
              </w:rPr>
            </w:pPr>
            <w:r>
              <w:rPr>
                <w:rFonts w:hint="eastAsia"/>
                <w:color w:val="auto"/>
                <w:sz w:val="24"/>
                <w:szCs w:val="32"/>
              </w:rPr>
              <w:t>（2）特征污染物</w:t>
            </w:r>
          </w:p>
          <w:p>
            <w:pPr>
              <w:spacing w:line="360" w:lineRule="auto"/>
              <w:ind w:firstLine="480" w:firstLineChars="200"/>
              <w:rPr>
                <w:color w:val="auto"/>
                <w:sz w:val="24"/>
                <w:szCs w:val="32"/>
              </w:rPr>
            </w:pPr>
            <w:r>
              <w:rPr>
                <w:rFonts w:hint="eastAsia"/>
                <w:color w:val="auto"/>
                <w:sz w:val="24"/>
                <w:szCs w:val="32"/>
              </w:rPr>
              <w:t>本项目</w:t>
            </w:r>
            <w:r>
              <w:rPr>
                <w:color w:val="auto"/>
                <w:sz w:val="24"/>
                <w:szCs w:val="32"/>
              </w:rPr>
              <w:t>环境空气质量现状特征监测因子为</w:t>
            </w:r>
            <w:r>
              <w:rPr>
                <w:rFonts w:hint="eastAsia"/>
                <w:color w:val="auto"/>
                <w:sz w:val="24"/>
                <w:szCs w:val="32"/>
              </w:rPr>
              <w:t>总烃、非甲烷总烃</w:t>
            </w:r>
            <w:r>
              <w:rPr>
                <w:color w:val="auto"/>
                <w:sz w:val="24"/>
                <w:szCs w:val="32"/>
              </w:rPr>
              <w:t>。</w:t>
            </w:r>
            <w:r>
              <w:rPr>
                <w:rFonts w:hint="eastAsia"/>
                <w:color w:val="auto"/>
                <w:sz w:val="24"/>
              </w:rPr>
              <w:t>陕西精棣环境检测有限公司</w:t>
            </w:r>
            <w:r>
              <w:rPr>
                <w:rFonts w:hint="eastAsia"/>
                <w:color w:val="auto"/>
                <w:sz w:val="24"/>
                <w:szCs w:val="32"/>
              </w:rPr>
              <w:t>于2023年11月</w:t>
            </w:r>
            <w:r>
              <w:rPr>
                <w:rFonts w:hint="eastAsia"/>
                <w:color w:val="auto"/>
                <w:sz w:val="24"/>
                <w:szCs w:val="32"/>
                <w:lang w:val="en-US" w:eastAsia="zh-CN"/>
              </w:rPr>
              <w:t>24</w:t>
            </w:r>
            <w:r>
              <w:rPr>
                <w:rFonts w:hint="eastAsia"/>
                <w:color w:val="auto"/>
                <w:sz w:val="24"/>
                <w:szCs w:val="32"/>
              </w:rPr>
              <w:t>～</w:t>
            </w:r>
            <w:r>
              <w:rPr>
                <w:rFonts w:hint="eastAsia"/>
                <w:color w:val="auto"/>
                <w:sz w:val="24"/>
                <w:szCs w:val="32"/>
                <w:lang w:val="en-US" w:eastAsia="zh-CN"/>
              </w:rPr>
              <w:t>26</w:t>
            </w:r>
            <w:r>
              <w:rPr>
                <w:rFonts w:hint="eastAsia"/>
                <w:color w:val="auto"/>
                <w:sz w:val="24"/>
                <w:szCs w:val="32"/>
              </w:rPr>
              <w:t>日进行现场监测，连续监测</w:t>
            </w:r>
            <w:r>
              <w:rPr>
                <w:color w:val="auto"/>
                <w:sz w:val="24"/>
                <w:szCs w:val="32"/>
              </w:rPr>
              <w:t>3</w:t>
            </w:r>
            <w:r>
              <w:rPr>
                <w:rFonts w:hint="eastAsia"/>
                <w:color w:val="auto"/>
                <w:sz w:val="24"/>
                <w:szCs w:val="32"/>
              </w:rPr>
              <w:t>d。</w:t>
            </w:r>
            <w:r>
              <w:rPr>
                <w:color w:val="auto"/>
                <w:sz w:val="24"/>
                <w:szCs w:val="32"/>
              </w:rPr>
              <w:t>监测结果见表3-2。</w:t>
            </w:r>
          </w:p>
          <w:p>
            <w:pPr>
              <w:ind w:firstLine="422" w:firstLineChars="200"/>
              <w:rPr>
                <w:b/>
                <w:bCs/>
                <w:color w:val="auto"/>
              </w:rPr>
            </w:pPr>
            <w:r>
              <w:rPr>
                <w:b/>
                <w:bCs/>
                <w:color w:val="auto"/>
              </w:rPr>
              <w:t>表3-2</w:t>
            </w:r>
            <w:r>
              <w:rPr>
                <w:rFonts w:hint="eastAsia"/>
                <w:b/>
                <w:bCs/>
                <w:color w:val="auto"/>
              </w:rPr>
              <w:t xml:space="preserve">                 </w:t>
            </w:r>
            <w:r>
              <w:rPr>
                <w:b/>
                <w:bCs/>
                <w:color w:val="auto"/>
              </w:rPr>
              <w:t xml:space="preserve"> </w:t>
            </w:r>
            <w:r>
              <w:rPr>
                <w:rFonts w:hint="eastAsia"/>
                <w:b/>
                <w:bCs/>
                <w:color w:val="auto"/>
              </w:rPr>
              <w:t>特征</w:t>
            </w:r>
            <w:r>
              <w:rPr>
                <w:b/>
                <w:bCs/>
                <w:color w:val="auto"/>
              </w:rPr>
              <w:t>污染物环境质量监测结果表</w:t>
            </w:r>
          </w:p>
          <w:tbl>
            <w:tblPr>
              <w:tblStyle w:val="19"/>
              <w:tblW w:w="490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2"/>
              <w:gridCol w:w="1013"/>
              <w:gridCol w:w="1148"/>
              <w:gridCol w:w="900"/>
              <w:gridCol w:w="903"/>
              <w:gridCol w:w="857"/>
              <w:gridCol w:w="860"/>
              <w:gridCol w:w="8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26" w:type="pct"/>
                  <w:vMerge w:val="restart"/>
                  <w:vAlign w:val="center"/>
                </w:tcPr>
                <w:p>
                  <w:pPr>
                    <w:snapToGrid w:val="0"/>
                    <w:jc w:val="center"/>
                    <w:rPr>
                      <w:bCs/>
                      <w:color w:val="auto"/>
                      <w:szCs w:val="21"/>
                    </w:rPr>
                  </w:pPr>
                  <w:r>
                    <w:rPr>
                      <w:rFonts w:hint="eastAsia"/>
                      <w:bCs/>
                      <w:color w:val="auto"/>
                      <w:szCs w:val="21"/>
                    </w:rPr>
                    <w:t>检测点位</w:t>
                  </w:r>
                </w:p>
              </w:tc>
              <w:tc>
                <w:tcPr>
                  <w:tcW w:w="647" w:type="pct"/>
                  <w:vMerge w:val="restart"/>
                  <w:vAlign w:val="center"/>
                </w:tcPr>
                <w:p>
                  <w:pPr>
                    <w:snapToGrid w:val="0"/>
                    <w:jc w:val="center"/>
                    <w:rPr>
                      <w:bCs/>
                      <w:color w:val="auto"/>
                      <w:szCs w:val="21"/>
                    </w:rPr>
                  </w:pPr>
                  <w:r>
                    <w:rPr>
                      <w:rFonts w:hint="eastAsia"/>
                      <w:bCs/>
                      <w:color w:val="auto"/>
                      <w:szCs w:val="21"/>
                    </w:rPr>
                    <w:t>检测</w:t>
                  </w:r>
                </w:p>
                <w:p>
                  <w:pPr>
                    <w:snapToGrid w:val="0"/>
                    <w:jc w:val="center"/>
                    <w:rPr>
                      <w:bCs/>
                      <w:color w:val="auto"/>
                      <w:szCs w:val="21"/>
                    </w:rPr>
                  </w:pPr>
                  <w:r>
                    <w:rPr>
                      <w:rFonts w:hint="eastAsia"/>
                      <w:bCs/>
                      <w:color w:val="auto"/>
                      <w:szCs w:val="21"/>
                    </w:rPr>
                    <w:t>日期</w:t>
                  </w:r>
                </w:p>
              </w:tc>
              <w:tc>
                <w:tcPr>
                  <w:tcW w:w="734" w:type="pct"/>
                  <w:vMerge w:val="restart"/>
                  <w:vAlign w:val="center"/>
                </w:tcPr>
                <w:p>
                  <w:pPr>
                    <w:pStyle w:val="3"/>
                    <w:snapToGrid w:val="0"/>
                    <w:spacing w:before="0" w:after="0" w:line="240" w:lineRule="auto"/>
                    <w:jc w:val="center"/>
                    <w:rPr>
                      <w:rFonts w:ascii="Times New Roman" w:hAnsi="Times New Roman"/>
                      <w:b w:val="0"/>
                      <w:color w:val="auto"/>
                      <w:sz w:val="21"/>
                      <w:szCs w:val="21"/>
                    </w:rPr>
                  </w:pPr>
                  <w:r>
                    <w:rPr>
                      <w:rFonts w:hint="eastAsia" w:ascii="Times New Roman" w:hAnsi="Times New Roman"/>
                      <w:b w:val="0"/>
                      <w:color w:val="auto"/>
                      <w:sz w:val="21"/>
                      <w:szCs w:val="21"/>
                    </w:rPr>
                    <w:t>检测项目</w:t>
                  </w:r>
                </w:p>
              </w:tc>
              <w:tc>
                <w:tcPr>
                  <w:tcW w:w="2251" w:type="pct"/>
                  <w:gridSpan w:val="4"/>
                  <w:vAlign w:val="center"/>
                </w:tcPr>
                <w:p>
                  <w:pPr>
                    <w:pStyle w:val="47"/>
                    <w:snapToGrid w:val="0"/>
                    <w:spacing w:line="240" w:lineRule="auto"/>
                    <w:ind w:firstLine="0" w:firstLineChars="0"/>
                    <w:jc w:val="center"/>
                    <w:rPr>
                      <w:bCs/>
                      <w:color w:val="auto"/>
                      <w:szCs w:val="21"/>
                    </w:rPr>
                  </w:pPr>
                  <w:r>
                    <w:rPr>
                      <w:rFonts w:hint="eastAsia"/>
                      <w:bCs/>
                      <w:color w:val="auto"/>
                      <w:szCs w:val="21"/>
                    </w:rPr>
                    <w:t>检测结果</w:t>
                  </w:r>
                </w:p>
              </w:tc>
              <w:tc>
                <w:tcPr>
                  <w:tcW w:w="539" w:type="pct"/>
                  <w:vMerge w:val="restart"/>
                  <w:vAlign w:val="center"/>
                </w:tcPr>
                <w:p>
                  <w:pPr>
                    <w:pStyle w:val="47"/>
                    <w:snapToGrid w:val="0"/>
                    <w:spacing w:line="240" w:lineRule="auto"/>
                    <w:ind w:firstLine="0" w:firstLineChars="0"/>
                    <w:jc w:val="center"/>
                    <w:rPr>
                      <w:bCs/>
                      <w:color w:val="auto"/>
                      <w:szCs w:val="21"/>
                    </w:rPr>
                  </w:pPr>
                  <w:r>
                    <w:rPr>
                      <w:rFonts w:hint="eastAsia"/>
                      <w:bCs/>
                      <w:color w:val="auto"/>
                      <w:szCs w:val="21"/>
                    </w:rPr>
                    <w:t>标准值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826" w:type="pct"/>
                  <w:vMerge w:val="continue"/>
                  <w:vAlign w:val="center"/>
                </w:tcPr>
                <w:p>
                  <w:pPr>
                    <w:widowControl/>
                    <w:snapToGrid w:val="0"/>
                    <w:jc w:val="center"/>
                    <w:rPr>
                      <w:bCs/>
                      <w:color w:val="auto"/>
                      <w:szCs w:val="21"/>
                    </w:rPr>
                  </w:pPr>
                </w:p>
              </w:tc>
              <w:tc>
                <w:tcPr>
                  <w:tcW w:w="647" w:type="pct"/>
                  <w:vMerge w:val="continue"/>
                  <w:vAlign w:val="center"/>
                </w:tcPr>
                <w:p>
                  <w:pPr>
                    <w:widowControl/>
                    <w:snapToGrid w:val="0"/>
                    <w:jc w:val="center"/>
                    <w:rPr>
                      <w:bCs/>
                      <w:color w:val="auto"/>
                      <w:szCs w:val="21"/>
                    </w:rPr>
                  </w:pPr>
                </w:p>
              </w:tc>
              <w:tc>
                <w:tcPr>
                  <w:tcW w:w="734" w:type="pct"/>
                  <w:vMerge w:val="continue"/>
                  <w:vAlign w:val="center"/>
                </w:tcPr>
                <w:p>
                  <w:pPr>
                    <w:widowControl/>
                    <w:snapToGrid w:val="0"/>
                    <w:jc w:val="center"/>
                    <w:rPr>
                      <w:rFonts w:eastAsia="等线 Light"/>
                      <w:bCs/>
                      <w:color w:val="auto"/>
                      <w:szCs w:val="21"/>
                    </w:rPr>
                  </w:pPr>
                </w:p>
              </w:tc>
              <w:tc>
                <w:tcPr>
                  <w:tcW w:w="575" w:type="pct"/>
                  <w:tcBorders>
                    <w:bottom w:val="single" w:color="auto" w:sz="4" w:space="0"/>
                  </w:tcBorders>
                  <w:vAlign w:val="center"/>
                </w:tcPr>
                <w:p>
                  <w:pPr>
                    <w:pStyle w:val="3"/>
                    <w:snapToGrid w:val="0"/>
                    <w:spacing w:before="0" w:after="0" w:line="240" w:lineRule="auto"/>
                    <w:jc w:val="center"/>
                    <w:rPr>
                      <w:rFonts w:ascii="Times New Roman" w:hAnsi="Times New Roman"/>
                      <w:b w:val="0"/>
                      <w:color w:val="auto"/>
                      <w:sz w:val="21"/>
                      <w:szCs w:val="21"/>
                    </w:rPr>
                  </w:pPr>
                  <w:r>
                    <w:rPr>
                      <w:rFonts w:hint="eastAsia" w:ascii="Times New Roman" w:hAnsi="Times New Roman"/>
                      <w:b w:val="0"/>
                      <w:color w:val="auto"/>
                      <w:sz w:val="21"/>
                      <w:szCs w:val="21"/>
                    </w:rPr>
                    <w:t>第一次</w:t>
                  </w:r>
                </w:p>
              </w:tc>
              <w:tc>
                <w:tcPr>
                  <w:tcW w:w="577" w:type="pct"/>
                  <w:tcBorders>
                    <w:bottom w:val="single" w:color="auto" w:sz="4" w:space="0"/>
                  </w:tcBorders>
                  <w:vAlign w:val="center"/>
                </w:tcPr>
                <w:p>
                  <w:pPr>
                    <w:pStyle w:val="3"/>
                    <w:snapToGrid w:val="0"/>
                    <w:spacing w:before="0" w:after="0" w:line="240" w:lineRule="auto"/>
                    <w:jc w:val="center"/>
                    <w:rPr>
                      <w:rFonts w:ascii="Times New Roman" w:hAnsi="Times New Roman"/>
                      <w:b w:val="0"/>
                      <w:color w:val="auto"/>
                      <w:sz w:val="21"/>
                      <w:szCs w:val="21"/>
                    </w:rPr>
                  </w:pPr>
                  <w:r>
                    <w:rPr>
                      <w:rFonts w:hint="eastAsia" w:ascii="Times New Roman" w:hAnsi="Times New Roman"/>
                      <w:b w:val="0"/>
                      <w:color w:val="auto"/>
                      <w:sz w:val="21"/>
                      <w:szCs w:val="21"/>
                    </w:rPr>
                    <w:t>第二次</w:t>
                  </w:r>
                </w:p>
              </w:tc>
              <w:tc>
                <w:tcPr>
                  <w:tcW w:w="548" w:type="pct"/>
                  <w:tcBorders>
                    <w:bottom w:val="single" w:color="auto" w:sz="4" w:space="0"/>
                  </w:tcBorders>
                  <w:vAlign w:val="center"/>
                </w:tcPr>
                <w:p>
                  <w:pPr>
                    <w:pStyle w:val="3"/>
                    <w:snapToGrid w:val="0"/>
                    <w:spacing w:before="0" w:after="0" w:line="240" w:lineRule="auto"/>
                    <w:jc w:val="center"/>
                    <w:rPr>
                      <w:rFonts w:ascii="Times New Roman" w:hAnsi="Times New Roman"/>
                      <w:b w:val="0"/>
                      <w:color w:val="auto"/>
                      <w:sz w:val="21"/>
                      <w:szCs w:val="21"/>
                    </w:rPr>
                  </w:pPr>
                  <w:r>
                    <w:rPr>
                      <w:rFonts w:hint="eastAsia" w:ascii="Times New Roman" w:hAnsi="Times New Roman"/>
                      <w:b w:val="0"/>
                      <w:color w:val="auto"/>
                      <w:sz w:val="21"/>
                      <w:szCs w:val="21"/>
                    </w:rPr>
                    <w:t>第三次</w:t>
                  </w:r>
                </w:p>
              </w:tc>
              <w:tc>
                <w:tcPr>
                  <w:tcW w:w="550" w:type="pct"/>
                  <w:tcBorders>
                    <w:bottom w:val="single" w:color="auto" w:sz="4" w:space="0"/>
                  </w:tcBorders>
                  <w:vAlign w:val="center"/>
                </w:tcPr>
                <w:p>
                  <w:pPr>
                    <w:pStyle w:val="47"/>
                    <w:snapToGrid w:val="0"/>
                    <w:spacing w:line="240" w:lineRule="auto"/>
                    <w:ind w:firstLine="0" w:firstLineChars="0"/>
                    <w:jc w:val="center"/>
                    <w:rPr>
                      <w:bCs/>
                      <w:color w:val="auto"/>
                      <w:szCs w:val="21"/>
                    </w:rPr>
                  </w:pPr>
                  <w:r>
                    <w:rPr>
                      <w:rFonts w:hint="eastAsia"/>
                      <w:bCs/>
                      <w:color w:val="auto"/>
                      <w:szCs w:val="21"/>
                    </w:rPr>
                    <w:t>第四次</w:t>
                  </w:r>
                </w:p>
              </w:tc>
              <w:tc>
                <w:tcPr>
                  <w:tcW w:w="539" w:type="pct"/>
                  <w:vMerge w:val="continue"/>
                  <w:vAlign w:val="center"/>
                </w:tcPr>
                <w:p>
                  <w:pPr>
                    <w:pStyle w:val="47"/>
                    <w:snapToGrid w:val="0"/>
                    <w:spacing w:line="240" w:lineRule="auto"/>
                    <w:ind w:firstLine="0" w:firstLineChars="0"/>
                    <w:jc w:val="center"/>
                    <w:rPr>
                      <w:bCs/>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26" w:type="pct"/>
                  <w:vMerge w:val="restart"/>
                  <w:vAlign w:val="center"/>
                </w:tcPr>
                <w:p>
                  <w:pPr>
                    <w:pStyle w:val="47"/>
                    <w:snapToGrid w:val="0"/>
                    <w:spacing w:line="240" w:lineRule="auto"/>
                    <w:ind w:firstLine="0" w:firstLineChars="0"/>
                    <w:jc w:val="center"/>
                    <w:rPr>
                      <w:bCs/>
                      <w:color w:val="auto"/>
                      <w:szCs w:val="21"/>
                    </w:rPr>
                  </w:pPr>
                  <w:r>
                    <w:rPr>
                      <w:rStyle w:val="48"/>
                      <w:rFonts w:hint="eastAsia"/>
                      <w:color w:val="auto"/>
                    </w:rPr>
                    <w:t>厂界下风向（</w:t>
                  </w:r>
                  <w:r>
                    <w:rPr>
                      <w:color w:val="auto"/>
                      <w:szCs w:val="21"/>
                    </w:rPr>
                    <w:t>E10</w:t>
                  </w:r>
                  <w:r>
                    <w:rPr>
                      <w:rFonts w:hint="eastAsia"/>
                      <w:color w:val="auto"/>
                      <w:szCs w:val="21"/>
                    </w:rPr>
                    <w:t>8</w:t>
                  </w:r>
                  <w:r>
                    <w:rPr>
                      <w:color w:val="auto"/>
                      <w:szCs w:val="21"/>
                    </w:rPr>
                    <w:t>°</w:t>
                  </w:r>
                  <w:r>
                    <w:rPr>
                      <w:rFonts w:hint="eastAsia"/>
                      <w:color w:val="auto"/>
                      <w:szCs w:val="21"/>
                    </w:rPr>
                    <w:t>37</w:t>
                  </w:r>
                  <w:r>
                    <w:rPr>
                      <w:color w:val="auto"/>
                      <w:szCs w:val="21"/>
                    </w:rPr>
                    <w:t>′</w:t>
                  </w:r>
                  <w:r>
                    <w:rPr>
                      <w:rFonts w:hint="eastAsia"/>
                      <w:color w:val="auto"/>
                      <w:szCs w:val="21"/>
                    </w:rPr>
                    <w:t>42</w:t>
                  </w:r>
                  <w:r>
                    <w:rPr>
                      <w:color w:val="auto"/>
                      <w:szCs w:val="21"/>
                    </w:rPr>
                    <w:t>″</w:t>
                  </w:r>
                  <w:r>
                    <w:rPr>
                      <w:rFonts w:hint="eastAsia"/>
                      <w:color w:val="auto"/>
                      <w:szCs w:val="21"/>
                    </w:rPr>
                    <w:t>、</w:t>
                  </w:r>
                  <w:r>
                    <w:rPr>
                      <w:color w:val="auto"/>
                      <w:szCs w:val="21"/>
                    </w:rPr>
                    <w:t>N3</w:t>
                  </w:r>
                  <w:r>
                    <w:rPr>
                      <w:rFonts w:hint="eastAsia"/>
                      <w:color w:val="auto"/>
                      <w:szCs w:val="21"/>
                    </w:rPr>
                    <w:t>7</w:t>
                  </w:r>
                  <w:r>
                    <w:rPr>
                      <w:color w:val="auto"/>
                      <w:szCs w:val="21"/>
                    </w:rPr>
                    <w:t>°</w:t>
                  </w:r>
                  <w:r>
                    <w:rPr>
                      <w:rFonts w:hint="eastAsia"/>
                      <w:color w:val="auto"/>
                      <w:szCs w:val="21"/>
                    </w:rPr>
                    <w:t>3</w:t>
                  </w:r>
                  <w:r>
                    <w:rPr>
                      <w:color w:val="auto"/>
                      <w:szCs w:val="21"/>
                    </w:rPr>
                    <w:t>′</w:t>
                  </w:r>
                  <w:r>
                    <w:rPr>
                      <w:rFonts w:hint="eastAsia"/>
                      <w:color w:val="auto"/>
                      <w:szCs w:val="21"/>
                    </w:rPr>
                    <w:t>31</w:t>
                  </w:r>
                  <w:r>
                    <w:rPr>
                      <w:color w:val="auto"/>
                      <w:szCs w:val="21"/>
                    </w:rPr>
                    <w:t>″</w:t>
                  </w:r>
                  <w:r>
                    <w:rPr>
                      <w:rStyle w:val="48"/>
                      <w:rFonts w:hint="eastAsia"/>
                      <w:color w:val="auto"/>
                    </w:rPr>
                    <w:t>）</w:t>
                  </w:r>
                </w:p>
              </w:tc>
              <w:tc>
                <w:tcPr>
                  <w:tcW w:w="647" w:type="pct"/>
                  <w:vMerge w:val="restart"/>
                  <w:vAlign w:val="center"/>
                </w:tcPr>
                <w:p>
                  <w:pPr>
                    <w:pStyle w:val="47"/>
                    <w:snapToGrid w:val="0"/>
                    <w:spacing w:line="240" w:lineRule="auto"/>
                    <w:ind w:firstLine="0" w:firstLineChars="0"/>
                    <w:jc w:val="center"/>
                    <w:rPr>
                      <w:rFonts w:hint="default" w:eastAsia="宋体"/>
                      <w:bCs/>
                      <w:color w:val="auto"/>
                      <w:szCs w:val="21"/>
                      <w:lang w:val="en-US" w:eastAsia="zh-CN"/>
                    </w:rPr>
                  </w:pPr>
                  <w:r>
                    <w:rPr>
                      <w:rFonts w:hint="eastAsia"/>
                      <w:bCs/>
                      <w:color w:val="auto"/>
                      <w:szCs w:val="21"/>
                    </w:rPr>
                    <w:t>2</w:t>
                  </w:r>
                  <w:r>
                    <w:rPr>
                      <w:bCs/>
                      <w:color w:val="auto"/>
                      <w:szCs w:val="21"/>
                    </w:rPr>
                    <w:t>02</w:t>
                  </w:r>
                  <w:r>
                    <w:rPr>
                      <w:rFonts w:hint="eastAsia"/>
                      <w:bCs/>
                      <w:color w:val="auto"/>
                      <w:szCs w:val="21"/>
                    </w:rPr>
                    <w:t>3</w:t>
                  </w:r>
                  <w:r>
                    <w:rPr>
                      <w:bCs/>
                      <w:color w:val="auto"/>
                      <w:szCs w:val="21"/>
                    </w:rPr>
                    <w:t>.1</w:t>
                  </w:r>
                  <w:r>
                    <w:rPr>
                      <w:rFonts w:hint="eastAsia"/>
                      <w:bCs/>
                      <w:color w:val="auto"/>
                      <w:szCs w:val="21"/>
                      <w:lang w:val="en-US" w:eastAsia="zh-CN"/>
                    </w:rPr>
                    <w:t>1.24</w:t>
                  </w:r>
                </w:p>
              </w:tc>
              <w:tc>
                <w:tcPr>
                  <w:tcW w:w="734" w:type="pct"/>
                  <w:tcBorders>
                    <w:right w:val="single" w:color="auto" w:sz="4" w:space="0"/>
                  </w:tcBorders>
                  <w:vAlign w:val="center"/>
                </w:tcPr>
                <w:p>
                  <w:pPr>
                    <w:pStyle w:val="47"/>
                    <w:snapToGrid w:val="0"/>
                    <w:spacing w:line="240" w:lineRule="auto"/>
                    <w:ind w:firstLine="0" w:firstLineChars="0"/>
                    <w:jc w:val="center"/>
                    <w:rPr>
                      <w:rFonts w:ascii="宋体" w:hAnsi="宋体"/>
                      <w:bCs/>
                      <w:color w:val="auto"/>
                      <w:szCs w:val="21"/>
                    </w:rPr>
                  </w:pPr>
                  <w:r>
                    <w:rPr>
                      <w:rFonts w:hint="eastAsia" w:ascii="宋体" w:hAnsi="宋体"/>
                      <w:color w:val="auto"/>
                      <w:szCs w:val="21"/>
                    </w:rPr>
                    <w:t>总烃</w:t>
                  </w:r>
                </w:p>
              </w:tc>
              <w:tc>
                <w:tcPr>
                  <w:tcW w:w="575"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2.4</w:t>
                  </w:r>
                </w:p>
              </w:tc>
              <w:tc>
                <w:tcPr>
                  <w:tcW w:w="577"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2.66</w:t>
                  </w:r>
                </w:p>
              </w:tc>
              <w:tc>
                <w:tcPr>
                  <w:tcW w:w="548"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3.11</w:t>
                  </w:r>
                </w:p>
              </w:tc>
              <w:tc>
                <w:tcPr>
                  <w:tcW w:w="550"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3.67</w:t>
                  </w:r>
                </w:p>
              </w:tc>
              <w:tc>
                <w:tcPr>
                  <w:tcW w:w="539" w:type="pct"/>
                  <w:tcBorders>
                    <w:left w:val="single" w:color="auto" w:sz="4" w:space="0"/>
                  </w:tcBorders>
                  <w:vAlign w:val="center"/>
                </w:tcPr>
                <w:p>
                  <w:pPr>
                    <w:pStyle w:val="47"/>
                    <w:snapToGrid w:val="0"/>
                    <w:spacing w:line="240" w:lineRule="auto"/>
                    <w:ind w:firstLine="0" w:firstLineChars="0"/>
                    <w:jc w:val="center"/>
                    <w:rPr>
                      <w:bCs/>
                      <w:color w:val="auto"/>
                      <w:szCs w:val="21"/>
                    </w:rPr>
                  </w:pPr>
                  <w:r>
                    <w:rPr>
                      <w:rFonts w:hint="eastAsia"/>
                      <w:bCs/>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26" w:type="pct"/>
                  <w:vMerge w:val="continue"/>
                  <w:vAlign w:val="center"/>
                </w:tcPr>
                <w:p>
                  <w:pPr>
                    <w:pStyle w:val="47"/>
                    <w:snapToGrid w:val="0"/>
                    <w:spacing w:line="240" w:lineRule="auto"/>
                    <w:ind w:firstLine="0" w:firstLineChars="0"/>
                    <w:jc w:val="center"/>
                    <w:rPr>
                      <w:bCs/>
                      <w:color w:val="auto"/>
                      <w:szCs w:val="21"/>
                    </w:rPr>
                  </w:pPr>
                </w:p>
              </w:tc>
              <w:tc>
                <w:tcPr>
                  <w:tcW w:w="647" w:type="pct"/>
                  <w:vMerge w:val="continue"/>
                  <w:vAlign w:val="center"/>
                </w:tcPr>
                <w:p>
                  <w:pPr>
                    <w:pStyle w:val="47"/>
                    <w:snapToGrid w:val="0"/>
                    <w:spacing w:line="240" w:lineRule="auto"/>
                    <w:ind w:firstLine="0" w:firstLineChars="0"/>
                    <w:jc w:val="center"/>
                    <w:rPr>
                      <w:bCs/>
                      <w:color w:val="auto"/>
                      <w:szCs w:val="21"/>
                    </w:rPr>
                  </w:pPr>
                </w:p>
              </w:tc>
              <w:tc>
                <w:tcPr>
                  <w:tcW w:w="734" w:type="pct"/>
                  <w:tcBorders>
                    <w:right w:val="single" w:color="auto" w:sz="4" w:space="0"/>
                  </w:tcBorders>
                  <w:vAlign w:val="center"/>
                </w:tcPr>
                <w:p>
                  <w:pPr>
                    <w:pStyle w:val="47"/>
                    <w:snapToGrid w:val="0"/>
                    <w:spacing w:line="240" w:lineRule="auto"/>
                    <w:ind w:firstLine="0" w:firstLineChars="0"/>
                    <w:jc w:val="center"/>
                    <w:rPr>
                      <w:rFonts w:hint="eastAsia" w:ascii="宋体" w:hAnsi="宋体"/>
                      <w:color w:val="auto"/>
                      <w:szCs w:val="21"/>
                    </w:rPr>
                  </w:pPr>
                  <w:r>
                    <w:rPr>
                      <w:rFonts w:hint="eastAsia" w:ascii="宋体" w:hAnsi="宋体"/>
                      <w:color w:val="auto"/>
                      <w:szCs w:val="21"/>
                    </w:rPr>
                    <w:t>非甲烷</w:t>
                  </w:r>
                </w:p>
                <w:p>
                  <w:pPr>
                    <w:pStyle w:val="47"/>
                    <w:snapToGrid w:val="0"/>
                    <w:spacing w:line="240" w:lineRule="auto"/>
                    <w:ind w:firstLine="0" w:firstLineChars="0"/>
                    <w:jc w:val="center"/>
                    <w:rPr>
                      <w:rFonts w:ascii="宋体" w:hAnsi="宋体"/>
                      <w:bCs/>
                      <w:color w:val="auto"/>
                      <w:szCs w:val="21"/>
                    </w:rPr>
                  </w:pPr>
                  <w:r>
                    <w:rPr>
                      <w:rFonts w:hint="eastAsia" w:ascii="宋体" w:hAnsi="宋体"/>
                      <w:color w:val="auto"/>
                      <w:szCs w:val="21"/>
                    </w:rPr>
                    <w:t>总烃</w:t>
                  </w:r>
                </w:p>
              </w:tc>
              <w:tc>
                <w:tcPr>
                  <w:tcW w:w="575"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0.87</w:t>
                  </w:r>
                </w:p>
              </w:tc>
              <w:tc>
                <w:tcPr>
                  <w:tcW w:w="577"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0.86</w:t>
                  </w:r>
                </w:p>
              </w:tc>
              <w:tc>
                <w:tcPr>
                  <w:tcW w:w="548"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0.82</w:t>
                  </w:r>
                </w:p>
              </w:tc>
              <w:tc>
                <w:tcPr>
                  <w:tcW w:w="550"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0.81</w:t>
                  </w:r>
                </w:p>
              </w:tc>
              <w:tc>
                <w:tcPr>
                  <w:tcW w:w="539" w:type="pct"/>
                  <w:tcBorders>
                    <w:left w:val="single" w:color="auto" w:sz="4" w:space="0"/>
                  </w:tcBorders>
                  <w:vAlign w:val="center"/>
                </w:tcPr>
                <w:p>
                  <w:pPr>
                    <w:pStyle w:val="47"/>
                    <w:snapToGrid w:val="0"/>
                    <w:spacing w:line="240" w:lineRule="auto"/>
                    <w:ind w:firstLine="0" w:firstLineChars="0"/>
                    <w:jc w:val="center"/>
                    <w:rPr>
                      <w:bCs/>
                      <w:color w:val="auto"/>
                      <w:szCs w:val="21"/>
                    </w:rPr>
                  </w:pPr>
                  <w:r>
                    <w:rPr>
                      <w:rFonts w:hint="eastAsia"/>
                      <w:bCs/>
                      <w:color w:val="auto"/>
                      <w:szCs w:val="21"/>
                    </w:rPr>
                    <w:t>2</w:t>
                  </w:r>
                  <w:r>
                    <w:rPr>
                      <w:bCs/>
                      <w:color w:val="auto"/>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26" w:type="pct"/>
                  <w:vMerge w:val="continue"/>
                  <w:vAlign w:val="center"/>
                </w:tcPr>
                <w:p>
                  <w:pPr>
                    <w:pStyle w:val="47"/>
                    <w:snapToGrid w:val="0"/>
                    <w:spacing w:line="240" w:lineRule="auto"/>
                    <w:ind w:firstLine="0" w:firstLineChars="0"/>
                    <w:jc w:val="center"/>
                    <w:rPr>
                      <w:bCs/>
                      <w:color w:val="auto"/>
                      <w:szCs w:val="21"/>
                    </w:rPr>
                  </w:pPr>
                </w:p>
              </w:tc>
              <w:tc>
                <w:tcPr>
                  <w:tcW w:w="647" w:type="pct"/>
                  <w:vMerge w:val="restart"/>
                  <w:vAlign w:val="center"/>
                </w:tcPr>
                <w:p>
                  <w:pPr>
                    <w:jc w:val="center"/>
                    <w:rPr>
                      <w:rFonts w:hint="default" w:eastAsia="宋体"/>
                      <w:color w:val="auto"/>
                      <w:lang w:val="en-US" w:eastAsia="zh-CN"/>
                    </w:rPr>
                  </w:pPr>
                  <w:r>
                    <w:rPr>
                      <w:rFonts w:hint="eastAsia"/>
                      <w:bCs/>
                      <w:color w:val="auto"/>
                      <w:szCs w:val="21"/>
                    </w:rPr>
                    <w:t>2</w:t>
                  </w:r>
                  <w:r>
                    <w:rPr>
                      <w:bCs/>
                      <w:color w:val="auto"/>
                      <w:szCs w:val="21"/>
                    </w:rPr>
                    <w:t>02</w:t>
                  </w:r>
                  <w:r>
                    <w:rPr>
                      <w:rFonts w:hint="eastAsia"/>
                      <w:bCs/>
                      <w:color w:val="auto"/>
                      <w:szCs w:val="21"/>
                    </w:rPr>
                    <w:t>3</w:t>
                  </w:r>
                  <w:r>
                    <w:rPr>
                      <w:bCs/>
                      <w:color w:val="auto"/>
                      <w:szCs w:val="21"/>
                    </w:rPr>
                    <w:t>.1</w:t>
                  </w:r>
                  <w:r>
                    <w:rPr>
                      <w:rFonts w:hint="eastAsia"/>
                      <w:bCs/>
                      <w:color w:val="auto"/>
                      <w:szCs w:val="21"/>
                      <w:lang w:val="en-US" w:eastAsia="zh-CN"/>
                    </w:rPr>
                    <w:t>1.25</w:t>
                  </w:r>
                </w:p>
              </w:tc>
              <w:tc>
                <w:tcPr>
                  <w:tcW w:w="734" w:type="pct"/>
                  <w:tcBorders>
                    <w:right w:val="single" w:color="auto" w:sz="4" w:space="0"/>
                  </w:tcBorders>
                  <w:vAlign w:val="center"/>
                </w:tcPr>
                <w:p>
                  <w:pPr>
                    <w:pStyle w:val="47"/>
                    <w:snapToGrid w:val="0"/>
                    <w:spacing w:line="240" w:lineRule="auto"/>
                    <w:ind w:firstLine="0" w:firstLineChars="0"/>
                    <w:jc w:val="center"/>
                    <w:rPr>
                      <w:rFonts w:ascii="宋体" w:hAnsi="宋体"/>
                      <w:bCs/>
                      <w:color w:val="auto"/>
                      <w:szCs w:val="21"/>
                    </w:rPr>
                  </w:pPr>
                  <w:r>
                    <w:rPr>
                      <w:rFonts w:hint="eastAsia" w:ascii="宋体" w:hAnsi="宋体"/>
                      <w:color w:val="auto"/>
                      <w:szCs w:val="21"/>
                    </w:rPr>
                    <w:t>总烃</w:t>
                  </w:r>
                </w:p>
              </w:tc>
              <w:tc>
                <w:tcPr>
                  <w:tcW w:w="575"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3.46</w:t>
                  </w:r>
                </w:p>
              </w:tc>
              <w:tc>
                <w:tcPr>
                  <w:tcW w:w="577"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3.66</w:t>
                  </w:r>
                </w:p>
              </w:tc>
              <w:tc>
                <w:tcPr>
                  <w:tcW w:w="548"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3.49</w:t>
                  </w:r>
                </w:p>
              </w:tc>
              <w:tc>
                <w:tcPr>
                  <w:tcW w:w="550"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3.51</w:t>
                  </w:r>
                </w:p>
              </w:tc>
              <w:tc>
                <w:tcPr>
                  <w:tcW w:w="539" w:type="pct"/>
                  <w:tcBorders>
                    <w:left w:val="single" w:color="auto" w:sz="4" w:space="0"/>
                  </w:tcBorders>
                  <w:vAlign w:val="center"/>
                </w:tcPr>
                <w:p>
                  <w:pPr>
                    <w:pStyle w:val="47"/>
                    <w:snapToGrid w:val="0"/>
                    <w:spacing w:line="240" w:lineRule="auto"/>
                    <w:ind w:firstLine="0" w:firstLineChars="0"/>
                    <w:jc w:val="center"/>
                    <w:rPr>
                      <w:bCs/>
                      <w:color w:val="auto"/>
                      <w:szCs w:val="21"/>
                    </w:rPr>
                  </w:pPr>
                  <w:r>
                    <w:rPr>
                      <w:rFonts w:hint="eastAsia"/>
                      <w:bCs/>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26" w:type="pct"/>
                  <w:vMerge w:val="continue"/>
                  <w:vAlign w:val="center"/>
                </w:tcPr>
                <w:p>
                  <w:pPr>
                    <w:pStyle w:val="47"/>
                    <w:snapToGrid w:val="0"/>
                    <w:spacing w:line="240" w:lineRule="auto"/>
                    <w:ind w:firstLine="0" w:firstLineChars="0"/>
                    <w:jc w:val="center"/>
                    <w:rPr>
                      <w:bCs/>
                      <w:color w:val="auto"/>
                      <w:szCs w:val="21"/>
                    </w:rPr>
                  </w:pPr>
                </w:p>
              </w:tc>
              <w:tc>
                <w:tcPr>
                  <w:tcW w:w="647" w:type="pct"/>
                  <w:vMerge w:val="continue"/>
                  <w:vAlign w:val="center"/>
                </w:tcPr>
                <w:p>
                  <w:pPr>
                    <w:pStyle w:val="47"/>
                    <w:snapToGrid w:val="0"/>
                    <w:spacing w:line="240" w:lineRule="auto"/>
                    <w:ind w:firstLine="0" w:firstLineChars="0"/>
                    <w:jc w:val="center"/>
                    <w:rPr>
                      <w:bCs/>
                      <w:color w:val="auto"/>
                      <w:szCs w:val="21"/>
                    </w:rPr>
                  </w:pPr>
                </w:p>
              </w:tc>
              <w:tc>
                <w:tcPr>
                  <w:tcW w:w="734" w:type="pct"/>
                  <w:tcBorders>
                    <w:right w:val="single" w:color="auto" w:sz="4" w:space="0"/>
                  </w:tcBorders>
                  <w:vAlign w:val="center"/>
                </w:tcPr>
                <w:p>
                  <w:pPr>
                    <w:pStyle w:val="47"/>
                    <w:snapToGrid w:val="0"/>
                    <w:spacing w:line="240" w:lineRule="auto"/>
                    <w:ind w:firstLine="0" w:firstLineChars="0"/>
                    <w:jc w:val="center"/>
                    <w:rPr>
                      <w:rFonts w:hint="eastAsia" w:ascii="宋体" w:hAnsi="宋体"/>
                      <w:color w:val="auto"/>
                      <w:szCs w:val="21"/>
                    </w:rPr>
                  </w:pPr>
                  <w:r>
                    <w:rPr>
                      <w:rFonts w:hint="eastAsia" w:ascii="宋体" w:hAnsi="宋体"/>
                      <w:color w:val="auto"/>
                      <w:szCs w:val="21"/>
                    </w:rPr>
                    <w:t>非甲烷</w:t>
                  </w:r>
                </w:p>
                <w:p>
                  <w:pPr>
                    <w:pStyle w:val="47"/>
                    <w:snapToGrid w:val="0"/>
                    <w:spacing w:line="240" w:lineRule="auto"/>
                    <w:ind w:firstLine="0" w:firstLineChars="0"/>
                    <w:jc w:val="center"/>
                    <w:rPr>
                      <w:rFonts w:ascii="宋体" w:hAnsi="宋体"/>
                      <w:bCs/>
                      <w:color w:val="auto"/>
                      <w:szCs w:val="21"/>
                    </w:rPr>
                  </w:pPr>
                  <w:r>
                    <w:rPr>
                      <w:rFonts w:hint="eastAsia" w:ascii="宋体" w:hAnsi="宋体"/>
                      <w:color w:val="auto"/>
                      <w:szCs w:val="21"/>
                    </w:rPr>
                    <w:t>总烃</w:t>
                  </w:r>
                </w:p>
              </w:tc>
              <w:tc>
                <w:tcPr>
                  <w:tcW w:w="575"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0.74</w:t>
                  </w:r>
                </w:p>
              </w:tc>
              <w:tc>
                <w:tcPr>
                  <w:tcW w:w="577"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0.78</w:t>
                  </w:r>
                </w:p>
              </w:tc>
              <w:tc>
                <w:tcPr>
                  <w:tcW w:w="548"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0.79</w:t>
                  </w:r>
                </w:p>
              </w:tc>
              <w:tc>
                <w:tcPr>
                  <w:tcW w:w="550"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eastAsia="等线"/>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0.78</w:t>
                  </w:r>
                </w:p>
              </w:tc>
              <w:tc>
                <w:tcPr>
                  <w:tcW w:w="539" w:type="pct"/>
                  <w:tcBorders>
                    <w:left w:val="single" w:color="auto" w:sz="4" w:space="0"/>
                  </w:tcBorders>
                  <w:vAlign w:val="center"/>
                </w:tcPr>
                <w:p>
                  <w:pPr>
                    <w:pStyle w:val="47"/>
                    <w:snapToGrid w:val="0"/>
                    <w:spacing w:line="240" w:lineRule="auto"/>
                    <w:ind w:firstLine="0" w:firstLineChars="0"/>
                    <w:jc w:val="center"/>
                    <w:rPr>
                      <w:bCs/>
                      <w:color w:val="auto"/>
                      <w:szCs w:val="21"/>
                    </w:rPr>
                  </w:pPr>
                  <w:r>
                    <w:rPr>
                      <w:rFonts w:hint="eastAsia"/>
                      <w:bCs/>
                      <w:color w:val="auto"/>
                      <w:szCs w:val="21"/>
                    </w:rPr>
                    <w:t>2</w:t>
                  </w:r>
                  <w:r>
                    <w:rPr>
                      <w:bCs/>
                      <w:color w:val="auto"/>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26" w:type="pct"/>
                  <w:vMerge w:val="continue"/>
                  <w:vAlign w:val="center"/>
                </w:tcPr>
                <w:p>
                  <w:pPr>
                    <w:pStyle w:val="47"/>
                    <w:snapToGrid w:val="0"/>
                    <w:spacing w:line="240" w:lineRule="auto"/>
                    <w:ind w:firstLine="0" w:firstLineChars="0"/>
                    <w:jc w:val="center"/>
                    <w:rPr>
                      <w:bCs/>
                      <w:color w:val="auto"/>
                      <w:szCs w:val="21"/>
                    </w:rPr>
                  </w:pPr>
                </w:p>
              </w:tc>
              <w:tc>
                <w:tcPr>
                  <w:tcW w:w="647" w:type="pct"/>
                  <w:vMerge w:val="restart"/>
                  <w:vAlign w:val="center"/>
                </w:tcPr>
                <w:p>
                  <w:pPr>
                    <w:snapToGrid w:val="0"/>
                    <w:jc w:val="center"/>
                    <w:rPr>
                      <w:rFonts w:hint="default" w:eastAsia="宋体"/>
                      <w:bCs/>
                      <w:color w:val="auto"/>
                      <w:szCs w:val="21"/>
                      <w:lang w:val="en-US" w:eastAsia="zh-CN"/>
                    </w:rPr>
                  </w:pPr>
                  <w:r>
                    <w:rPr>
                      <w:rFonts w:hint="eastAsia"/>
                      <w:bCs/>
                      <w:color w:val="auto"/>
                      <w:szCs w:val="21"/>
                    </w:rPr>
                    <w:t>2</w:t>
                  </w:r>
                  <w:r>
                    <w:rPr>
                      <w:bCs/>
                      <w:color w:val="auto"/>
                      <w:szCs w:val="21"/>
                    </w:rPr>
                    <w:t>02</w:t>
                  </w:r>
                  <w:r>
                    <w:rPr>
                      <w:rFonts w:hint="eastAsia"/>
                      <w:bCs/>
                      <w:color w:val="auto"/>
                      <w:szCs w:val="21"/>
                    </w:rPr>
                    <w:t>3</w:t>
                  </w:r>
                  <w:r>
                    <w:rPr>
                      <w:bCs/>
                      <w:color w:val="auto"/>
                      <w:szCs w:val="21"/>
                    </w:rPr>
                    <w:t>.1</w:t>
                  </w:r>
                  <w:r>
                    <w:rPr>
                      <w:rFonts w:hint="eastAsia"/>
                      <w:bCs/>
                      <w:color w:val="auto"/>
                      <w:szCs w:val="21"/>
                      <w:lang w:val="en-US" w:eastAsia="zh-CN"/>
                    </w:rPr>
                    <w:t>1.26</w:t>
                  </w:r>
                </w:p>
              </w:tc>
              <w:tc>
                <w:tcPr>
                  <w:tcW w:w="734" w:type="pct"/>
                  <w:tcBorders>
                    <w:right w:val="single" w:color="auto" w:sz="4" w:space="0"/>
                  </w:tcBorders>
                  <w:vAlign w:val="center"/>
                </w:tcPr>
                <w:p>
                  <w:pPr>
                    <w:pStyle w:val="47"/>
                    <w:snapToGrid w:val="0"/>
                    <w:spacing w:line="240" w:lineRule="auto"/>
                    <w:ind w:firstLine="0" w:firstLineChars="0"/>
                    <w:jc w:val="center"/>
                    <w:rPr>
                      <w:rFonts w:ascii="宋体" w:hAnsi="宋体"/>
                      <w:color w:val="auto"/>
                      <w:szCs w:val="21"/>
                    </w:rPr>
                  </w:pPr>
                  <w:r>
                    <w:rPr>
                      <w:rFonts w:hint="eastAsia" w:ascii="宋体" w:hAnsi="宋体"/>
                      <w:color w:val="auto"/>
                      <w:szCs w:val="21"/>
                    </w:rPr>
                    <w:t>总烃</w:t>
                  </w:r>
                </w:p>
              </w:tc>
              <w:tc>
                <w:tcPr>
                  <w:tcW w:w="575"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3.65</w:t>
                  </w:r>
                </w:p>
              </w:tc>
              <w:tc>
                <w:tcPr>
                  <w:tcW w:w="577"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3.72</w:t>
                  </w:r>
                </w:p>
              </w:tc>
              <w:tc>
                <w:tcPr>
                  <w:tcW w:w="548"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3.39</w:t>
                  </w:r>
                </w:p>
              </w:tc>
              <w:tc>
                <w:tcPr>
                  <w:tcW w:w="550"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3.53</w:t>
                  </w:r>
                </w:p>
              </w:tc>
              <w:tc>
                <w:tcPr>
                  <w:tcW w:w="539" w:type="pct"/>
                  <w:tcBorders>
                    <w:left w:val="single" w:color="auto" w:sz="4" w:space="0"/>
                  </w:tcBorders>
                  <w:vAlign w:val="center"/>
                </w:tcPr>
                <w:p>
                  <w:pPr>
                    <w:pStyle w:val="47"/>
                    <w:snapToGrid w:val="0"/>
                    <w:spacing w:line="240" w:lineRule="auto"/>
                    <w:ind w:firstLine="0" w:firstLineChars="0"/>
                    <w:jc w:val="center"/>
                    <w:rPr>
                      <w:bCs/>
                      <w:color w:val="auto"/>
                      <w:szCs w:val="21"/>
                    </w:rPr>
                  </w:pPr>
                  <w:r>
                    <w:rPr>
                      <w:rFonts w:hint="eastAsia"/>
                      <w:bCs/>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26" w:type="pct"/>
                  <w:vMerge w:val="continue"/>
                  <w:vAlign w:val="center"/>
                </w:tcPr>
                <w:p>
                  <w:pPr>
                    <w:pStyle w:val="47"/>
                    <w:snapToGrid w:val="0"/>
                    <w:spacing w:line="240" w:lineRule="auto"/>
                    <w:ind w:firstLine="0" w:firstLineChars="0"/>
                    <w:jc w:val="center"/>
                    <w:rPr>
                      <w:bCs/>
                      <w:color w:val="auto"/>
                      <w:szCs w:val="21"/>
                    </w:rPr>
                  </w:pPr>
                </w:p>
              </w:tc>
              <w:tc>
                <w:tcPr>
                  <w:tcW w:w="647" w:type="pct"/>
                  <w:vMerge w:val="continue"/>
                  <w:vAlign w:val="center"/>
                </w:tcPr>
                <w:p>
                  <w:pPr>
                    <w:pStyle w:val="47"/>
                    <w:snapToGrid w:val="0"/>
                    <w:spacing w:line="240" w:lineRule="auto"/>
                    <w:ind w:firstLine="0" w:firstLineChars="0"/>
                    <w:jc w:val="center"/>
                    <w:rPr>
                      <w:bCs/>
                      <w:color w:val="auto"/>
                      <w:szCs w:val="21"/>
                    </w:rPr>
                  </w:pPr>
                </w:p>
              </w:tc>
              <w:tc>
                <w:tcPr>
                  <w:tcW w:w="734" w:type="pct"/>
                  <w:tcBorders>
                    <w:right w:val="single" w:color="auto" w:sz="4" w:space="0"/>
                  </w:tcBorders>
                  <w:vAlign w:val="center"/>
                </w:tcPr>
                <w:p>
                  <w:pPr>
                    <w:pStyle w:val="47"/>
                    <w:snapToGrid w:val="0"/>
                    <w:spacing w:line="240" w:lineRule="auto"/>
                    <w:ind w:firstLine="0" w:firstLineChars="0"/>
                    <w:jc w:val="center"/>
                    <w:rPr>
                      <w:rFonts w:hint="eastAsia" w:ascii="宋体" w:hAnsi="宋体"/>
                      <w:color w:val="auto"/>
                      <w:szCs w:val="21"/>
                    </w:rPr>
                  </w:pPr>
                  <w:r>
                    <w:rPr>
                      <w:rFonts w:hint="eastAsia" w:ascii="宋体" w:hAnsi="宋体"/>
                      <w:color w:val="auto"/>
                      <w:szCs w:val="21"/>
                    </w:rPr>
                    <w:t>非甲烷</w:t>
                  </w:r>
                </w:p>
                <w:p>
                  <w:pPr>
                    <w:pStyle w:val="47"/>
                    <w:snapToGrid w:val="0"/>
                    <w:spacing w:line="240" w:lineRule="auto"/>
                    <w:ind w:firstLine="0" w:firstLineChars="0"/>
                    <w:jc w:val="center"/>
                    <w:rPr>
                      <w:rFonts w:ascii="宋体" w:hAnsi="宋体"/>
                      <w:color w:val="auto"/>
                      <w:szCs w:val="21"/>
                    </w:rPr>
                  </w:pPr>
                  <w:r>
                    <w:rPr>
                      <w:rFonts w:hint="eastAsia" w:ascii="宋体" w:hAnsi="宋体"/>
                      <w:color w:val="auto"/>
                      <w:szCs w:val="21"/>
                    </w:rPr>
                    <w:t>总烃</w:t>
                  </w:r>
                </w:p>
              </w:tc>
              <w:tc>
                <w:tcPr>
                  <w:tcW w:w="575"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0.83</w:t>
                  </w:r>
                </w:p>
              </w:tc>
              <w:tc>
                <w:tcPr>
                  <w:tcW w:w="577"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0.77</w:t>
                  </w:r>
                </w:p>
              </w:tc>
              <w:tc>
                <w:tcPr>
                  <w:tcW w:w="548"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0.78</w:t>
                  </w:r>
                </w:p>
              </w:tc>
              <w:tc>
                <w:tcPr>
                  <w:tcW w:w="550" w:type="pc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bCs/>
                      <w:color w:val="auto"/>
                      <w:szCs w:val="21"/>
                    </w:rPr>
                  </w:pPr>
                  <w:r>
                    <w:rPr>
                      <w:rFonts w:hint="default" w:ascii="Times New Roman" w:hAnsi="Times New Roman" w:eastAsia="宋体" w:cs="Times New Roman"/>
                      <w:i w:val="0"/>
                      <w:iCs w:val="0"/>
                      <w:color w:val="auto"/>
                      <w:kern w:val="0"/>
                      <w:sz w:val="21"/>
                      <w:szCs w:val="21"/>
                      <w:u w:val="none"/>
                      <w:lang w:val="en-US" w:eastAsia="zh-CN" w:bidi="ar"/>
                    </w:rPr>
                    <w:t>0.81</w:t>
                  </w:r>
                </w:p>
              </w:tc>
              <w:tc>
                <w:tcPr>
                  <w:tcW w:w="539" w:type="pct"/>
                  <w:tcBorders>
                    <w:left w:val="single" w:color="auto" w:sz="4" w:space="0"/>
                  </w:tcBorders>
                  <w:vAlign w:val="center"/>
                </w:tcPr>
                <w:p>
                  <w:pPr>
                    <w:pStyle w:val="47"/>
                    <w:snapToGrid w:val="0"/>
                    <w:spacing w:line="240" w:lineRule="auto"/>
                    <w:ind w:firstLine="0" w:firstLineChars="0"/>
                    <w:jc w:val="center"/>
                    <w:rPr>
                      <w:bCs/>
                      <w:color w:val="auto"/>
                      <w:szCs w:val="21"/>
                    </w:rPr>
                  </w:pPr>
                  <w:r>
                    <w:rPr>
                      <w:rFonts w:hint="eastAsia"/>
                      <w:bCs/>
                      <w:color w:val="auto"/>
                      <w:szCs w:val="21"/>
                    </w:rPr>
                    <w:t>2</w:t>
                  </w:r>
                  <w:r>
                    <w:rPr>
                      <w:bCs/>
                      <w:color w:val="auto"/>
                      <w:szCs w:val="21"/>
                    </w:rPr>
                    <w:t>.0</w:t>
                  </w:r>
                </w:p>
              </w:tc>
            </w:tr>
          </w:tbl>
          <w:p>
            <w:pPr>
              <w:keepNext w:val="0"/>
              <w:keepLines w:val="0"/>
              <w:pageBreakBefore w:val="0"/>
              <w:widowControl w:val="0"/>
              <w:kinsoku/>
              <w:wordWrap/>
              <w:overflowPunct/>
              <w:topLinePunct w:val="0"/>
              <w:autoSpaceDE/>
              <w:autoSpaceDN/>
              <w:bidi w:val="0"/>
              <w:adjustRightInd w:val="0"/>
              <w:snapToGrid w:val="0"/>
              <w:spacing w:before="157" w:beforeLines="50" w:line="360" w:lineRule="auto"/>
              <w:ind w:firstLine="480" w:firstLineChars="200"/>
              <w:jc w:val="left"/>
              <w:textAlignment w:val="auto"/>
              <w:rPr>
                <w:color w:val="auto"/>
                <w:sz w:val="24"/>
              </w:rPr>
            </w:pPr>
            <w:r>
              <w:rPr>
                <w:color w:val="auto"/>
                <w:sz w:val="24"/>
              </w:rPr>
              <w:t>监测结果表明（表3-2），</w:t>
            </w:r>
            <w:r>
              <w:rPr>
                <w:rFonts w:hint="eastAsia"/>
                <w:color w:val="auto"/>
                <w:sz w:val="24"/>
              </w:rPr>
              <w:t>项目所在区域非甲烷总烃现状浓度满足《大气污染物综合排放标准详解》限值要求，环境质量现状良好。</w:t>
            </w:r>
          </w:p>
          <w:p>
            <w:pPr>
              <w:spacing w:line="360" w:lineRule="auto"/>
              <w:rPr>
                <w:color w:val="auto"/>
                <w:sz w:val="24"/>
                <w:szCs w:val="32"/>
              </w:rPr>
            </w:pPr>
            <w:r>
              <w:rPr>
                <w:rFonts w:hint="eastAsia"/>
                <w:color w:val="auto"/>
                <w:sz w:val="24"/>
                <w:szCs w:val="32"/>
              </w:rPr>
              <w:t>2、</w:t>
            </w:r>
            <w:r>
              <w:rPr>
                <w:color w:val="auto"/>
                <w:sz w:val="24"/>
                <w:szCs w:val="32"/>
              </w:rPr>
              <w:t>环境噪声</w:t>
            </w:r>
          </w:p>
          <w:p>
            <w:pPr>
              <w:pStyle w:val="8"/>
              <w:spacing w:before="0" w:after="0" w:line="360" w:lineRule="auto"/>
              <w:ind w:right="0" w:firstLine="480" w:firstLineChars="200"/>
              <w:rPr>
                <w:color w:val="auto"/>
              </w:rPr>
            </w:pPr>
            <w:r>
              <w:rPr>
                <w:color w:val="auto"/>
                <w:sz w:val="24"/>
                <w:szCs w:val="28"/>
              </w:rPr>
              <w:t>项目厂界外5</w:t>
            </w:r>
            <w:r>
              <w:rPr>
                <w:rFonts w:hint="eastAsia"/>
                <w:color w:val="auto"/>
                <w:sz w:val="24"/>
                <w:szCs w:val="28"/>
                <w:lang w:val="en-US" w:eastAsia="zh-CN"/>
              </w:rPr>
              <w:t>0</w:t>
            </w:r>
            <w:r>
              <w:rPr>
                <w:color w:val="auto"/>
                <w:sz w:val="24"/>
                <w:szCs w:val="28"/>
              </w:rPr>
              <w:t>m范围内无声环境保护目标</w:t>
            </w:r>
            <w:r>
              <w:rPr>
                <w:rFonts w:hint="eastAsia"/>
                <w:color w:val="auto"/>
                <w:sz w:val="24"/>
                <w:szCs w:val="28"/>
              </w:rPr>
              <w:t>，考虑到本次是对现有井场进行内新建，因此对厂界噪声监测。</w:t>
            </w:r>
            <w:r>
              <w:rPr>
                <w:color w:val="auto"/>
                <w:sz w:val="24"/>
                <w:szCs w:val="28"/>
              </w:rPr>
              <w:t>厂区噪声现状</w:t>
            </w:r>
            <w:r>
              <w:rPr>
                <w:rFonts w:hint="eastAsia"/>
                <w:color w:val="auto"/>
                <w:sz w:val="24"/>
                <w:szCs w:val="28"/>
              </w:rPr>
              <w:t>委托公司于2023年1</w:t>
            </w:r>
            <w:r>
              <w:rPr>
                <w:color w:val="auto"/>
                <w:sz w:val="24"/>
                <w:szCs w:val="28"/>
              </w:rPr>
              <w:t>1</w:t>
            </w:r>
            <w:r>
              <w:rPr>
                <w:rFonts w:hint="eastAsia"/>
                <w:color w:val="auto"/>
                <w:sz w:val="24"/>
                <w:szCs w:val="28"/>
              </w:rPr>
              <w:t>月</w:t>
            </w:r>
            <w:r>
              <w:rPr>
                <w:rFonts w:hint="eastAsia"/>
                <w:color w:val="auto"/>
                <w:sz w:val="24"/>
                <w:szCs w:val="28"/>
                <w:lang w:val="en-US" w:eastAsia="zh-CN"/>
              </w:rPr>
              <w:t>24</w:t>
            </w:r>
            <w:r>
              <w:rPr>
                <w:rFonts w:hint="eastAsia"/>
                <w:color w:val="auto"/>
                <w:sz w:val="24"/>
                <w:szCs w:val="28"/>
              </w:rPr>
              <w:t>日</w:t>
            </w:r>
            <w:r>
              <w:rPr>
                <w:rFonts w:hint="eastAsia" w:ascii="宋体" w:hAnsi="宋体" w:cs="宋体"/>
                <w:color w:val="auto"/>
                <w:sz w:val="24"/>
                <w:szCs w:val="28"/>
              </w:rPr>
              <w:t>～</w:t>
            </w:r>
            <w:r>
              <w:rPr>
                <w:color w:val="auto"/>
                <w:sz w:val="24"/>
                <w:szCs w:val="28"/>
              </w:rPr>
              <w:t>1</w:t>
            </w:r>
            <w:r>
              <w:rPr>
                <w:rFonts w:hint="eastAsia"/>
                <w:color w:val="auto"/>
                <w:sz w:val="24"/>
                <w:szCs w:val="28"/>
              </w:rPr>
              <w:t>1月</w:t>
            </w:r>
            <w:r>
              <w:rPr>
                <w:rFonts w:hint="eastAsia"/>
                <w:color w:val="auto"/>
                <w:sz w:val="24"/>
                <w:szCs w:val="28"/>
                <w:lang w:val="en-US" w:eastAsia="zh-CN"/>
              </w:rPr>
              <w:t>25</w:t>
            </w:r>
            <w:r>
              <w:rPr>
                <w:rFonts w:hint="eastAsia"/>
                <w:color w:val="auto"/>
                <w:sz w:val="24"/>
                <w:szCs w:val="28"/>
              </w:rPr>
              <w:t>日进行了厂界噪声监测</w:t>
            </w:r>
            <w:r>
              <w:rPr>
                <w:color w:val="auto"/>
                <w:sz w:val="24"/>
                <w:szCs w:val="28"/>
              </w:rPr>
              <w:t>，见表3-3。</w:t>
            </w:r>
          </w:p>
          <w:p>
            <w:pPr>
              <w:pStyle w:val="8"/>
              <w:spacing w:before="0" w:after="0" w:line="240" w:lineRule="auto"/>
              <w:ind w:right="0" w:firstLine="422" w:firstLineChars="200"/>
              <w:rPr>
                <w:b/>
                <w:bCs/>
                <w:color w:val="auto"/>
                <w:sz w:val="21"/>
                <w:szCs w:val="21"/>
              </w:rPr>
            </w:pPr>
            <w:r>
              <w:rPr>
                <w:rFonts w:hint="eastAsia"/>
                <w:b/>
                <w:bCs/>
                <w:color w:val="auto"/>
                <w:sz w:val="21"/>
                <w:szCs w:val="21"/>
              </w:rPr>
              <w:t>表3-</w:t>
            </w:r>
            <w:r>
              <w:rPr>
                <w:b/>
                <w:bCs/>
                <w:color w:val="auto"/>
                <w:sz w:val="21"/>
                <w:szCs w:val="21"/>
              </w:rPr>
              <w:t>3</w:t>
            </w:r>
            <w:r>
              <w:rPr>
                <w:rFonts w:hint="eastAsia"/>
                <w:b/>
                <w:bCs/>
                <w:color w:val="auto"/>
                <w:sz w:val="21"/>
                <w:szCs w:val="21"/>
              </w:rPr>
              <w:t xml:space="preserve">                   厂界噪声监测结果统计表               单位：dB（A）</w:t>
            </w:r>
          </w:p>
          <w:tbl>
            <w:tblPr>
              <w:tblStyle w:val="19"/>
              <w:tblW w:w="504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29"/>
              <w:gridCol w:w="1392"/>
              <w:gridCol w:w="1508"/>
              <w:gridCol w:w="1506"/>
              <w:gridCol w:w="15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2" w:hRule="atLeast"/>
                <w:jc w:val="center"/>
              </w:trPr>
              <w:tc>
                <w:tcPr>
                  <w:tcW w:w="1324" w:type="pct"/>
                  <w:vMerge w:val="restart"/>
                  <w:vAlign w:val="center"/>
                </w:tcPr>
                <w:p>
                  <w:pPr>
                    <w:widowControl/>
                    <w:adjustRightInd w:val="0"/>
                    <w:snapToGrid w:val="0"/>
                    <w:jc w:val="center"/>
                    <w:rPr>
                      <w:color w:val="auto"/>
                      <w:szCs w:val="21"/>
                      <w:lang w:val="zh-CN"/>
                    </w:rPr>
                  </w:pPr>
                  <w:r>
                    <w:rPr>
                      <w:rFonts w:hint="eastAsia"/>
                      <w:color w:val="auto"/>
                      <w:szCs w:val="21"/>
                      <w:lang w:val="zh-CN"/>
                    </w:rPr>
                    <w:t>检测点位</w:t>
                  </w:r>
                </w:p>
              </w:tc>
              <w:tc>
                <w:tcPr>
                  <w:tcW w:w="1803" w:type="pct"/>
                  <w:gridSpan w:val="2"/>
                  <w:vAlign w:val="center"/>
                </w:tcPr>
                <w:p>
                  <w:pPr>
                    <w:widowControl/>
                    <w:adjustRightInd w:val="0"/>
                    <w:snapToGrid w:val="0"/>
                    <w:jc w:val="center"/>
                    <w:rPr>
                      <w:rFonts w:hint="default" w:eastAsia="宋体"/>
                      <w:color w:val="auto"/>
                      <w:szCs w:val="21"/>
                      <w:lang w:val="en-US" w:eastAsia="zh-CN"/>
                    </w:rPr>
                  </w:pPr>
                  <w:r>
                    <w:rPr>
                      <w:color w:val="auto"/>
                      <w:szCs w:val="21"/>
                    </w:rPr>
                    <w:t>202</w:t>
                  </w:r>
                  <w:r>
                    <w:rPr>
                      <w:rFonts w:hint="eastAsia"/>
                      <w:color w:val="auto"/>
                      <w:szCs w:val="21"/>
                    </w:rPr>
                    <w:t>3.</w:t>
                  </w:r>
                  <w:r>
                    <w:rPr>
                      <w:rFonts w:hint="eastAsia"/>
                      <w:color w:val="auto"/>
                      <w:szCs w:val="21"/>
                      <w:lang w:val="en-US" w:eastAsia="zh-CN"/>
                    </w:rPr>
                    <w:t>11.24</w:t>
                  </w:r>
                </w:p>
              </w:tc>
              <w:tc>
                <w:tcPr>
                  <w:tcW w:w="1871" w:type="pct"/>
                  <w:gridSpan w:val="2"/>
                  <w:vAlign w:val="center"/>
                </w:tcPr>
                <w:p>
                  <w:pPr>
                    <w:widowControl/>
                    <w:adjustRightInd w:val="0"/>
                    <w:snapToGrid w:val="0"/>
                    <w:jc w:val="center"/>
                    <w:rPr>
                      <w:rFonts w:hint="default" w:eastAsia="宋体"/>
                      <w:color w:val="auto"/>
                      <w:szCs w:val="21"/>
                      <w:lang w:val="en-US" w:eastAsia="zh-CN"/>
                    </w:rPr>
                  </w:pPr>
                  <w:r>
                    <w:rPr>
                      <w:color w:val="auto"/>
                      <w:szCs w:val="21"/>
                    </w:rPr>
                    <w:t>202</w:t>
                  </w:r>
                  <w:r>
                    <w:rPr>
                      <w:rFonts w:hint="eastAsia"/>
                      <w:color w:val="auto"/>
                      <w:szCs w:val="21"/>
                    </w:rPr>
                    <w:t>3.</w:t>
                  </w:r>
                  <w:r>
                    <w:rPr>
                      <w:rFonts w:hint="eastAsia"/>
                      <w:color w:val="auto"/>
                      <w:szCs w:val="21"/>
                      <w:lang w:val="en-US" w:eastAsia="zh-CN"/>
                    </w:rPr>
                    <w:t>11.25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2" w:hRule="atLeast"/>
                <w:jc w:val="center"/>
              </w:trPr>
              <w:tc>
                <w:tcPr>
                  <w:tcW w:w="1324" w:type="pct"/>
                  <w:vMerge w:val="continue"/>
                  <w:vAlign w:val="center"/>
                </w:tcPr>
                <w:p>
                  <w:pPr>
                    <w:widowControl/>
                    <w:jc w:val="center"/>
                    <w:rPr>
                      <w:color w:val="auto"/>
                      <w:szCs w:val="21"/>
                      <w:lang w:val="zh-CN"/>
                    </w:rPr>
                  </w:pPr>
                </w:p>
              </w:tc>
              <w:tc>
                <w:tcPr>
                  <w:tcW w:w="865" w:type="pct"/>
                  <w:vAlign w:val="center"/>
                </w:tcPr>
                <w:p>
                  <w:pPr>
                    <w:widowControl/>
                    <w:adjustRightInd w:val="0"/>
                    <w:snapToGrid w:val="0"/>
                    <w:jc w:val="center"/>
                    <w:rPr>
                      <w:color w:val="auto"/>
                      <w:szCs w:val="21"/>
                    </w:rPr>
                  </w:pPr>
                  <w:r>
                    <w:rPr>
                      <w:rFonts w:hint="eastAsia"/>
                      <w:color w:val="auto"/>
                      <w:szCs w:val="21"/>
                    </w:rPr>
                    <w:t>昼间</w:t>
                  </w:r>
                  <w:r>
                    <w:rPr>
                      <w:color w:val="auto"/>
                      <w:szCs w:val="21"/>
                    </w:rPr>
                    <w:t>dB(A)</w:t>
                  </w:r>
                </w:p>
              </w:tc>
              <w:tc>
                <w:tcPr>
                  <w:tcW w:w="938" w:type="pct"/>
                  <w:vAlign w:val="center"/>
                </w:tcPr>
                <w:p>
                  <w:pPr>
                    <w:widowControl/>
                    <w:adjustRightInd w:val="0"/>
                    <w:snapToGrid w:val="0"/>
                    <w:jc w:val="center"/>
                    <w:rPr>
                      <w:color w:val="auto"/>
                      <w:szCs w:val="21"/>
                    </w:rPr>
                  </w:pPr>
                  <w:r>
                    <w:rPr>
                      <w:rFonts w:hint="eastAsia"/>
                      <w:color w:val="auto"/>
                      <w:szCs w:val="21"/>
                    </w:rPr>
                    <w:t>夜间</w:t>
                  </w:r>
                  <w:r>
                    <w:rPr>
                      <w:color w:val="auto"/>
                      <w:szCs w:val="21"/>
                    </w:rPr>
                    <w:t>dB(A)</w:t>
                  </w:r>
                </w:p>
              </w:tc>
              <w:tc>
                <w:tcPr>
                  <w:tcW w:w="936" w:type="pct"/>
                  <w:vAlign w:val="center"/>
                </w:tcPr>
                <w:p>
                  <w:pPr>
                    <w:widowControl/>
                    <w:adjustRightInd w:val="0"/>
                    <w:snapToGrid w:val="0"/>
                    <w:jc w:val="center"/>
                    <w:rPr>
                      <w:color w:val="auto"/>
                      <w:szCs w:val="21"/>
                    </w:rPr>
                  </w:pPr>
                  <w:r>
                    <w:rPr>
                      <w:rFonts w:hint="eastAsia"/>
                      <w:color w:val="auto"/>
                      <w:szCs w:val="21"/>
                    </w:rPr>
                    <w:t>昼间</w:t>
                  </w:r>
                  <w:r>
                    <w:rPr>
                      <w:color w:val="auto"/>
                      <w:szCs w:val="21"/>
                    </w:rPr>
                    <w:t>dB(A)</w:t>
                  </w:r>
                </w:p>
              </w:tc>
              <w:tc>
                <w:tcPr>
                  <w:tcW w:w="934" w:type="pct"/>
                  <w:vAlign w:val="center"/>
                </w:tcPr>
                <w:p>
                  <w:pPr>
                    <w:widowControl/>
                    <w:adjustRightInd w:val="0"/>
                    <w:snapToGrid w:val="0"/>
                    <w:jc w:val="center"/>
                    <w:rPr>
                      <w:color w:val="auto"/>
                      <w:szCs w:val="21"/>
                    </w:rPr>
                  </w:pPr>
                  <w:r>
                    <w:rPr>
                      <w:rFonts w:hint="eastAsia"/>
                      <w:color w:val="auto"/>
                      <w:szCs w:val="21"/>
                    </w:rPr>
                    <w:t>夜间</w:t>
                  </w:r>
                  <w:r>
                    <w:rPr>
                      <w:color w:val="auto"/>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2" w:hRule="atLeast"/>
                <w:jc w:val="center"/>
              </w:trPr>
              <w:tc>
                <w:tcPr>
                  <w:tcW w:w="1324" w:type="pct"/>
                  <w:vAlign w:val="center"/>
                </w:tcPr>
                <w:p>
                  <w:pPr>
                    <w:widowControl/>
                    <w:adjustRightInd w:val="0"/>
                    <w:snapToGrid w:val="0"/>
                    <w:jc w:val="center"/>
                    <w:rPr>
                      <w:rFonts w:hint="eastAsia" w:eastAsia="宋体"/>
                      <w:color w:val="auto"/>
                      <w:szCs w:val="21"/>
                      <w:lang w:eastAsia="zh-CN"/>
                    </w:rPr>
                  </w:pPr>
                  <w:r>
                    <w:rPr>
                      <w:color w:val="auto"/>
                      <w:szCs w:val="21"/>
                    </w:rPr>
                    <w:t>1#</w:t>
                  </w:r>
                  <w:r>
                    <w:rPr>
                      <w:rFonts w:hint="eastAsia"/>
                      <w:color w:val="auto"/>
                      <w:szCs w:val="21"/>
                    </w:rPr>
                    <w:t>厂界</w:t>
                  </w:r>
                  <w:r>
                    <w:rPr>
                      <w:rFonts w:hint="eastAsia"/>
                      <w:color w:val="auto"/>
                      <w:szCs w:val="21"/>
                      <w:lang w:val="en-US" w:eastAsia="zh-CN"/>
                    </w:rPr>
                    <w:t>南</w:t>
                  </w:r>
                </w:p>
              </w:tc>
              <w:tc>
                <w:tcPr>
                  <w:tcW w:w="865"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50</w:t>
                  </w:r>
                </w:p>
              </w:tc>
              <w:tc>
                <w:tcPr>
                  <w:tcW w:w="938"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44</w:t>
                  </w:r>
                </w:p>
              </w:tc>
              <w:tc>
                <w:tcPr>
                  <w:tcW w:w="936"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49</w:t>
                  </w:r>
                </w:p>
              </w:tc>
              <w:tc>
                <w:tcPr>
                  <w:tcW w:w="934"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2" w:hRule="atLeast"/>
                <w:jc w:val="center"/>
              </w:trPr>
              <w:tc>
                <w:tcPr>
                  <w:tcW w:w="1324" w:type="pct"/>
                  <w:vAlign w:val="center"/>
                </w:tcPr>
                <w:p>
                  <w:pPr>
                    <w:widowControl/>
                    <w:adjustRightInd w:val="0"/>
                    <w:snapToGrid w:val="0"/>
                    <w:jc w:val="center"/>
                    <w:rPr>
                      <w:rFonts w:hint="eastAsia" w:eastAsia="宋体"/>
                      <w:color w:val="auto"/>
                      <w:szCs w:val="21"/>
                      <w:lang w:val="en-US" w:eastAsia="zh-CN"/>
                    </w:rPr>
                  </w:pPr>
                  <w:r>
                    <w:rPr>
                      <w:color w:val="auto"/>
                      <w:szCs w:val="21"/>
                    </w:rPr>
                    <w:t>2#</w:t>
                  </w:r>
                  <w:r>
                    <w:rPr>
                      <w:rFonts w:hint="eastAsia"/>
                      <w:color w:val="auto"/>
                      <w:szCs w:val="21"/>
                    </w:rPr>
                    <w:t>厂界</w:t>
                  </w:r>
                  <w:r>
                    <w:rPr>
                      <w:rFonts w:hint="eastAsia"/>
                      <w:color w:val="auto"/>
                      <w:szCs w:val="21"/>
                      <w:lang w:val="en-US" w:eastAsia="zh-CN"/>
                    </w:rPr>
                    <w:t>西</w:t>
                  </w:r>
                </w:p>
              </w:tc>
              <w:tc>
                <w:tcPr>
                  <w:tcW w:w="865"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49</w:t>
                  </w:r>
                </w:p>
              </w:tc>
              <w:tc>
                <w:tcPr>
                  <w:tcW w:w="938"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45</w:t>
                  </w:r>
                </w:p>
              </w:tc>
              <w:tc>
                <w:tcPr>
                  <w:tcW w:w="936"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48</w:t>
                  </w:r>
                </w:p>
              </w:tc>
              <w:tc>
                <w:tcPr>
                  <w:tcW w:w="934"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2" w:hRule="atLeast"/>
                <w:jc w:val="center"/>
              </w:trPr>
              <w:tc>
                <w:tcPr>
                  <w:tcW w:w="1324" w:type="pct"/>
                  <w:vAlign w:val="center"/>
                </w:tcPr>
                <w:p>
                  <w:pPr>
                    <w:widowControl/>
                    <w:adjustRightInd w:val="0"/>
                    <w:snapToGrid w:val="0"/>
                    <w:jc w:val="center"/>
                    <w:rPr>
                      <w:rFonts w:hint="eastAsia" w:eastAsia="宋体"/>
                      <w:color w:val="auto"/>
                      <w:szCs w:val="21"/>
                      <w:lang w:val="en-US" w:eastAsia="zh-CN"/>
                    </w:rPr>
                  </w:pPr>
                  <w:r>
                    <w:rPr>
                      <w:color w:val="auto"/>
                      <w:szCs w:val="21"/>
                    </w:rPr>
                    <w:t>3#</w:t>
                  </w:r>
                  <w:r>
                    <w:rPr>
                      <w:rFonts w:hint="eastAsia"/>
                      <w:color w:val="auto"/>
                      <w:szCs w:val="21"/>
                    </w:rPr>
                    <w:t>厂界</w:t>
                  </w:r>
                  <w:r>
                    <w:rPr>
                      <w:rFonts w:hint="eastAsia"/>
                      <w:color w:val="auto"/>
                      <w:szCs w:val="21"/>
                      <w:lang w:val="en-US" w:eastAsia="zh-CN"/>
                    </w:rPr>
                    <w:t>北</w:t>
                  </w:r>
                </w:p>
              </w:tc>
              <w:tc>
                <w:tcPr>
                  <w:tcW w:w="865"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51</w:t>
                  </w:r>
                </w:p>
              </w:tc>
              <w:tc>
                <w:tcPr>
                  <w:tcW w:w="938"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44</w:t>
                  </w:r>
                </w:p>
              </w:tc>
              <w:tc>
                <w:tcPr>
                  <w:tcW w:w="936"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49</w:t>
                  </w:r>
                </w:p>
              </w:tc>
              <w:tc>
                <w:tcPr>
                  <w:tcW w:w="934"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2" w:hRule="atLeast"/>
                <w:jc w:val="center"/>
              </w:trPr>
              <w:tc>
                <w:tcPr>
                  <w:tcW w:w="1324" w:type="pct"/>
                  <w:vAlign w:val="center"/>
                </w:tcPr>
                <w:p>
                  <w:pPr>
                    <w:widowControl/>
                    <w:adjustRightInd w:val="0"/>
                    <w:snapToGrid w:val="0"/>
                    <w:jc w:val="center"/>
                    <w:rPr>
                      <w:rFonts w:hint="eastAsia" w:eastAsia="宋体"/>
                      <w:color w:val="auto"/>
                      <w:szCs w:val="21"/>
                      <w:lang w:val="en-US" w:eastAsia="zh-CN"/>
                    </w:rPr>
                  </w:pPr>
                  <w:r>
                    <w:rPr>
                      <w:color w:val="auto"/>
                      <w:szCs w:val="21"/>
                    </w:rPr>
                    <w:t>4#</w:t>
                  </w:r>
                  <w:r>
                    <w:rPr>
                      <w:rFonts w:hint="eastAsia"/>
                      <w:color w:val="auto"/>
                      <w:szCs w:val="21"/>
                    </w:rPr>
                    <w:t>厂界</w:t>
                  </w:r>
                  <w:r>
                    <w:rPr>
                      <w:rFonts w:hint="eastAsia"/>
                      <w:color w:val="auto"/>
                      <w:szCs w:val="21"/>
                      <w:lang w:val="en-US" w:eastAsia="zh-CN"/>
                    </w:rPr>
                    <w:t>东</w:t>
                  </w:r>
                </w:p>
              </w:tc>
              <w:tc>
                <w:tcPr>
                  <w:tcW w:w="865"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50</w:t>
                  </w:r>
                </w:p>
              </w:tc>
              <w:tc>
                <w:tcPr>
                  <w:tcW w:w="938"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43</w:t>
                  </w:r>
                </w:p>
              </w:tc>
              <w:tc>
                <w:tcPr>
                  <w:tcW w:w="936"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48</w:t>
                  </w:r>
                </w:p>
              </w:tc>
              <w:tc>
                <w:tcPr>
                  <w:tcW w:w="934" w:type="pct"/>
                  <w:vAlign w:val="center"/>
                </w:tcPr>
                <w:p>
                  <w:pPr>
                    <w:keepNext w:val="0"/>
                    <w:keepLines w:val="0"/>
                    <w:pageBreakBefore w:val="0"/>
                    <w:widowControl w:val="0"/>
                    <w:kinsoku w:val="0"/>
                    <w:wordWrap/>
                    <w:overflowPunct w:val="0"/>
                    <w:topLinePunct w:val="0"/>
                    <w:autoSpaceDE w:val="0"/>
                    <w:autoSpaceDN w:val="0"/>
                    <w:bidi w:val="0"/>
                    <w:adjustRightInd w:val="0"/>
                    <w:snapToGrid w:val="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2" w:hRule="atLeast"/>
                <w:jc w:val="center"/>
              </w:trPr>
              <w:tc>
                <w:tcPr>
                  <w:tcW w:w="1324" w:type="pct"/>
                  <w:vAlign w:val="center"/>
                </w:tcPr>
                <w:p>
                  <w:pPr>
                    <w:widowControl/>
                    <w:adjustRightInd w:val="0"/>
                    <w:snapToGrid w:val="0"/>
                    <w:jc w:val="center"/>
                    <w:rPr>
                      <w:color w:val="auto"/>
                      <w:szCs w:val="21"/>
                    </w:rPr>
                  </w:pPr>
                  <w:r>
                    <w:rPr>
                      <w:rFonts w:hint="eastAsia"/>
                      <w:color w:val="auto"/>
                      <w:szCs w:val="21"/>
                    </w:rPr>
                    <w:t>标准限值</w:t>
                  </w:r>
                </w:p>
              </w:tc>
              <w:tc>
                <w:tcPr>
                  <w:tcW w:w="865" w:type="pct"/>
                  <w:vAlign w:val="center"/>
                </w:tcPr>
                <w:p>
                  <w:pPr>
                    <w:widowControl/>
                    <w:adjustRightInd w:val="0"/>
                    <w:snapToGrid w:val="0"/>
                    <w:jc w:val="center"/>
                    <w:rPr>
                      <w:color w:val="auto"/>
                      <w:szCs w:val="21"/>
                    </w:rPr>
                  </w:pPr>
                  <w:r>
                    <w:rPr>
                      <w:color w:val="auto"/>
                      <w:szCs w:val="21"/>
                    </w:rPr>
                    <w:t>60</w:t>
                  </w:r>
                </w:p>
              </w:tc>
              <w:tc>
                <w:tcPr>
                  <w:tcW w:w="938" w:type="pct"/>
                  <w:vAlign w:val="center"/>
                </w:tcPr>
                <w:p>
                  <w:pPr>
                    <w:widowControl/>
                    <w:autoSpaceDE w:val="0"/>
                    <w:autoSpaceDN w:val="0"/>
                    <w:adjustRightInd w:val="0"/>
                    <w:snapToGrid w:val="0"/>
                    <w:jc w:val="center"/>
                    <w:rPr>
                      <w:color w:val="auto"/>
                      <w:szCs w:val="21"/>
                    </w:rPr>
                  </w:pPr>
                  <w:r>
                    <w:rPr>
                      <w:color w:val="auto"/>
                      <w:szCs w:val="21"/>
                    </w:rPr>
                    <w:t>50</w:t>
                  </w:r>
                </w:p>
              </w:tc>
              <w:tc>
                <w:tcPr>
                  <w:tcW w:w="936" w:type="pct"/>
                  <w:vAlign w:val="center"/>
                </w:tcPr>
                <w:p>
                  <w:pPr>
                    <w:widowControl/>
                    <w:autoSpaceDE w:val="0"/>
                    <w:autoSpaceDN w:val="0"/>
                    <w:adjustRightInd w:val="0"/>
                    <w:snapToGrid w:val="0"/>
                    <w:jc w:val="center"/>
                    <w:rPr>
                      <w:color w:val="auto"/>
                      <w:szCs w:val="21"/>
                    </w:rPr>
                  </w:pPr>
                  <w:r>
                    <w:rPr>
                      <w:color w:val="auto"/>
                      <w:szCs w:val="21"/>
                    </w:rPr>
                    <w:t>60</w:t>
                  </w:r>
                </w:p>
              </w:tc>
              <w:tc>
                <w:tcPr>
                  <w:tcW w:w="934" w:type="pct"/>
                  <w:vAlign w:val="center"/>
                </w:tcPr>
                <w:p>
                  <w:pPr>
                    <w:widowControl/>
                    <w:autoSpaceDE w:val="0"/>
                    <w:autoSpaceDN w:val="0"/>
                    <w:adjustRightInd w:val="0"/>
                    <w:snapToGrid w:val="0"/>
                    <w:jc w:val="center"/>
                    <w:rPr>
                      <w:color w:val="auto"/>
                      <w:szCs w:val="21"/>
                    </w:rPr>
                  </w:pPr>
                  <w:r>
                    <w:rPr>
                      <w:color w:val="auto"/>
                      <w:szCs w:val="21"/>
                    </w:rPr>
                    <w:t>50</w:t>
                  </w:r>
                </w:p>
              </w:tc>
            </w:tr>
          </w:tbl>
          <w:p>
            <w:pPr>
              <w:pStyle w:val="3"/>
              <w:spacing w:before="120" w:beforeLines="50" w:after="0" w:line="360" w:lineRule="auto"/>
              <w:ind w:firstLine="480" w:firstLineChars="200"/>
              <w:rPr>
                <w:b w:val="0"/>
                <w:bCs w:val="0"/>
                <w:color w:val="auto"/>
                <w:sz w:val="24"/>
                <w:szCs w:val="28"/>
              </w:rPr>
            </w:pPr>
            <w:r>
              <w:rPr>
                <w:rFonts w:hint="eastAsia"/>
                <w:b w:val="0"/>
                <w:bCs w:val="0"/>
                <w:color w:val="auto"/>
                <w:sz w:val="24"/>
                <w:szCs w:val="28"/>
              </w:rPr>
              <w:t>根据监测结果，厂界噪声符</w:t>
            </w:r>
            <w:r>
              <w:rPr>
                <w:rFonts w:ascii="Times New Roman" w:hAnsi="Times New Roman"/>
                <w:b w:val="0"/>
                <w:bCs w:val="0"/>
                <w:color w:val="auto"/>
                <w:sz w:val="24"/>
                <w:szCs w:val="28"/>
              </w:rPr>
              <w:t>合《声环境质量标准》（GB3096-2008）中2</w:t>
            </w:r>
            <w:r>
              <w:rPr>
                <w:rFonts w:hint="eastAsia"/>
                <w:b w:val="0"/>
                <w:bCs w:val="0"/>
                <w:color w:val="auto"/>
                <w:sz w:val="24"/>
                <w:szCs w:val="28"/>
              </w:rPr>
              <w:t>类声环境功能区标准要求。</w:t>
            </w:r>
          </w:p>
          <w:p>
            <w:pPr>
              <w:pStyle w:val="18"/>
              <w:spacing w:after="0" w:line="360" w:lineRule="auto"/>
              <w:ind w:left="0" w:leftChars="0" w:firstLine="0" w:firstLineChars="0"/>
              <w:rPr>
                <w:color w:val="auto"/>
                <w:szCs w:val="32"/>
              </w:rPr>
            </w:pPr>
            <w:r>
              <w:rPr>
                <w:rFonts w:hint="eastAsia"/>
                <w:color w:val="auto"/>
                <w:szCs w:val="32"/>
              </w:rPr>
              <w:t>3、地表水环境</w:t>
            </w:r>
          </w:p>
          <w:p>
            <w:pPr>
              <w:pStyle w:val="8"/>
              <w:spacing w:before="0" w:after="0" w:line="360" w:lineRule="auto"/>
              <w:ind w:right="0" w:firstLine="480" w:firstLineChars="200"/>
              <w:rPr>
                <w:color w:val="auto"/>
                <w:sz w:val="24"/>
                <w:szCs w:val="24"/>
              </w:rPr>
            </w:pPr>
            <w:r>
              <w:rPr>
                <w:rFonts w:hint="eastAsia"/>
                <w:color w:val="auto"/>
                <w:sz w:val="24"/>
                <w:szCs w:val="24"/>
              </w:rPr>
              <w:t>项目区属黄河水系，境内主要河流是大理河，该河汇入黄河一级支流无定河。大理河发源于靖边县葛家畔，流经子洲，至绥德县城附近入无定河，全长51km，年均流量5.42m</w:t>
            </w:r>
            <w:r>
              <w:rPr>
                <w:rFonts w:hint="eastAsia"/>
                <w:color w:val="auto"/>
                <w:sz w:val="24"/>
                <w:szCs w:val="24"/>
                <w:vertAlign w:val="superscript"/>
              </w:rPr>
              <w:t>3</w:t>
            </w:r>
            <w:r>
              <w:rPr>
                <w:rFonts w:hint="eastAsia"/>
                <w:color w:val="auto"/>
                <w:sz w:val="24"/>
                <w:szCs w:val="24"/>
              </w:rPr>
              <w:t>/s。</w:t>
            </w:r>
          </w:p>
          <w:p>
            <w:pPr>
              <w:snapToGrid w:val="0"/>
              <w:spacing w:line="360" w:lineRule="auto"/>
              <w:rPr>
                <w:color w:val="auto"/>
                <w:sz w:val="24"/>
              </w:rPr>
            </w:pPr>
            <w:r>
              <w:rPr>
                <w:color w:val="auto"/>
                <w:sz w:val="24"/>
              </w:rPr>
              <w:t>4、生态环境</w:t>
            </w:r>
          </w:p>
          <w:p>
            <w:pPr>
              <w:snapToGrid w:val="0"/>
              <w:spacing w:line="360" w:lineRule="auto"/>
              <w:ind w:firstLine="480" w:firstLineChars="200"/>
              <w:rPr>
                <w:color w:val="auto"/>
                <w:sz w:val="24"/>
              </w:rPr>
            </w:pPr>
            <w:r>
              <w:rPr>
                <w:color w:val="auto"/>
                <w:sz w:val="24"/>
              </w:rPr>
              <w:t>本项目利用现有</w:t>
            </w:r>
            <w:r>
              <w:rPr>
                <w:rFonts w:hint="eastAsia"/>
                <w:color w:val="auto"/>
                <w:sz w:val="24"/>
              </w:rPr>
              <w:t>井场</w:t>
            </w:r>
            <w:r>
              <w:rPr>
                <w:color w:val="auto"/>
                <w:sz w:val="24"/>
              </w:rPr>
              <w:t>内进行建设，不新增占地，评价范围内，无生态环境保护目标分布，</w:t>
            </w:r>
            <w:r>
              <w:rPr>
                <w:rFonts w:hint="eastAsia"/>
                <w:color w:val="auto"/>
                <w:sz w:val="24"/>
              </w:rPr>
              <w:t>可</w:t>
            </w:r>
            <w:r>
              <w:rPr>
                <w:color w:val="auto"/>
                <w:sz w:val="24"/>
              </w:rPr>
              <w:t>不进行生态现状调查。</w:t>
            </w:r>
          </w:p>
          <w:p>
            <w:pPr>
              <w:spacing w:line="360" w:lineRule="auto"/>
              <w:rPr>
                <w:color w:val="auto"/>
                <w:sz w:val="24"/>
              </w:rPr>
            </w:pPr>
            <w:r>
              <w:rPr>
                <w:rFonts w:hint="eastAsia"/>
                <w:color w:val="auto"/>
                <w:sz w:val="24"/>
              </w:rPr>
              <w:t>5、</w:t>
            </w:r>
            <w:r>
              <w:rPr>
                <w:color w:val="auto"/>
                <w:sz w:val="24"/>
              </w:rPr>
              <w:t>电磁辐射</w:t>
            </w:r>
          </w:p>
          <w:p>
            <w:pPr>
              <w:pStyle w:val="18"/>
              <w:ind w:left="0" w:leftChars="0" w:firstLine="480"/>
              <w:rPr>
                <w:color w:val="auto"/>
              </w:rPr>
            </w:pPr>
            <w:r>
              <w:rPr>
                <w:color w:val="auto"/>
              </w:rPr>
              <w:t>本项目不涉及电磁辐射</w:t>
            </w:r>
            <w:r>
              <w:rPr>
                <w:rFonts w:hint="eastAsia"/>
                <w:color w:val="auto"/>
              </w:rPr>
              <w:t>，</w:t>
            </w:r>
            <w:r>
              <w:rPr>
                <w:rFonts w:hint="eastAsia" w:ascii="宋体" w:hAnsi="宋体"/>
                <w:color w:val="auto"/>
              </w:rPr>
              <w:t>不进行电磁辐射现状监测与评价</w:t>
            </w:r>
            <w:r>
              <w:rPr>
                <w:color w:val="auto"/>
              </w:rPr>
              <w:t>。</w:t>
            </w:r>
          </w:p>
          <w:p>
            <w:pPr>
              <w:spacing w:line="360" w:lineRule="auto"/>
              <w:rPr>
                <w:color w:val="auto"/>
                <w:sz w:val="24"/>
              </w:rPr>
            </w:pPr>
            <w:r>
              <w:rPr>
                <w:rFonts w:hint="eastAsia"/>
                <w:color w:val="auto"/>
                <w:sz w:val="24"/>
              </w:rPr>
              <w:t>6、地下水环境</w:t>
            </w:r>
          </w:p>
          <w:p>
            <w:pPr>
              <w:spacing w:line="360" w:lineRule="auto"/>
              <w:ind w:firstLine="480" w:firstLineChars="200"/>
              <w:rPr>
                <w:color w:val="auto"/>
                <w:sz w:val="24"/>
              </w:rPr>
            </w:pPr>
            <w:r>
              <w:rPr>
                <w:color w:val="auto"/>
                <w:sz w:val="24"/>
              </w:rPr>
              <w:t>根据</w:t>
            </w:r>
            <w:r>
              <w:rPr>
                <w:color w:val="auto"/>
                <w:kern w:val="0"/>
                <w:sz w:val="24"/>
              </w:rPr>
              <w:t>《建设项目环境影响报告表编制技术指南（污染影响类）（试行）》</w:t>
            </w:r>
            <w:r>
              <w:rPr>
                <w:color w:val="auto"/>
                <w:sz w:val="24"/>
              </w:rPr>
              <w:t>的要求，报告表原则上不开展地下水环境质量现状调查。</w:t>
            </w:r>
            <w:r>
              <w:rPr>
                <w:rFonts w:hint="eastAsia"/>
                <w:color w:val="auto"/>
                <w:sz w:val="24"/>
              </w:rPr>
              <w:t>本项目为油泥暂存点新建项目，本项目不新增废水，建设区域按照相关要求做好防渗处理，项目基本不存在地下水环境污染途径。同时根据现场调查，项目所在地周边5</w:t>
            </w:r>
            <w:r>
              <w:rPr>
                <w:color w:val="auto"/>
                <w:sz w:val="24"/>
              </w:rPr>
              <w:t>00</w:t>
            </w:r>
            <w:r>
              <w:rPr>
                <w:rFonts w:hint="eastAsia"/>
                <w:color w:val="auto"/>
                <w:sz w:val="24"/>
              </w:rPr>
              <w:t>m范围内无分散式饮用水水源井，因此，不进行地下水环境质量现状调查。</w:t>
            </w:r>
          </w:p>
          <w:p>
            <w:pPr>
              <w:spacing w:line="360" w:lineRule="auto"/>
              <w:rPr>
                <w:color w:val="auto"/>
                <w:sz w:val="24"/>
              </w:rPr>
            </w:pPr>
            <w:r>
              <w:rPr>
                <w:rFonts w:hint="eastAsia"/>
                <w:color w:val="auto"/>
                <w:sz w:val="24"/>
              </w:rPr>
              <w:t>7、土壤环境</w:t>
            </w:r>
          </w:p>
          <w:p>
            <w:pPr>
              <w:pStyle w:val="43"/>
              <w:ind w:firstLine="480"/>
              <w:rPr>
                <w:color w:val="auto"/>
                <w:sz w:val="24"/>
              </w:rPr>
            </w:pPr>
            <w:r>
              <w:rPr>
                <w:rFonts w:hint="eastAsia"/>
                <w:color w:val="auto"/>
                <w:sz w:val="24"/>
              </w:rPr>
              <w:t xml:space="preserve">（1）监测点位 </w:t>
            </w:r>
          </w:p>
          <w:p>
            <w:pPr>
              <w:pStyle w:val="43"/>
              <w:ind w:firstLine="480"/>
              <w:rPr>
                <w:color w:val="auto"/>
                <w:sz w:val="24"/>
              </w:rPr>
            </w:pPr>
            <w:r>
              <w:rPr>
                <w:rFonts w:hint="eastAsia"/>
                <w:color w:val="auto"/>
                <w:sz w:val="24"/>
              </w:rPr>
              <w:t>项目厂址设2个监测点位。</w:t>
            </w:r>
          </w:p>
          <w:p>
            <w:pPr>
              <w:pStyle w:val="43"/>
              <w:ind w:firstLine="480"/>
              <w:rPr>
                <w:color w:val="auto"/>
                <w:sz w:val="24"/>
              </w:rPr>
            </w:pPr>
            <w:r>
              <w:rPr>
                <w:rFonts w:hint="eastAsia"/>
                <w:color w:val="auto"/>
                <w:sz w:val="24"/>
              </w:rPr>
              <w:t xml:space="preserve">（2）监测时间 </w:t>
            </w:r>
          </w:p>
          <w:p>
            <w:pPr>
              <w:pStyle w:val="43"/>
              <w:ind w:firstLine="480"/>
              <w:rPr>
                <w:color w:val="auto"/>
                <w:sz w:val="24"/>
              </w:rPr>
            </w:pPr>
            <w:r>
              <w:rPr>
                <w:rFonts w:hint="eastAsia"/>
                <w:color w:val="auto"/>
                <w:sz w:val="24"/>
              </w:rPr>
              <w:t>本次土壤现状评价现状委托陕西精棣环境检测有限公司于2023年1</w:t>
            </w:r>
            <w:r>
              <w:rPr>
                <w:rFonts w:hint="eastAsia"/>
                <w:color w:val="auto"/>
                <w:sz w:val="24"/>
                <w:lang w:val="en-US" w:eastAsia="zh-CN"/>
              </w:rPr>
              <w:t>1</w:t>
            </w:r>
            <w:r>
              <w:rPr>
                <w:rFonts w:hint="eastAsia"/>
                <w:color w:val="auto"/>
                <w:sz w:val="24"/>
              </w:rPr>
              <w:t>月</w:t>
            </w:r>
            <w:r>
              <w:rPr>
                <w:rFonts w:hint="eastAsia"/>
                <w:color w:val="auto"/>
                <w:sz w:val="24"/>
                <w:lang w:val="en-US" w:eastAsia="zh-CN"/>
              </w:rPr>
              <w:t>26</w:t>
            </w:r>
            <w:r>
              <w:rPr>
                <w:rFonts w:hint="eastAsia"/>
                <w:color w:val="auto"/>
                <w:sz w:val="24"/>
              </w:rPr>
              <w:t>日对项目所在地土壤环境质量进行监测。</w:t>
            </w:r>
          </w:p>
          <w:p>
            <w:pPr>
              <w:pStyle w:val="43"/>
              <w:ind w:firstLine="480"/>
              <w:rPr>
                <w:color w:val="auto"/>
                <w:sz w:val="24"/>
              </w:rPr>
            </w:pPr>
            <w:r>
              <w:rPr>
                <w:rFonts w:hint="eastAsia"/>
                <w:color w:val="auto"/>
                <w:sz w:val="24"/>
              </w:rPr>
              <w:t>（3）监测项目及结果</w:t>
            </w:r>
          </w:p>
          <w:p>
            <w:pPr>
              <w:pStyle w:val="43"/>
              <w:ind w:firstLine="480"/>
              <w:rPr>
                <w:color w:val="auto"/>
                <w:sz w:val="24"/>
              </w:rPr>
            </w:pPr>
            <w:r>
              <w:rPr>
                <w:rFonts w:hint="eastAsia"/>
                <w:color w:val="auto"/>
                <w:sz w:val="24"/>
              </w:rPr>
              <w:t>对地表20cm的表层土进行分析，取一个表层样点，自然风干后送检，采样1次，监测结果见表3-4、3-5。</w:t>
            </w:r>
          </w:p>
          <w:p>
            <w:pPr>
              <w:pStyle w:val="43"/>
              <w:spacing w:line="240" w:lineRule="auto"/>
              <w:ind w:firstLine="422"/>
              <w:rPr>
                <w:b/>
                <w:bCs/>
                <w:color w:val="auto"/>
                <w:szCs w:val="21"/>
              </w:rPr>
            </w:pPr>
            <w:r>
              <w:rPr>
                <w:rFonts w:hint="eastAsia"/>
                <w:b/>
                <w:bCs/>
                <w:color w:val="auto"/>
                <w:szCs w:val="21"/>
              </w:rPr>
              <w:t>表3-4                   站内土壤环境质量监测结果表</w:t>
            </w:r>
          </w:p>
          <w:tbl>
            <w:tblPr>
              <w:tblStyle w:val="1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2"/>
              <w:gridCol w:w="2163"/>
              <w:gridCol w:w="1091"/>
              <w:gridCol w:w="2791"/>
              <w:gridCol w:w="13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414" w:type="pct"/>
                  <w:gridSpan w:val="3"/>
                  <w:noWrap/>
                  <w:vAlign w:val="center"/>
                </w:tcPr>
                <w:p>
                  <w:pPr>
                    <w:jc w:val="center"/>
                    <w:rPr>
                      <w:color w:val="auto"/>
                      <w:kern w:val="0"/>
                      <w:szCs w:val="21"/>
                    </w:rPr>
                  </w:pPr>
                  <w:r>
                    <w:rPr>
                      <w:color w:val="auto"/>
                      <w:kern w:val="0"/>
                      <w:szCs w:val="21"/>
                    </w:rPr>
                    <w:t>监测时间</w:t>
                  </w:r>
                </w:p>
              </w:tc>
              <w:tc>
                <w:tcPr>
                  <w:tcW w:w="1752" w:type="pct"/>
                  <w:vAlign w:val="center"/>
                </w:tcPr>
                <w:p>
                  <w:pPr>
                    <w:jc w:val="center"/>
                    <w:rPr>
                      <w:rFonts w:hint="default" w:eastAsia="宋体"/>
                      <w:color w:val="auto"/>
                      <w:kern w:val="0"/>
                      <w:szCs w:val="21"/>
                      <w:lang w:val="en-US" w:eastAsia="zh-CN"/>
                    </w:rPr>
                  </w:pPr>
                  <w:r>
                    <w:rPr>
                      <w:color w:val="auto"/>
                      <w:szCs w:val="21"/>
                    </w:rPr>
                    <w:t>20</w:t>
                  </w:r>
                  <w:r>
                    <w:rPr>
                      <w:rFonts w:hint="eastAsia"/>
                      <w:color w:val="auto"/>
                      <w:szCs w:val="21"/>
                    </w:rPr>
                    <w:t>23.1</w:t>
                  </w:r>
                  <w:r>
                    <w:rPr>
                      <w:rFonts w:hint="eastAsia"/>
                      <w:color w:val="auto"/>
                      <w:szCs w:val="21"/>
                      <w:lang w:val="en-US" w:eastAsia="zh-CN"/>
                    </w:rPr>
                    <w:t>1.26</w:t>
                  </w:r>
                </w:p>
              </w:tc>
              <w:tc>
                <w:tcPr>
                  <w:tcW w:w="833" w:type="pct"/>
                  <w:vMerge w:val="restart"/>
                  <w:vAlign w:val="center"/>
                </w:tcPr>
                <w:p>
                  <w:pPr>
                    <w:jc w:val="center"/>
                    <w:rPr>
                      <w:color w:val="auto"/>
                      <w:kern w:val="0"/>
                      <w:szCs w:val="21"/>
                    </w:rPr>
                  </w:pPr>
                  <w:r>
                    <w:rPr>
                      <w:rFonts w:hint="eastAsia"/>
                      <w:color w:val="auto"/>
                      <w:kern w:val="0"/>
                      <w:szCs w:val="21"/>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trPr>
              <w:tc>
                <w:tcPr>
                  <w:tcW w:w="2414" w:type="pct"/>
                  <w:gridSpan w:val="3"/>
                  <w:noWrap/>
                  <w:vAlign w:val="center"/>
                </w:tcPr>
                <w:p>
                  <w:pPr>
                    <w:jc w:val="center"/>
                    <w:rPr>
                      <w:color w:val="auto"/>
                      <w:kern w:val="0"/>
                      <w:szCs w:val="21"/>
                    </w:rPr>
                  </w:pPr>
                  <w:r>
                    <w:rPr>
                      <w:color w:val="auto"/>
                      <w:kern w:val="0"/>
                      <w:szCs w:val="21"/>
                    </w:rPr>
                    <w:t>监测点位</w:t>
                  </w:r>
                </w:p>
              </w:tc>
              <w:tc>
                <w:tcPr>
                  <w:tcW w:w="1752" w:type="pct"/>
                  <w:vAlign w:val="center"/>
                </w:tcPr>
                <w:p>
                  <w:pPr>
                    <w:jc w:val="center"/>
                    <w:rPr>
                      <w:color w:val="auto"/>
                      <w:kern w:val="0"/>
                      <w:szCs w:val="21"/>
                    </w:rPr>
                  </w:pPr>
                  <w:r>
                    <w:rPr>
                      <w:rFonts w:hint="eastAsia"/>
                      <w:color w:val="auto"/>
                      <w:kern w:val="0"/>
                      <w:szCs w:val="21"/>
                    </w:rPr>
                    <w:t>杨18井场内</w:t>
                  </w:r>
                </w:p>
              </w:tc>
              <w:tc>
                <w:tcPr>
                  <w:tcW w:w="833" w:type="pct"/>
                  <w:vMerge w:val="continue"/>
                  <w:vAlign w:val="center"/>
                </w:tcPr>
                <w:p>
                  <w:pPr>
                    <w:jc w:val="center"/>
                    <w:rPr>
                      <w:color w:val="auto"/>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2414" w:type="pct"/>
                  <w:gridSpan w:val="3"/>
                  <w:noWrap/>
                  <w:vAlign w:val="center"/>
                </w:tcPr>
                <w:p>
                  <w:pPr>
                    <w:jc w:val="center"/>
                    <w:rPr>
                      <w:color w:val="auto"/>
                      <w:kern w:val="0"/>
                      <w:szCs w:val="21"/>
                    </w:rPr>
                  </w:pPr>
                  <w:r>
                    <w:rPr>
                      <w:color w:val="auto"/>
                      <w:kern w:val="0"/>
                      <w:szCs w:val="21"/>
                    </w:rPr>
                    <w:t>采样深度/m</w:t>
                  </w:r>
                </w:p>
              </w:tc>
              <w:tc>
                <w:tcPr>
                  <w:tcW w:w="1752" w:type="pct"/>
                  <w:vAlign w:val="center"/>
                </w:tcPr>
                <w:p>
                  <w:pPr>
                    <w:jc w:val="center"/>
                    <w:rPr>
                      <w:color w:val="auto"/>
                      <w:kern w:val="0"/>
                      <w:szCs w:val="21"/>
                    </w:rPr>
                  </w:pPr>
                  <w:r>
                    <w:rPr>
                      <w:rFonts w:hint="eastAsia"/>
                      <w:color w:val="auto"/>
                      <w:kern w:val="0"/>
                      <w:szCs w:val="21"/>
                    </w:rPr>
                    <w:t>0</w:t>
                  </w:r>
                  <w:r>
                    <w:rPr>
                      <w:rFonts w:hint="eastAsia" w:ascii="宋体" w:hAnsi="宋体" w:cs="宋体"/>
                      <w:color w:val="auto"/>
                      <w:kern w:val="0"/>
                      <w:szCs w:val="21"/>
                    </w:rPr>
                    <w:t>～</w:t>
                  </w:r>
                  <w:r>
                    <w:rPr>
                      <w:color w:val="auto"/>
                      <w:kern w:val="0"/>
                      <w:szCs w:val="21"/>
                    </w:rPr>
                    <w:t>0.2m</w:t>
                  </w:r>
                </w:p>
              </w:tc>
              <w:tc>
                <w:tcPr>
                  <w:tcW w:w="833" w:type="pct"/>
                  <w:vMerge w:val="continue"/>
                  <w:vAlign w:val="center"/>
                </w:tcPr>
                <w:p>
                  <w:pPr>
                    <w:jc w:val="center"/>
                    <w:rPr>
                      <w:color w:val="auto"/>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序号</w:t>
                  </w:r>
                </w:p>
              </w:tc>
              <w:tc>
                <w:tcPr>
                  <w:tcW w:w="1357" w:type="pct"/>
                  <w:vAlign w:val="center"/>
                </w:tcPr>
                <w:p>
                  <w:pPr>
                    <w:jc w:val="center"/>
                    <w:rPr>
                      <w:color w:val="auto"/>
                      <w:kern w:val="0"/>
                      <w:szCs w:val="21"/>
                    </w:rPr>
                  </w:pPr>
                  <w:r>
                    <w:rPr>
                      <w:color w:val="auto"/>
                      <w:kern w:val="0"/>
                      <w:szCs w:val="21"/>
                    </w:rPr>
                    <w:t>项目</w:t>
                  </w:r>
                </w:p>
              </w:tc>
              <w:tc>
                <w:tcPr>
                  <w:tcW w:w="684" w:type="pct"/>
                  <w:vAlign w:val="center"/>
                </w:tcPr>
                <w:p>
                  <w:pPr>
                    <w:jc w:val="center"/>
                    <w:rPr>
                      <w:color w:val="auto"/>
                      <w:kern w:val="0"/>
                      <w:szCs w:val="21"/>
                    </w:rPr>
                  </w:pPr>
                  <w:r>
                    <w:rPr>
                      <w:color w:val="auto"/>
                      <w:kern w:val="0"/>
                      <w:szCs w:val="21"/>
                    </w:rPr>
                    <w:t>标准限值</w:t>
                  </w:r>
                </w:p>
              </w:tc>
              <w:tc>
                <w:tcPr>
                  <w:tcW w:w="1752" w:type="pct"/>
                  <w:vAlign w:val="center"/>
                </w:tcPr>
                <w:p>
                  <w:pPr>
                    <w:jc w:val="center"/>
                    <w:rPr>
                      <w:color w:val="auto"/>
                      <w:kern w:val="0"/>
                      <w:szCs w:val="21"/>
                    </w:rPr>
                  </w:pPr>
                  <w:r>
                    <w:rPr>
                      <w:rFonts w:hint="eastAsia"/>
                      <w:color w:val="auto"/>
                      <w:kern w:val="0"/>
                      <w:szCs w:val="21"/>
                    </w:rPr>
                    <w:t>检测结果</w:t>
                  </w:r>
                </w:p>
              </w:tc>
              <w:tc>
                <w:tcPr>
                  <w:tcW w:w="833" w:type="pct"/>
                  <w:vMerge w:val="continue"/>
                  <w:vAlign w:val="center"/>
                </w:tcPr>
                <w:p>
                  <w:pPr>
                    <w:jc w:val="center"/>
                    <w:rPr>
                      <w:color w:val="auto"/>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1</w:t>
                  </w:r>
                </w:p>
              </w:tc>
              <w:tc>
                <w:tcPr>
                  <w:tcW w:w="1357" w:type="pct"/>
                  <w:vAlign w:val="center"/>
                </w:tcPr>
                <w:p>
                  <w:pPr>
                    <w:jc w:val="center"/>
                    <w:rPr>
                      <w:color w:val="auto"/>
                      <w:kern w:val="0"/>
                      <w:szCs w:val="21"/>
                    </w:rPr>
                  </w:pPr>
                  <w:r>
                    <w:rPr>
                      <w:color w:val="auto"/>
                      <w:kern w:val="0"/>
                      <w:szCs w:val="21"/>
                    </w:rPr>
                    <w:t>砷</w:t>
                  </w:r>
                </w:p>
              </w:tc>
              <w:tc>
                <w:tcPr>
                  <w:tcW w:w="684" w:type="pct"/>
                  <w:vAlign w:val="center"/>
                </w:tcPr>
                <w:p>
                  <w:pPr>
                    <w:jc w:val="center"/>
                    <w:rPr>
                      <w:color w:val="auto"/>
                      <w:kern w:val="0"/>
                      <w:szCs w:val="21"/>
                    </w:rPr>
                  </w:pPr>
                  <w:r>
                    <w:rPr>
                      <w:color w:val="auto"/>
                      <w:kern w:val="0"/>
                      <w:szCs w:val="21"/>
                    </w:rPr>
                    <w:t>60</w:t>
                  </w:r>
                </w:p>
              </w:tc>
              <w:tc>
                <w:tcPr>
                  <w:tcW w:w="1752" w:type="pct"/>
                  <w:vAlign w:val="center"/>
                </w:tcPr>
                <w:p>
                  <w:pPr>
                    <w:jc w:val="center"/>
                    <w:rPr>
                      <w:color w:val="auto"/>
                      <w:kern w:val="0"/>
                      <w:szCs w:val="21"/>
                    </w:rPr>
                  </w:pPr>
                  <w:r>
                    <w:rPr>
                      <w:rFonts w:hint="eastAsia" w:cs="Times New Roman"/>
                      <w:color w:val="auto"/>
                      <w:kern w:val="2"/>
                      <w:sz w:val="21"/>
                      <w:szCs w:val="24"/>
                      <w:lang w:val="en-US" w:eastAsia="zh-CN" w:bidi="ar-SA"/>
                    </w:rPr>
                    <w:t>7.86</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2</w:t>
                  </w:r>
                </w:p>
              </w:tc>
              <w:tc>
                <w:tcPr>
                  <w:tcW w:w="1357" w:type="pct"/>
                  <w:vAlign w:val="center"/>
                </w:tcPr>
                <w:p>
                  <w:pPr>
                    <w:jc w:val="center"/>
                    <w:rPr>
                      <w:color w:val="auto"/>
                      <w:kern w:val="0"/>
                      <w:szCs w:val="21"/>
                    </w:rPr>
                  </w:pPr>
                  <w:r>
                    <w:rPr>
                      <w:color w:val="auto"/>
                      <w:kern w:val="0"/>
                      <w:szCs w:val="21"/>
                    </w:rPr>
                    <w:t>镉</w:t>
                  </w:r>
                </w:p>
              </w:tc>
              <w:tc>
                <w:tcPr>
                  <w:tcW w:w="684" w:type="pct"/>
                  <w:vAlign w:val="center"/>
                </w:tcPr>
                <w:p>
                  <w:pPr>
                    <w:jc w:val="center"/>
                    <w:rPr>
                      <w:color w:val="auto"/>
                      <w:kern w:val="0"/>
                      <w:szCs w:val="21"/>
                    </w:rPr>
                  </w:pPr>
                  <w:r>
                    <w:rPr>
                      <w:color w:val="auto"/>
                      <w:kern w:val="0"/>
                      <w:szCs w:val="21"/>
                    </w:rPr>
                    <w:t>65</w:t>
                  </w:r>
                </w:p>
              </w:tc>
              <w:tc>
                <w:tcPr>
                  <w:tcW w:w="1752" w:type="pct"/>
                  <w:vAlign w:val="center"/>
                </w:tcPr>
                <w:p>
                  <w:pPr>
                    <w:jc w:val="center"/>
                    <w:rPr>
                      <w:color w:val="auto"/>
                      <w:kern w:val="0"/>
                      <w:szCs w:val="21"/>
                    </w:rPr>
                  </w:pPr>
                  <w:r>
                    <w:rPr>
                      <w:rFonts w:hint="eastAsia" w:cs="Times New Roman"/>
                      <w:color w:val="auto"/>
                      <w:kern w:val="2"/>
                      <w:sz w:val="21"/>
                      <w:szCs w:val="24"/>
                      <w:lang w:val="en-US" w:eastAsia="zh-CN" w:bidi="ar-SA"/>
                    </w:rPr>
                    <w:t>0.08</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3</w:t>
                  </w:r>
                </w:p>
              </w:tc>
              <w:tc>
                <w:tcPr>
                  <w:tcW w:w="1357" w:type="pct"/>
                  <w:vAlign w:val="center"/>
                </w:tcPr>
                <w:p>
                  <w:pPr>
                    <w:jc w:val="center"/>
                    <w:rPr>
                      <w:color w:val="auto"/>
                      <w:kern w:val="0"/>
                      <w:szCs w:val="21"/>
                    </w:rPr>
                  </w:pPr>
                  <w:r>
                    <w:rPr>
                      <w:color w:val="auto"/>
                      <w:kern w:val="0"/>
                      <w:szCs w:val="21"/>
                    </w:rPr>
                    <w:t>六价铬</w:t>
                  </w:r>
                </w:p>
              </w:tc>
              <w:tc>
                <w:tcPr>
                  <w:tcW w:w="684" w:type="pct"/>
                  <w:vAlign w:val="center"/>
                </w:tcPr>
                <w:p>
                  <w:pPr>
                    <w:jc w:val="center"/>
                    <w:rPr>
                      <w:color w:val="auto"/>
                      <w:kern w:val="0"/>
                      <w:szCs w:val="21"/>
                    </w:rPr>
                  </w:pPr>
                  <w:r>
                    <w:rPr>
                      <w:color w:val="auto"/>
                      <w:kern w:val="0"/>
                      <w:szCs w:val="21"/>
                    </w:rPr>
                    <w:t>5.7</w:t>
                  </w:r>
                </w:p>
              </w:tc>
              <w:tc>
                <w:tcPr>
                  <w:tcW w:w="1752" w:type="pct"/>
                  <w:vAlign w:val="center"/>
                </w:tcPr>
                <w:p>
                  <w:pPr>
                    <w:jc w:val="center"/>
                    <w:rPr>
                      <w:color w:val="auto"/>
                      <w:kern w:val="0"/>
                      <w:szCs w:val="21"/>
                    </w:rPr>
                  </w:pPr>
                  <w:r>
                    <w:rPr>
                      <w:rFonts w:hint="eastAsia" w:cs="Times New Roman"/>
                      <w:color w:val="auto"/>
                      <w:kern w:val="2"/>
                      <w:sz w:val="21"/>
                      <w:szCs w:val="24"/>
                      <w:lang w:val="en-US" w:eastAsia="zh-CN" w:bidi="ar-SA"/>
                    </w:rPr>
                    <w:t>2.4</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4</w:t>
                  </w:r>
                </w:p>
              </w:tc>
              <w:tc>
                <w:tcPr>
                  <w:tcW w:w="1357" w:type="pct"/>
                  <w:vAlign w:val="center"/>
                </w:tcPr>
                <w:p>
                  <w:pPr>
                    <w:jc w:val="center"/>
                    <w:rPr>
                      <w:color w:val="auto"/>
                      <w:kern w:val="0"/>
                      <w:szCs w:val="21"/>
                    </w:rPr>
                  </w:pPr>
                  <w:r>
                    <w:rPr>
                      <w:color w:val="auto"/>
                      <w:kern w:val="0"/>
                      <w:szCs w:val="21"/>
                    </w:rPr>
                    <w:t>铜</w:t>
                  </w:r>
                </w:p>
              </w:tc>
              <w:tc>
                <w:tcPr>
                  <w:tcW w:w="684" w:type="pct"/>
                  <w:vAlign w:val="center"/>
                </w:tcPr>
                <w:p>
                  <w:pPr>
                    <w:jc w:val="center"/>
                    <w:rPr>
                      <w:color w:val="auto"/>
                      <w:kern w:val="0"/>
                      <w:szCs w:val="21"/>
                    </w:rPr>
                  </w:pPr>
                  <w:r>
                    <w:rPr>
                      <w:color w:val="auto"/>
                      <w:kern w:val="0"/>
                      <w:szCs w:val="21"/>
                    </w:rPr>
                    <w:t>18000</w:t>
                  </w:r>
                </w:p>
              </w:tc>
              <w:tc>
                <w:tcPr>
                  <w:tcW w:w="1752" w:type="pct"/>
                  <w:vAlign w:val="center"/>
                </w:tcPr>
                <w:p>
                  <w:pPr>
                    <w:jc w:val="center"/>
                    <w:rPr>
                      <w:color w:val="auto"/>
                      <w:kern w:val="0"/>
                      <w:szCs w:val="21"/>
                    </w:rPr>
                  </w:pPr>
                  <w:r>
                    <w:rPr>
                      <w:rFonts w:hint="eastAsia" w:cs="Times New Roman"/>
                      <w:color w:val="auto"/>
                      <w:kern w:val="2"/>
                      <w:sz w:val="21"/>
                      <w:szCs w:val="24"/>
                      <w:lang w:val="en-US" w:eastAsia="zh-CN" w:bidi="ar-SA"/>
                    </w:rPr>
                    <w:t>19</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5</w:t>
                  </w:r>
                </w:p>
              </w:tc>
              <w:tc>
                <w:tcPr>
                  <w:tcW w:w="1357" w:type="pct"/>
                  <w:vAlign w:val="center"/>
                </w:tcPr>
                <w:p>
                  <w:pPr>
                    <w:jc w:val="center"/>
                    <w:rPr>
                      <w:color w:val="auto"/>
                      <w:kern w:val="0"/>
                      <w:szCs w:val="21"/>
                    </w:rPr>
                  </w:pPr>
                  <w:r>
                    <w:rPr>
                      <w:color w:val="auto"/>
                      <w:kern w:val="0"/>
                      <w:szCs w:val="21"/>
                    </w:rPr>
                    <w:t>铅</w:t>
                  </w:r>
                </w:p>
              </w:tc>
              <w:tc>
                <w:tcPr>
                  <w:tcW w:w="684" w:type="pct"/>
                  <w:vAlign w:val="center"/>
                </w:tcPr>
                <w:p>
                  <w:pPr>
                    <w:jc w:val="center"/>
                    <w:rPr>
                      <w:color w:val="auto"/>
                      <w:kern w:val="0"/>
                      <w:szCs w:val="21"/>
                    </w:rPr>
                  </w:pPr>
                  <w:r>
                    <w:rPr>
                      <w:color w:val="auto"/>
                      <w:kern w:val="0"/>
                      <w:szCs w:val="21"/>
                    </w:rPr>
                    <w:t>800</w:t>
                  </w:r>
                </w:p>
              </w:tc>
              <w:tc>
                <w:tcPr>
                  <w:tcW w:w="1752" w:type="pct"/>
                  <w:vAlign w:val="center"/>
                </w:tcPr>
                <w:p>
                  <w:pPr>
                    <w:jc w:val="center"/>
                    <w:rPr>
                      <w:color w:val="auto"/>
                      <w:kern w:val="0"/>
                      <w:szCs w:val="21"/>
                    </w:rPr>
                  </w:pPr>
                  <w:r>
                    <w:rPr>
                      <w:rFonts w:hint="eastAsia" w:cs="Times New Roman"/>
                      <w:color w:val="auto"/>
                      <w:kern w:val="2"/>
                      <w:sz w:val="21"/>
                      <w:szCs w:val="24"/>
                      <w:lang w:val="en-US" w:eastAsia="zh-CN" w:bidi="ar-SA"/>
                    </w:rPr>
                    <w:t>18</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6</w:t>
                  </w:r>
                </w:p>
              </w:tc>
              <w:tc>
                <w:tcPr>
                  <w:tcW w:w="1357" w:type="pct"/>
                  <w:vAlign w:val="center"/>
                </w:tcPr>
                <w:p>
                  <w:pPr>
                    <w:jc w:val="center"/>
                    <w:rPr>
                      <w:color w:val="auto"/>
                      <w:kern w:val="0"/>
                      <w:szCs w:val="21"/>
                    </w:rPr>
                  </w:pPr>
                  <w:r>
                    <w:rPr>
                      <w:color w:val="auto"/>
                      <w:kern w:val="0"/>
                      <w:szCs w:val="21"/>
                    </w:rPr>
                    <w:t>汞</w:t>
                  </w:r>
                </w:p>
              </w:tc>
              <w:tc>
                <w:tcPr>
                  <w:tcW w:w="684" w:type="pct"/>
                  <w:vAlign w:val="center"/>
                </w:tcPr>
                <w:p>
                  <w:pPr>
                    <w:jc w:val="center"/>
                    <w:rPr>
                      <w:color w:val="auto"/>
                      <w:kern w:val="0"/>
                      <w:szCs w:val="21"/>
                    </w:rPr>
                  </w:pPr>
                  <w:r>
                    <w:rPr>
                      <w:color w:val="auto"/>
                      <w:kern w:val="0"/>
                      <w:szCs w:val="21"/>
                    </w:rPr>
                    <w:t>38</w:t>
                  </w:r>
                </w:p>
              </w:tc>
              <w:tc>
                <w:tcPr>
                  <w:tcW w:w="1752" w:type="pct"/>
                  <w:vAlign w:val="center"/>
                </w:tcPr>
                <w:p>
                  <w:pPr>
                    <w:jc w:val="center"/>
                    <w:rPr>
                      <w:color w:val="auto"/>
                      <w:kern w:val="0"/>
                      <w:szCs w:val="21"/>
                    </w:rPr>
                  </w:pPr>
                  <w:r>
                    <w:rPr>
                      <w:rFonts w:hint="eastAsia" w:cs="Times New Roman"/>
                      <w:color w:val="auto"/>
                      <w:kern w:val="2"/>
                      <w:sz w:val="21"/>
                      <w:szCs w:val="24"/>
                      <w:lang w:val="en-US" w:eastAsia="zh-CN" w:bidi="ar-SA"/>
                    </w:rPr>
                    <w:t>0.036</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7</w:t>
                  </w:r>
                </w:p>
              </w:tc>
              <w:tc>
                <w:tcPr>
                  <w:tcW w:w="1357" w:type="pct"/>
                  <w:vAlign w:val="center"/>
                </w:tcPr>
                <w:p>
                  <w:pPr>
                    <w:jc w:val="center"/>
                    <w:rPr>
                      <w:color w:val="auto"/>
                      <w:kern w:val="0"/>
                      <w:szCs w:val="21"/>
                    </w:rPr>
                  </w:pPr>
                  <w:r>
                    <w:rPr>
                      <w:color w:val="auto"/>
                      <w:kern w:val="0"/>
                      <w:szCs w:val="21"/>
                    </w:rPr>
                    <w:t>镍</w:t>
                  </w:r>
                </w:p>
              </w:tc>
              <w:tc>
                <w:tcPr>
                  <w:tcW w:w="684" w:type="pct"/>
                  <w:vAlign w:val="center"/>
                </w:tcPr>
                <w:p>
                  <w:pPr>
                    <w:jc w:val="center"/>
                    <w:rPr>
                      <w:color w:val="auto"/>
                      <w:kern w:val="0"/>
                      <w:szCs w:val="21"/>
                    </w:rPr>
                  </w:pPr>
                  <w:r>
                    <w:rPr>
                      <w:color w:val="auto"/>
                      <w:kern w:val="0"/>
                      <w:szCs w:val="21"/>
                    </w:rPr>
                    <w:t>900</w:t>
                  </w:r>
                </w:p>
              </w:tc>
              <w:tc>
                <w:tcPr>
                  <w:tcW w:w="1752" w:type="pct"/>
                  <w:vAlign w:val="center"/>
                </w:tcPr>
                <w:p>
                  <w:pPr>
                    <w:jc w:val="center"/>
                    <w:rPr>
                      <w:color w:val="auto"/>
                      <w:kern w:val="0"/>
                      <w:szCs w:val="21"/>
                    </w:rPr>
                  </w:pPr>
                  <w:r>
                    <w:rPr>
                      <w:rFonts w:hint="eastAsia" w:cs="Times New Roman"/>
                      <w:color w:val="auto"/>
                      <w:kern w:val="2"/>
                      <w:sz w:val="21"/>
                      <w:szCs w:val="24"/>
                      <w:lang w:val="en-US" w:eastAsia="zh-CN" w:bidi="ar-SA"/>
                    </w:rPr>
                    <w:t>21</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8</w:t>
                  </w:r>
                </w:p>
              </w:tc>
              <w:tc>
                <w:tcPr>
                  <w:tcW w:w="1357" w:type="pct"/>
                  <w:vAlign w:val="center"/>
                </w:tcPr>
                <w:p>
                  <w:pPr>
                    <w:jc w:val="center"/>
                    <w:rPr>
                      <w:color w:val="auto"/>
                      <w:kern w:val="0"/>
                      <w:szCs w:val="21"/>
                    </w:rPr>
                  </w:pPr>
                  <w:r>
                    <w:rPr>
                      <w:color w:val="auto"/>
                      <w:kern w:val="0"/>
                      <w:szCs w:val="21"/>
                    </w:rPr>
                    <w:t>四氯化碳</w:t>
                  </w:r>
                </w:p>
              </w:tc>
              <w:tc>
                <w:tcPr>
                  <w:tcW w:w="684" w:type="pct"/>
                  <w:vAlign w:val="center"/>
                </w:tcPr>
                <w:p>
                  <w:pPr>
                    <w:jc w:val="center"/>
                    <w:rPr>
                      <w:color w:val="auto"/>
                      <w:kern w:val="0"/>
                      <w:szCs w:val="21"/>
                    </w:rPr>
                  </w:pPr>
                  <w:r>
                    <w:rPr>
                      <w:color w:val="auto"/>
                      <w:kern w:val="0"/>
                      <w:szCs w:val="21"/>
                    </w:rPr>
                    <w:t>2.8</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0.0013L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9</w:t>
                  </w:r>
                </w:p>
              </w:tc>
              <w:tc>
                <w:tcPr>
                  <w:tcW w:w="1357" w:type="pct"/>
                  <w:vAlign w:val="center"/>
                </w:tcPr>
                <w:p>
                  <w:pPr>
                    <w:jc w:val="center"/>
                    <w:rPr>
                      <w:color w:val="auto"/>
                      <w:kern w:val="0"/>
                      <w:szCs w:val="21"/>
                    </w:rPr>
                  </w:pPr>
                  <w:r>
                    <w:rPr>
                      <w:color w:val="auto"/>
                      <w:kern w:val="0"/>
                      <w:szCs w:val="21"/>
                    </w:rPr>
                    <w:t>氯仿</w:t>
                  </w:r>
                </w:p>
              </w:tc>
              <w:tc>
                <w:tcPr>
                  <w:tcW w:w="684" w:type="pct"/>
                  <w:vAlign w:val="center"/>
                </w:tcPr>
                <w:p>
                  <w:pPr>
                    <w:jc w:val="center"/>
                    <w:rPr>
                      <w:color w:val="auto"/>
                      <w:kern w:val="0"/>
                      <w:szCs w:val="21"/>
                    </w:rPr>
                  </w:pPr>
                  <w:r>
                    <w:rPr>
                      <w:color w:val="auto"/>
                      <w:kern w:val="0"/>
                      <w:szCs w:val="21"/>
                    </w:rPr>
                    <w:t>0.9</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w:t>
                  </w:r>
                  <w:r>
                    <w:rPr>
                      <w:rFonts w:hint="eastAsia" w:cs="Times New Roman"/>
                      <w:color w:val="auto"/>
                      <w:kern w:val="2"/>
                      <w:sz w:val="21"/>
                      <w:szCs w:val="24"/>
                      <w:lang w:val="en-US" w:eastAsia="zh-CN" w:bidi="ar-SA"/>
                    </w:rPr>
                    <w:t>71</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10</w:t>
                  </w:r>
                </w:p>
              </w:tc>
              <w:tc>
                <w:tcPr>
                  <w:tcW w:w="1357" w:type="pct"/>
                  <w:vAlign w:val="center"/>
                </w:tcPr>
                <w:p>
                  <w:pPr>
                    <w:jc w:val="center"/>
                    <w:rPr>
                      <w:color w:val="auto"/>
                      <w:kern w:val="0"/>
                      <w:szCs w:val="21"/>
                    </w:rPr>
                  </w:pPr>
                  <w:r>
                    <w:rPr>
                      <w:color w:val="auto"/>
                      <w:kern w:val="0"/>
                      <w:szCs w:val="21"/>
                    </w:rPr>
                    <w:t>氯甲烷</w:t>
                  </w:r>
                </w:p>
              </w:tc>
              <w:tc>
                <w:tcPr>
                  <w:tcW w:w="684" w:type="pct"/>
                  <w:vAlign w:val="center"/>
                </w:tcPr>
                <w:p>
                  <w:pPr>
                    <w:jc w:val="center"/>
                    <w:rPr>
                      <w:color w:val="auto"/>
                      <w:kern w:val="0"/>
                      <w:szCs w:val="21"/>
                    </w:rPr>
                  </w:pPr>
                  <w:r>
                    <w:rPr>
                      <w:color w:val="auto"/>
                      <w:kern w:val="0"/>
                      <w:szCs w:val="21"/>
                    </w:rPr>
                    <w:t>37</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0.0010L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11</w:t>
                  </w:r>
                </w:p>
              </w:tc>
              <w:tc>
                <w:tcPr>
                  <w:tcW w:w="1357" w:type="pct"/>
                  <w:vAlign w:val="center"/>
                </w:tcPr>
                <w:p>
                  <w:pPr>
                    <w:jc w:val="center"/>
                    <w:rPr>
                      <w:color w:val="auto"/>
                      <w:kern w:val="0"/>
                      <w:szCs w:val="21"/>
                    </w:rPr>
                  </w:pPr>
                  <w:r>
                    <w:rPr>
                      <w:color w:val="auto"/>
                      <w:kern w:val="0"/>
                      <w:szCs w:val="21"/>
                    </w:rPr>
                    <w:t>1,1-二氯乙烷</w:t>
                  </w:r>
                </w:p>
              </w:tc>
              <w:tc>
                <w:tcPr>
                  <w:tcW w:w="684" w:type="pct"/>
                  <w:vAlign w:val="center"/>
                </w:tcPr>
                <w:p>
                  <w:pPr>
                    <w:jc w:val="center"/>
                    <w:rPr>
                      <w:color w:val="auto"/>
                      <w:kern w:val="0"/>
                      <w:szCs w:val="21"/>
                    </w:rPr>
                  </w:pPr>
                  <w:r>
                    <w:rPr>
                      <w:color w:val="auto"/>
                      <w:kern w:val="0"/>
                      <w:szCs w:val="21"/>
                    </w:rPr>
                    <w:t>9</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0.0012L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12</w:t>
                  </w:r>
                </w:p>
              </w:tc>
              <w:tc>
                <w:tcPr>
                  <w:tcW w:w="1357" w:type="pct"/>
                  <w:vAlign w:val="center"/>
                </w:tcPr>
                <w:p>
                  <w:pPr>
                    <w:jc w:val="center"/>
                    <w:rPr>
                      <w:color w:val="auto"/>
                      <w:kern w:val="0"/>
                      <w:szCs w:val="21"/>
                    </w:rPr>
                  </w:pPr>
                  <w:r>
                    <w:rPr>
                      <w:color w:val="auto"/>
                      <w:kern w:val="0"/>
                      <w:szCs w:val="21"/>
                    </w:rPr>
                    <w:t>1,2-二氯乙烷</w:t>
                  </w:r>
                </w:p>
              </w:tc>
              <w:tc>
                <w:tcPr>
                  <w:tcW w:w="684" w:type="pct"/>
                  <w:vAlign w:val="center"/>
                </w:tcPr>
                <w:p>
                  <w:pPr>
                    <w:jc w:val="center"/>
                    <w:rPr>
                      <w:color w:val="auto"/>
                      <w:kern w:val="0"/>
                      <w:szCs w:val="21"/>
                    </w:rPr>
                  </w:pPr>
                  <w:r>
                    <w:rPr>
                      <w:color w:val="auto"/>
                      <w:kern w:val="0"/>
                      <w:szCs w:val="21"/>
                    </w:rPr>
                    <w:t>5</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0.0013L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13</w:t>
                  </w:r>
                </w:p>
              </w:tc>
              <w:tc>
                <w:tcPr>
                  <w:tcW w:w="1357" w:type="pct"/>
                  <w:vAlign w:val="center"/>
                </w:tcPr>
                <w:p>
                  <w:pPr>
                    <w:jc w:val="center"/>
                    <w:rPr>
                      <w:color w:val="auto"/>
                      <w:kern w:val="0"/>
                      <w:szCs w:val="21"/>
                    </w:rPr>
                  </w:pPr>
                  <w:r>
                    <w:rPr>
                      <w:color w:val="auto"/>
                      <w:kern w:val="0"/>
                      <w:szCs w:val="21"/>
                    </w:rPr>
                    <w:t>1,1-二氯乙烯</w:t>
                  </w:r>
                </w:p>
              </w:tc>
              <w:tc>
                <w:tcPr>
                  <w:tcW w:w="684" w:type="pct"/>
                  <w:vAlign w:val="center"/>
                </w:tcPr>
                <w:p>
                  <w:pPr>
                    <w:jc w:val="center"/>
                    <w:rPr>
                      <w:color w:val="auto"/>
                      <w:kern w:val="0"/>
                      <w:szCs w:val="21"/>
                    </w:rPr>
                  </w:pPr>
                  <w:r>
                    <w:rPr>
                      <w:color w:val="auto"/>
                      <w:kern w:val="0"/>
                      <w:szCs w:val="21"/>
                    </w:rPr>
                    <w:t>66</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0.0010L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14</w:t>
                  </w:r>
                </w:p>
              </w:tc>
              <w:tc>
                <w:tcPr>
                  <w:tcW w:w="1357" w:type="pct"/>
                  <w:vAlign w:val="center"/>
                </w:tcPr>
                <w:p>
                  <w:pPr>
                    <w:jc w:val="center"/>
                    <w:rPr>
                      <w:color w:val="auto"/>
                      <w:kern w:val="0"/>
                      <w:szCs w:val="21"/>
                    </w:rPr>
                  </w:pPr>
                  <w:r>
                    <w:rPr>
                      <w:color w:val="auto"/>
                      <w:kern w:val="0"/>
                      <w:szCs w:val="21"/>
                    </w:rPr>
                    <w:t>顺-1-2二氯乙烯</w:t>
                  </w:r>
                </w:p>
              </w:tc>
              <w:tc>
                <w:tcPr>
                  <w:tcW w:w="684" w:type="pct"/>
                  <w:vAlign w:val="center"/>
                </w:tcPr>
                <w:p>
                  <w:pPr>
                    <w:jc w:val="center"/>
                    <w:rPr>
                      <w:color w:val="auto"/>
                      <w:kern w:val="0"/>
                      <w:szCs w:val="21"/>
                    </w:rPr>
                  </w:pPr>
                  <w:r>
                    <w:rPr>
                      <w:color w:val="auto"/>
                      <w:kern w:val="0"/>
                      <w:szCs w:val="21"/>
                    </w:rPr>
                    <w:t>596</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0.0013L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15</w:t>
                  </w:r>
                </w:p>
              </w:tc>
              <w:tc>
                <w:tcPr>
                  <w:tcW w:w="1357" w:type="pct"/>
                  <w:vAlign w:val="center"/>
                </w:tcPr>
                <w:p>
                  <w:pPr>
                    <w:jc w:val="center"/>
                    <w:rPr>
                      <w:color w:val="auto"/>
                      <w:kern w:val="0"/>
                      <w:szCs w:val="21"/>
                    </w:rPr>
                  </w:pPr>
                  <w:r>
                    <w:rPr>
                      <w:color w:val="auto"/>
                      <w:kern w:val="0"/>
                      <w:szCs w:val="21"/>
                    </w:rPr>
                    <w:t>反-1,2-二氯乙烯</w:t>
                  </w:r>
                </w:p>
              </w:tc>
              <w:tc>
                <w:tcPr>
                  <w:tcW w:w="684" w:type="pct"/>
                  <w:vAlign w:val="center"/>
                </w:tcPr>
                <w:p>
                  <w:pPr>
                    <w:jc w:val="center"/>
                    <w:rPr>
                      <w:color w:val="auto"/>
                      <w:kern w:val="0"/>
                      <w:szCs w:val="21"/>
                    </w:rPr>
                  </w:pPr>
                  <w:r>
                    <w:rPr>
                      <w:color w:val="auto"/>
                      <w:kern w:val="0"/>
                      <w:szCs w:val="21"/>
                    </w:rPr>
                    <w:t>54</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0.0014</w:t>
                  </w:r>
                  <w:r>
                    <w:rPr>
                      <w:rFonts w:hint="eastAsia" w:cs="Times New Roman"/>
                      <w:color w:val="auto"/>
                      <w:kern w:val="2"/>
                      <w:sz w:val="21"/>
                      <w:szCs w:val="24"/>
                      <w:lang w:val="en-US" w:eastAsia="zh-CN" w:bidi="ar-SA"/>
                    </w:rPr>
                    <w:t>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16</w:t>
                  </w:r>
                </w:p>
              </w:tc>
              <w:tc>
                <w:tcPr>
                  <w:tcW w:w="1357" w:type="pct"/>
                  <w:vAlign w:val="center"/>
                </w:tcPr>
                <w:p>
                  <w:pPr>
                    <w:jc w:val="center"/>
                    <w:rPr>
                      <w:color w:val="auto"/>
                      <w:kern w:val="0"/>
                      <w:szCs w:val="21"/>
                    </w:rPr>
                  </w:pPr>
                  <w:r>
                    <w:rPr>
                      <w:color w:val="auto"/>
                      <w:kern w:val="0"/>
                      <w:szCs w:val="21"/>
                    </w:rPr>
                    <w:t>二氯甲烷</w:t>
                  </w:r>
                </w:p>
              </w:tc>
              <w:tc>
                <w:tcPr>
                  <w:tcW w:w="684" w:type="pct"/>
                  <w:vAlign w:val="center"/>
                </w:tcPr>
                <w:p>
                  <w:pPr>
                    <w:jc w:val="center"/>
                    <w:rPr>
                      <w:color w:val="auto"/>
                      <w:kern w:val="0"/>
                      <w:szCs w:val="21"/>
                    </w:rPr>
                  </w:pPr>
                  <w:r>
                    <w:rPr>
                      <w:color w:val="auto"/>
                      <w:kern w:val="0"/>
                      <w:szCs w:val="21"/>
                    </w:rPr>
                    <w:t>616</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0.0015L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17</w:t>
                  </w:r>
                </w:p>
              </w:tc>
              <w:tc>
                <w:tcPr>
                  <w:tcW w:w="1357" w:type="pct"/>
                  <w:vAlign w:val="center"/>
                </w:tcPr>
                <w:p>
                  <w:pPr>
                    <w:jc w:val="center"/>
                    <w:rPr>
                      <w:color w:val="auto"/>
                      <w:kern w:val="0"/>
                      <w:szCs w:val="21"/>
                    </w:rPr>
                  </w:pPr>
                  <w:r>
                    <w:rPr>
                      <w:color w:val="auto"/>
                      <w:kern w:val="0"/>
                      <w:szCs w:val="21"/>
                    </w:rPr>
                    <w:t>1,2-二氯丙烷</w:t>
                  </w:r>
                </w:p>
              </w:tc>
              <w:tc>
                <w:tcPr>
                  <w:tcW w:w="684" w:type="pct"/>
                  <w:vAlign w:val="center"/>
                </w:tcPr>
                <w:p>
                  <w:pPr>
                    <w:jc w:val="center"/>
                    <w:rPr>
                      <w:color w:val="auto"/>
                      <w:kern w:val="0"/>
                      <w:szCs w:val="21"/>
                    </w:rPr>
                  </w:pPr>
                  <w:r>
                    <w:rPr>
                      <w:color w:val="auto"/>
                      <w:kern w:val="0"/>
                      <w:szCs w:val="21"/>
                    </w:rPr>
                    <w:t>5</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w:t>
                  </w:r>
                  <w:r>
                    <w:rPr>
                      <w:rFonts w:hint="eastAsia" w:cs="Times New Roman"/>
                      <w:color w:val="auto"/>
                      <w:kern w:val="2"/>
                      <w:sz w:val="21"/>
                      <w:szCs w:val="24"/>
                      <w:lang w:val="en-US" w:eastAsia="zh-CN" w:bidi="ar-SA"/>
                    </w:rPr>
                    <w:t>1</w:t>
                  </w:r>
                  <w:r>
                    <w:rPr>
                      <w:rFonts w:hint="eastAsia" w:ascii="Times New Roman" w:hAnsi="Times New Roman" w:eastAsia="宋体" w:cs="Times New Roman"/>
                      <w:color w:val="auto"/>
                      <w:kern w:val="2"/>
                      <w:sz w:val="21"/>
                      <w:szCs w:val="24"/>
                      <w:lang w:val="en-US" w:eastAsia="zh-CN" w:bidi="ar-SA"/>
                    </w:rPr>
                    <w:t>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18</w:t>
                  </w:r>
                </w:p>
              </w:tc>
              <w:tc>
                <w:tcPr>
                  <w:tcW w:w="1357" w:type="pct"/>
                  <w:vAlign w:val="center"/>
                </w:tcPr>
                <w:p>
                  <w:pPr>
                    <w:jc w:val="center"/>
                    <w:rPr>
                      <w:color w:val="auto"/>
                      <w:kern w:val="0"/>
                      <w:szCs w:val="21"/>
                    </w:rPr>
                  </w:pPr>
                  <w:r>
                    <w:rPr>
                      <w:color w:val="auto"/>
                      <w:kern w:val="0"/>
                      <w:szCs w:val="21"/>
                    </w:rPr>
                    <w:t>1,1,1,2-四氯乙烷</w:t>
                  </w:r>
                </w:p>
              </w:tc>
              <w:tc>
                <w:tcPr>
                  <w:tcW w:w="684" w:type="pct"/>
                  <w:vAlign w:val="center"/>
                </w:tcPr>
                <w:p>
                  <w:pPr>
                    <w:jc w:val="center"/>
                    <w:rPr>
                      <w:color w:val="auto"/>
                      <w:kern w:val="0"/>
                      <w:szCs w:val="21"/>
                    </w:rPr>
                  </w:pPr>
                  <w:r>
                    <w:rPr>
                      <w:color w:val="auto"/>
                      <w:kern w:val="0"/>
                      <w:szCs w:val="21"/>
                    </w:rPr>
                    <w:t>10</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0.0012L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19</w:t>
                  </w:r>
                </w:p>
              </w:tc>
              <w:tc>
                <w:tcPr>
                  <w:tcW w:w="1357" w:type="pct"/>
                  <w:vAlign w:val="center"/>
                </w:tcPr>
                <w:p>
                  <w:pPr>
                    <w:jc w:val="center"/>
                    <w:rPr>
                      <w:color w:val="auto"/>
                      <w:kern w:val="0"/>
                      <w:szCs w:val="21"/>
                    </w:rPr>
                  </w:pPr>
                  <w:r>
                    <w:rPr>
                      <w:color w:val="auto"/>
                      <w:kern w:val="0"/>
                      <w:szCs w:val="21"/>
                    </w:rPr>
                    <w:t>1,1,2,2-四氯乙烷</w:t>
                  </w:r>
                </w:p>
              </w:tc>
              <w:tc>
                <w:tcPr>
                  <w:tcW w:w="684" w:type="pct"/>
                  <w:vAlign w:val="center"/>
                </w:tcPr>
                <w:p>
                  <w:pPr>
                    <w:jc w:val="center"/>
                    <w:rPr>
                      <w:color w:val="auto"/>
                      <w:kern w:val="0"/>
                      <w:szCs w:val="21"/>
                    </w:rPr>
                  </w:pPr>
                  <w:r>
                    <w:rPr>
                      <w:color w:val="auto"/>
                      <w:kern w:val="0"/>
                      <w:szCs w:val="21"/>
                    </w:rPr>
                    <w:t>6.8</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0.0012L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20</w:t>
                  </w:r>
                </w:p>
              </w:tc>
              <w:tc>
                <w:tcPr>
                  <w:tcW w:w="1357" w:type="pct"/>
                  <w:vAlign w:val="center"/>
                </w:tcPr>
                <w:p>
                  <w:pPr>
                    <w:jc w:val="center"/>
                    <w:rPr>
                      <w:color w:val="auto"/>
                      <w:kern w:val="0"/>
                      <w:szCs w:val="21"/>
                    </w:rPr>
                  </w:pPr>
                  <w:r>
                    <w:rPr>
                      <w:color w:val="auto"/>
                      <w:kern w:val="0"/>
                      <w:szCs w:val="21"/>
                    </w:rPr>
                    <w:t>四氯乙烯</w:t>
                  </w:r>
                </w:p>
              </w:tc>
              <w:tc>
                <w:tcPr>
                  <w:tcW w:w="684" w:type="pct"/>
                  <w:vAlign w:val="center"/>
                </w:tcPr>
                <w:p>
                  <w:pPr>
                    <w:jc w:val="center"/>
                    <w:rPr>
                      <w:color w:val="auto"/>
                      <w:kern w:val="0"/>
                      <w:szCs w:val="21"/>
                    </w:rPr>
                  </w:pPr>
                  <w:r>
                    <w:rPr>
                      <w:color w:val="auto"/>
                      <w:kern w:val="0"/>
                      <w:szCs w:val="21"/>
                    </w:rPr>
                    <w:t>53</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0.0014L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21</w:t>
                  </w:r>
                </w:p>
              </w:tc>
              <w:tc>
                <w:tcPr>
                  <w:tcW w:w="1357" w:type="pct"/>
                  <w:vAlign w:val="center"/>
                </w:tcPr>
                <w:p>
                  <w:pPr>
                    <w:jc w:val="center"/>
                    <w:rPr>
                      <w:color w:val="auto"/>
                      <w:kern w:val="0"/>
                      <w:szCs w:val="21"/>
                    </w:rPr>
                  </w:pPr>
                  <w:r>
                    <w:rPr>
                      <w:color w:val="auto"/>
                      <w:kern w:val="0"/>
                      <w:szCs w:val="21"/>
                    </w:rPr>
                    <w:t>1,1</w:t>
                  </w:r>
                  <w:r>
                    <w:rPr>
                      <w:rFonts w:hint="eastAsia"/>
                      <w:color w:val="auto"/>
                      <w:kern w:val="0"/>
                      <w:szCs w:val="21"/>
                    </w:rPr>
                    <w:t>,</w:t>
                  </w:r>
                  <w:r>
                    <w:rPr>
                      <w:color w:val="auto"/>
                      <w:kern w:val="0"/>
                      <w:szCs w:val="21"/>
                    </w:rPr>
                    <w:t>1-三氯乙烷</w:t>
                  </w:r>
                </w:p>
              </w:tc>
              <w:tc>
                <w:tcPr>
                  <w:tcW w:w="684" w:type="pct"/>
                  <w:vAlign w:val="center"/>
                </w:tcPr>
                <w:p>
                  <w:pPr>
                    <w:jc w:val="center"/>
                    <w:rPr>
                      <w:color w:val="auto"/>
                      <w:kern w:val="0"/>
                      <w:szCs w:val="21"/>
                    </w:rPr>
                  </w:pPr>
                  <w:r>
                    <w:rPr>
                      <w:color w:val="auto"/>
                      <w:kern w:val="0"/>
                      <w:szCs w:val="21"/>
                    </w:rPr>
                    <w:t>840</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0.0013L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22</w:t>
                  </w:r>
                </w:p>
              </w:tc>
              <w:tc>
                <w:tcPr>
                  <w:tcW w:w="1357" w:type="pct"/>
                  <w:vAlign w:val="center"/>
                </w:tcPr>
                <w:p>
                  <w:pPr>
                    <w:jc w:val="center"/>
                    <w:rPr>
                      <w:color w:val="auto"/>
                      <w:kern w:val="0"/>
                      <w:szCs w:val="21"/>
                    </w:rPr>
                  </w:pPr>
                  <w:r>
                    <w:rPr>
                      <w:color w:val="auto"/>
                      <w:kern w:val="0"/>
                      <w:szCs w:val="21"/>
                    </w:rPr>
                    <w:t>1,1,2-三氯乙烷</w:t>
                  </w:r>
                </w:p>
              </w:tc>
              <w:tc>
                <w:tcPr>
                  <w:tcW w:w="684" w:type="pct"/>
                  <w:vAlign w:val="center"/>
                </w:tcPr>
                <w:p>
                  <w:pPr>
                    <w:jc w:val="center"/>
                    <w:rPr>
                      <w:color w:val="auto"/>
                      <w:kern w:val="0"/>
                      <w:szCs w:val="21"/>
                    </w:rPr>
                  </w:pPr>
                  <w:r>
                    <w:rPr>
                      <w:color w:val="auto"/>
                      <w:kern w:val="0"/>
                      <w:szCs w:val="21"/>
                    </w:rPr>
                    <w:t>2.8</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0.0012L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23</w:t>
                  </w:r>
                </w:p>
              </w:tc>
              <w:tc>
                <w:tcPr>
                  <w:tcW w:w="1357" w:type="pct"/>
                  <w:vAlign w:val="center"/>
                </w:tcPr>
                <w:p>
                  <w:pPr>
                    <w:jc w:val="center"/>
                    <w:rPr>
                      <w:color w:val="auto"/>
                      <w:kern w:val="0"/>
                      <w:szCs w:val="21"/>
                    </w:rPr>
                  </w:pPr>
                  <w:r>
                    <w:rPr>
                      <w:color w:val="auto"/>
                      <w:kern w:val="0"/>
                      <w:szCs w:val="21"/>
                    </w:rPr>
                    <w:t>三氯乙烯</w:t>
                  </w:r>
                </w:p>
              </w:tc>
              <w:tc>
                <w:tcPr>
                  <w:tcW w:w="684" w:type="pct"/>
                  <w:vAlign w:val="center"/>
                </w:tcPr>
                <w:p>
                  <w:pPr>
                    <w:jc w:val="center"/>
                    <w:rPr>
                      <w:color w:val="auto"/>
                      <w:kern w:val="0"/>
                      <w:szCs w:val="21"/>
                    </w:rPr>
                  </w:pPr>
                  <w:r>
                    <w:rPr>
                      <w:color w:val="auto"/>
                      <w:kern w:val="0"/>
                      <w:szCs w:val="21"/>
                    </w:rPr>
                    <w:t>2.8</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0.0012L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24</w:t>
                  </w:r>
                </w:p>
              </w:tc>
              <w:tc>
                <w:tcPr>
                  <w:tcW w:w="1357" w:type="pct"/>
                  <w:vAlign w:val="center"/>
                </w:tcPr>
                <w:p>
                  <w:pPr>
                    <w:jc w:val="center"/>
                    <w:rPr>
                      <w:color w:val="auto"/>
                      <w:kern w:val="0"/>
                      <w:szCs w:val="21"/>
                    </w:rPr>
                  </w:pPr>
                  <w:r>
                    <w:rPr>
                      <w:color w:val="auto"/>
                      <w:kern w:val="0"/>
                      <w:szCs w:val="21"/>
                    </w:rPr>
                    <w:t>1,2,3-三氯丙烷</w:t>
                  </w:r>
                </w:p>
              </w:tc>
              <w:tc>
                <w:tcPr>
                  <w:tcW w:w="684" w:type="pct"/>
                  <w:vAlign w:val="center"/>
                </w:tcPr>
                <w:p>
                  <w:pPr>
                    <w:jc w:val="center"/>
                    <w:rPr>
                      <w:color w:val="auto"/>
                      <w:kern w:val="0"/>
                      <w:szCs w:val="21"/>
                    </w:rPr>
                  </w:pPr>
                  <w:r>
                    <w:rPr>
                      <w:color w:val="auto"/>
                      <w:kern w:val="0"/>
                      <w:szCs w:val="21"/>
                    </w:rPr>
                    <w:t>0.5</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0.0012L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25</w:t>
                  </w:r>
                </w:p>
              </w:tc>
              <w:tc>
                <w:tcPr>
                  <w:tcW w:w="1357" w:type="pct"/>
                  <w:vAlign w:val="center"/>
                </w:tcPr>
                <w:p>
                  <w:pPr>
                    <w:jc w:val="center"/>
                    <w:rPr>
                      <w:color w:val="auto"/>
                      <w:kern w:val="0"/>
                      <w:szCs w:val="21"/>
                    </w:rPr>
                  </w:pPr>
                  <w:r>
                    <w:rPr>
                      <w:color w:val="auto"/>
                      <w:kern w:val="0"/>
                      <w:szCs w:val="21"/>
                    </w:rPr>
                    <w:t>氯乙烯</w:t>
                  </w:r>
                </w:p>
              </w:tc>
              <w:tc>
                <w:tcPr>
                  <w:tcW w:w="684" w:type="pct"/>
                  <w:vAlign w:val="center"/>
                </w:tcPr>
                <w:p>
                  <w:pPr>
                    <w:jc w:val="center"/>
                    <w:rPr>
                      <w:color w:val="auto"/>
                      <w:kern w:val="0"/>
                      <w:szCs w:val="21"/>
                    </w:rPr>
                  </w:pPr>
                  <w:r>
                    <w:rPr>
                      <w:color w:val="auto"/>
                      <w:kern w:val="0"/>
                      <w:szCs w:val="21"/>
                    </w:rPr>
                    <w:t>0.43</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0.0010L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26</w:t>
                  </w:r>
                </w:p>
              </w:tc>
              <w:tc>
                <w:tcPr>
                  <w:tcW w:w="1357" w:type="pct"/>
                  <w:vAlign w:val="center"/>
                </w:tcPr>
                <w:p>
                  <w:pPr>
                    <w:jc w:val="center"/>
                    <w:rPr>
                      <w:color w:val="auto"/>
                      <w:kern w:val="0"/>
                      <w:szCs w:val="21"/>
                    </w:rPr>
                  </w:pPr>
                  <w:r>
                    <w:rPr>
                      <w:color w:val="auto"/>
                      <w:kern w:val="0"/>
                      <w:szCs w:val="21"/>
                    </w:rPr>
                    <w:t>苯</w:t>
                  </w:r>
                </w:p>
              </w:tc>
              <w:tc>
                <w:tcPr>
                  <w:tcW w:w="684" w:type="pct"/>
                  <w:vAlign w:val="center"/>
                </w:tcPr>
                <w:p>
                  <w:pPr>
                    <w:jc w:val="center"/>
                    <w:rPr>
                      <w:color w:val="auto"/>
                      <w:kern w:val="0"/>
                      <w:szCs w:val="21"/>
                    </w:rPr>
                  </w:pPr>
                  <w:r>
                    <w:rPr>
                      <w:color w:val="auto"/>
                      <w:kern w:val="0"/>
                      <w:szCs w:val="21"/>
                    </w:rPr>
                    <w:t>4</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0.0019L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27</w:t>
                  </w:r>
                </w:p>
              </w:tc>
              <w:tc>
                <w:tcPr>
                  <w:tcW w:w="1357" w:type="pct"/>
                  <w:vAlign w:val="center"/>
                </w:tcPr>
                <w:p>
                  <w:pPr>
                    <w:jc w:val="center"/>
                    <w:rPr>
                      <w:color w:val="auto"/>
                      <w:kern w:val="0"/>
                      <w:szCs w:val="21"/>
                    </w:rPr>
                  </w:pPr>
                  <w:r>
                    <w:rPr>
                      <w:color w:val="auto"/>
                      <w:kern w:val="0"/>
                      <w:szCs w:val="21"/>
                    </w:rPr>
                    <w:t>氯苯</w:t>
                  </w:r>
                </w:p>
              </w:tc>
              <w:tc>
                <w:tcPr>
                  <w:tcW w:w="684" w:type="pct"/>
                  <w:vAlign w:val="center"/>
                </w:tcPr>
                <w:p>
                  <w:pPr>
                    <w:jc w:val="center"/>
                    <w:rPr>
                      <w:color w:val="auto"/>
                      <w:kern w:val="0"/>
                      <w:szCs w:val="21"/>
                    </w:rPr>
                  </w:pPr>
                  <w:r>
                    <w:rPr>
                      <w:color w:val="auto"/>
                      <w:kern w:val="0"/>
                      <w:szCs w:val="21"/>
                    </w:rPr>
                    <w:t>270</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0.0012L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28</w:t>
                  </w:r>
                </w:p>
              </w:tc>
              <w:tc>
                <w:tcPr>
                  <w:tcW w:w="1357" w:type="pct"/>
                  <w:vAlign w:val="center"/>
                </w:tcPr>
                <w:p>
                  <w:pPr>
                    <w:jc w:val="center"/>
                    <w:rPr>
                      <w:color w:val="auto"/>
                      <w:kern w:val="0"/>
                      <w:szCs w:val="21"/>
                    </w:rPr>
                  </w:pPr>
                  <w:r>
                    <w:rPr>
                      <w:color w:val="auto"/>
                      <w:kern w:val="0"/>
                      <w:szCs w:val="21"/>
                    </w:rPr>
                    <w:t>1,2-二氯苯</w:t>
                  </w:r>
                </w:p>
              </w:tc>
              <w:tc>
                <w:tcPr>
                  <w:tcW w:w="684" w:type="pct"/>
                  <w:vAlign w:val="center"/>
                </w:tcPr>
                <w:p>
                  <w:pPr>
                    <w:jc w:val="center"/>
                    <w:rPr>
                      <w:color w:val="auto"/>
                      <w:kern w:val="0"/>
                      <w:szCs w:val="21"/>
                    </w:rPr>
                  </w:pPr>
                  <w:r>
                    <w:rPr>
                      <w:color w:val="auto"/>
                      <w:kern w:val="0"/>
                      <w:szCs w:val="21"/>
                    </w:rPr>
                    <w:t>560</w:t>
                  </w:r>
                </w:p>
              </w:tc>
              <w:tc>
                <w:tcPr>
                  <w:tcW w:w="1752" w:type="pct"/>
                  <w:vAlign w:val="center"/>
                </w:tcPr>
                <w:p>
                  <w:pPr>
                    <w:widowControl/>
                    <w:jc w:val="center"/>
                    <w:rPr>
                      <w:rFonts w:hint="default" w:ascii="Times New Roman" w:hAnsi="Times New Roman" w:eastAsia="宋体" w:cs="Times New Roman"/>
                      <w:color w:val="auto"/>
                      <w:kern w:val="2"/>
                      <w:sz w:val="21"/>
                      <w:szCs w:val="24"/>
                      <w:lang w:val="en-US" w:eastAsia="zh-CN" w:bidi="ar-SA"/>
                    </w:rPr>
                  </w:pPr>
                  <w:r>
                    <w:rPr>
                      <w:rFonts w:hint="eastAsia" w:ascii="Times New Roman" w:hAnsi="Times New Roman" w:eastAsia="宋体" w:cs="Times New Roman"/>
                      <w:color w:val="auto"/>
                      <w:kern w:val="2"/>
                      <w:sz w:val="21"/>
                      <w:szCs w:val="24"/>
                      <w:lang w:val="en-US" w:eastAsia="zh-CN" w:bidi="ar-SA"/>
                    </w:rPr>
                    <w:t>0.0015L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29</w:t>
                  </w:r>
                </w:p>
              </w:tc>
              <w:tc>
                <w:tcPr>
                  <w:tcW w:w="1357" w:type="pct"/>
                  <w:vAlign w:val="center"/>
                </w:tcPr>
                <w:p>
                  <w:pPr>
                    <w:jc w:val="center"/>
                    <w:rPr>
                      <w:color w:val="auto"/>
                      <w:kern w:val="0"/>
                      <w:szCs w:val="21"/>
                    </w:rPr>
                  </w:pPr>
                  <w:r>
                    <w:rPr>
                      <w:color w:val="auto"/>
                      <w:kern w:val="0"/>
                      <w:szCs w:val="21"/>
                    </w:rPr>
                    <w:t>1,4-二氯苯</w:t>
                  </w:r>
                </w:p>
              </w:tc>
              <w:tc>
                <w:tcPr>
                  <w:tcW w:w="684" w:type="pct"/>
                  <w:vAlign w:val="center"/>
                </w:tcPr>
                <w:p>
                  <w:pPr>
                    <w:jc w:val="center"/>
                    <w:rPr>
                      <w:color w:val="auto"/>
                      <w:kern w:val="0"/>
                      <w:szCs w:val="21"/>
                    </w:rPr>
                  </w:pPr>
                  <w:r>
                    <w:rPr>
                      <w:color w:val="auto"/>
                      <w:kern w:val="0"/>
                      <w:szCs w:val="21"/>
                    </w:rPr>
                    <w:t>20</w:t>
                  </w:r>
                </w:p>
              </w:tc>
              <w:tc>
                <w:tcPr>
                  <w:tcW w:w="1752" w:type="pct"/>
                  <w:vAlign w:val="center"/>
                </w:tcPr>
                <w:p>
                  <w:pPr>
                    <w:widowControl/>
                    <w:jc w:val="center"/>
                    <w:rPr>
                      <w:rFonts w:hint="default" w:ascii="Times New Roman" w:hAnsi="Times New Roman" w:eastAsia="宋体" w:cs="Times New Roman"/>
                      <w:color w:val="auto"/>
                      <w:kern w:val="2"/>
                      <w:sz w:val="21"/>
                      <w:szCs w:val="24"/>
                      <w:lang w:val="en-US" w:eastAsia="zh-CN" w:bidi="ar-SA"/>
                    </w:rPr>
                  </w:pPr>
                  <w:r>
                    <w:rPr>
                      <w:rFonts w:hint="eastAsia" w:ascii="Times New Roman" w:hAnsi="Times New Roman" w:eastAsia="宋体" w:cs="Times New Roman"/>
                      <w:color w:val="auto"/>
                      <w:kern w:val="2"/>
                      <w:sz w:val="21"/>
                      <w:szCs w:val="24"/>
                      <w:lang w:val="en-US" w:eastAsia="zh-CN" w:bidi="ar-SA"/>
                    </w:rPr>
                    <w:t>0.0015L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30</w:t>
                  </w:r>
                </w:p>
              </w:tc>
              <w:tc>
                <w:tcPr>
                  <w:tcW w:w="1357" w:type="pct"/>
                  <w:vAlign w:val="center"/>
                </w:tcPr>
                <w:p>
                  <w:pPr>
                    <w:jc w:val="center"/>
                    <w:rPr>
                      <w:color w:val="auto"/>
                      <w:kern w:val="0"/>
                      <w:szCs w:val="21"/>
                    </w:rPr>
                  </w:pPr>
                  <w:r>
                    <w:rPr>
                      <w:color w:val="auto"/>
                      <w:kern w:val="0"/>
                      <w:szCs w:val="21"/>
                    </w:rPr>
                    <w:t>乙苯</w:t>
                  </w:r>
                </w:p>
              </w:tc>
              <w:tc>
                <w:tcPr>
                  <w:tcW w:w="684" w:type="pct"/>
                  <w:vAlign w:val="center"/>
                </w:tcPr>
                <w:p>
                  <w:pPr>
                    <w:jc w:val="center"/>
                    <w:rPr>
                      <w:color w:val="auto"/>
                      <w:kern w:val="0"/>
                      <w:szCs w:val="21"/>
                    </w:rPr>
                  </w:pPr>
                  <w:r>
                    <w:rPr>
                      <w:color w:val="auto"/>
                      <w:kern w:val="0"/>
                      <w:szCs w:val="21"/>
                    </w:rPr>
                    <w:t>28</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0.0012L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31</w:t>
                  </w:r>
                </w:p>
              </w:tc>
              <w:tc>
                <w:tcPr>
                  <w:tcW w:w="1357" w:type="pct"/>
                  <w:vAlign w:val="center"/>
                </w:tcPr>
                <w:p>
                  <w:pPr>
                    <w:jc w:val="center"/>
                    <w:rPr>
                      <w:color w:val="auto"/>
                      <w:kern w:val="0"/>
                      <w:szCs w:val="21"/>
                    </w:rPr>
                  </w:pPr>
                  <w:r>
                    <w:rPr>
                      <w:color w:val="auto"/>
                      <w:kern w:val="0"/>
                      <w:szCs w:val="21"/>
                    </w:rPr>
                    <w:t>苯乙烯</w:t>
                  </w:r>
                </w:p>
              </w:tc>
              <w:tc>
                <w:tcPr>
                  <w:tcW w:w="684" w:type="pct"/>
                  <w:vAlign w:val="center"/>
                </w:tcPr>
                <w:p>
                  <w:pPr>
                    <w:jc w:val="center"/>
                    <w:rPr>
                      <w:color w:val="auto"/>
                      <w:kern w:val="0"/>
                      <w:szCs w:val="21"/>
                    </w:rPr>
                  </w:pPr>
                  <w:r>
                    <w:rPr>
                      <w:color w:val="auto"/>
                      <w:kern w:val="0"/>
                      <w:szCs w:val="21"/>
                    </w:rPr>
                    <w:t>1290</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0.0010L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32</w:t>
                  </w:r>
                </w:p>
              </w:tc>
              <w:tc>
                <w:tcPr>
                  <w:tcW w:w="1357" w:type="pct"/>
                  <w:vAlign w:val="center"/>
                </w:tcPr>
                <w:p>
                  <w:pPr>
                    <w:jc w:val="center"/>
                    <w:rPr>
                      <w:color w:val="auto"/>
                      <w:kern w:val="0"/>
                      <w:szCs w:val="21"/>
                    </w:rPr>
                  </w:pPr>
                  <w:r>
                    <w:rPr>
                      <w:color w:val="auto"/>
                      <w:kern w:val="0"/>
                      <w:szCs w:val="21"/>
                    </w:rPr>
                    <w:t>甲苯</w:t>
                  </w:r>
                </w:p>
              </w:tc>
              <w:tc>
                <w:tcPr>
                  <w:tcW w:w="684" w:type="pct"/>
                  <w:vAlign w:val="center"/>
                </w:tcPr>
                <w:p>
                  <w:pPr>
                    <w:jc w:val="center"/>
                    <w:rPr>
                      <w:color w:val="auto"/>
                      <w:kern w:val="0"/>
                      <w:szCs w:val="21"/>
                    </w:rPr>
                  </w:pPr>
                  <w:r>
                    <w:rPr>
                      <w:color w:val="auto"/>
                      <w:kern w:val="0"/>
                      <w:szCs w:val="21"/>
                    </w:rPr>
                    <w:t>1200</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w:t>
                  </w:r>
                  <w:r>
                    <w:rPr>
                      <w:rFonts w:hint="eastAsia" w:cs="Times New Roman"/>
                      <w:color w:val="auto"/>
                      <w:kern w:val="2"/>
                      <w:sz w:val="21"/>
                      <w:szCs w:val="24"/>
                      <w:lang w:val="en-US" w:eastAsia="zh-CN" w:bidi="ar-SA"/>
                    </w:rPr>
                    <w:t>27</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33</w:t>
                  </w:r>
                </w:p>
              </w:tc>
              <w:tc>
                <w:tcPr>
                  <w:tcW w:w="1357" w:type="pct"/>
                  <w:vAlign w:val="center"/>
                </w:tcPr>
                <w:p>
                  <w:pPr>
                    <w:jc w:val="center"/>
                    <w:rPr>
                      <w:color w:val="auto"/>
                      <w:kern w:val="0"/>
                      <w:szCs w:val="21"/>
                    </w:rPr>
                  </w:pPr>
                  <w:r>
                    <w:rPr>
                      <w:color w:val="auto"/>
                      <w:kern w:val="0"/>
                      <w:szCs w:val="21"/>
                    </w:rPr>
                    <w:t>间</w:t>
                  </w:r>
                  <w:r>
                    <w:rPr>
                      <w:rFonts w:hint="eastAsia"/>
                      <w:color w:val="auto"/>
                      <w:kern w:val="0"/>
                      <w:szCs w:val="21"/>
                      <w:lang w:eastAsia="zh-CN"/>
                    </w:rPr>
                    <w:t>，</w:t>
                  </w:r>
                  <w:r>
                    <w:rPr>
                      <w:color w:val="auto"/>
                      <w:kern w:val="0"/>
                      <w:szCs w:val="21"/>
                    </w:rPr>
                    <w:t>对二甲苯</w:t>
                  </w:r>
                </w:p>
              </w:tc>
              <w:tc>
                <w:tcPr>
                  <w:tcW w:w="684" w:type="pct"/>
                  <w:vAlign w:val="center"/>
                </w:tcPr>
                <w:p>
                  <w:pPr>
                    <w:jc w:val="center"/>
                    <w:rPr>
                      <w:color w:val="auto"/>
                      <w:kern w:val="0"/>
                      <w:szCs w:val="21"/>
                    </w:rPr>
                  </w:pPr>
                  <w:r>
                    <w:rPr>
                      <w:color w:val="auto"/>
                      <w:kern w:val="0"/>
                      <w:szCs w:val="21"/>
                    </w:rPr>
                    <w:t>570</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0.0012L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34</w:t>
                  </w:r>
                </w:p>
              </w:tc>
              <w:tc>
                <w:tcPr>
                  <w:tcW w:w="1357" w:type="pct"/>
                  <w:vAlign w:val="center"/>
                </w:tcPr>
                <w:p>
                  <w:pPr>
                    <w:jc w:val="center"/>
                    <w:rPr>
                      <w:color w:val="auto"/>
                      <w:kern w:val="0"/>
                      <w:szCs w:val="21"/>
                    </w:rPr>
                  </w:pPr>
                  <w:r>
                    <w:rPr>
                      <w:color w:val="auto"/>
                      <w:kern w:val="0"/>
                      <w:szCs w:val="21"/>
                    </w:rPr>
                    <w:t>邻二甲苯</w:t>
                  </w:r>
                </w:p>
              </w:tc>
              <w:tc>
                <w:tcPr>
                  <w:tcW w:w="684" w:type="pct"/>
                  <w:vAlign w:val="center"/>
                </w:tcPr>
                <w:p>
                  <w:pPr>
                    <w:jc w:val="center"/>
                    <w:rPr>
                      <w:color w:val="auto"/>
                      <w:kern w:val="0"/>
                      <w:szCs w:val="21"/>
                    </w:rPr>
                  </w:pPr>
                  <w:r>
                    <w:rPr>
                      <w:color w:val="auto"/>
                      <w:kern w:val="0"/>
                      <w:szCs w:val="21"/>
                    </w:rPr>
                    <w:t>640</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0.0012L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35</w:t>
                  </w:r>
                </w:p>
              </w:tc>
              <w:tc>
                <w:tcPr>
                  <w:tcW w:w="1357" w:type="pct"/>
                  <w:vAlign w:val="center"/>
                </w:tcPr>
                <w:p>
                  <w:pPr>
                    <w:jc w:val="center"/>
                    <w:rPr>
                      <w:color w:val="auto"/>
                      <w:kern w:val="0"/>
                      <w:szCs w:val="21"/>
                    </w:rPr>
                  </w:pPr>
                  <w:r>
                    <w:rPr>
                      <w:color w:val="auto"/>
                      <w:kern w:val="0"/>
                      <w:szCs w:val="21"/>
                    </w:rPr>
                    <w:t>硝基苯</w:t>
                  </w:r>
                </w:p>
              </w:tc>
              <w:tc>
                <w:tcPr>
                  <w:tcW w:w="684" w:type="pct"/>
                  <w:vAlign w:val="center"/>
                </w:tcPr>
                <w:p>
                  <w:pPr>
                    <w:jc w:val="center"/>
                    <w:rPr>
                      <w:color w:val="auto"/>
                      <w:kern w:val="0"/>
                      <w:szCs w:val="21"/>
                    </w:rPr>
                  </w:pPr>
                  <w:r>
                    <w:rPr>
                      <w:color w:val="auto"/>
                      <w:kern w:val="0"/>
                      <w:szCs w:val="21"/>
                    </w:rPr>
                    <w:t>76</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0.09L</w:t>
                  </w:r>
                </w:p>
              </w:tc>
              <w:tc>
                <w:tcPr>
                  <w:tcW w:w="833" w:type="pct"/>
                  <w:vAlign w:val="center"/>
                </w:tcPr>
                <w:p>
                  <w:pPr>
                    <w:jc w:val="center"/>
                    <w:rPr>
                      <w:color w:val="auto"/>
                      <w:kern w:val="0"/>
                      <w:szCs w:val="21"/>
                    </w:rPr>
                  </w:pPr>
                  <w:r>
                    <w:rPr>
                      <w:color w:val="auto"/>
                      <w:szCs w:val="21"/>
                      <w:lang w:bidi="zh-CN"/>
                    </w:rPr>
                    <w:t>mg/kg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36</w:t>
                  </w:r>
                </w:p>
              </w:tc>
              <w:tc>
                <w:tcPr>
                  <w:tcW w:w="1357" w:type="pct"/>
                  <w:vAlign w:val="center"/>
                </w:tcPr>
                <w:p>
                  <w:pPr>
                    <w:jc w:val="center"/>
                    <w:rPr>
                      <w:color w:val="auto"/>
                      <w:kern w:val="0"/>
                      <w:szCs w:val="21"/>
                    </w:rPr>
                  </w:pPr>
                  <w:r>
                    <w:rPr>
                      <w:color w:val="auto"/>
                      <w:kern w:val="0"/>
                      <w:szCs w:val="21"/>
                    </w:rPr>
                    <w:t>苯胺</w:t>
                  </w:r>
                </w:p>
              </w:tc>
              <w:tc>
                <w:tcPr>
                  <w:tcW w:w="684" w:type="pct"/>
                  <w:vAlign w:val="center"/>
                </w:tcPr>
                <w:p>
                  <w:pPr>
                    <w:jc w:val="center"/>
                    <w:rPr>
                      <w:color w:val="auto"/>
                      <w:kern w:val="0"/>
                      <w:szCs w:val="21"/>
                    </w:rPr>
                  </w:pPr>
                  <w:r>
                    <w:rPr>
                      <w:color w:val="auto"/>
                      <w:kern w:val="0"/>
                      <w:szCs w:val="21"/>
                    </w:rPr>
                    <w:t>260</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0.08L</w:t>
                  </w:r>
                </w:p>
              </w:tc>
              <w:tc>
                <w:tcPr>
                  <w:tcW w:w="833" w:type="pct"/>
                  <w:vAlign w:val="center"/>
                </w:tcPr>
                <w:p>
                  <w:pPr>
                    <w:jc w:val="center"/>
                    <w:rPr>
                      <w:color w:val="auto"/>
                      <w:kern w:val="0"/>
                      <w:szCs w:val="21"/>
                    </w:rPr>
                  </w:pPr>
                  <w:r>
                    <w:rPr>
                      <w:rFonts w:hint="eastAsia"/>
                      <w:color w:val="auto"/>
                      <w:szCs w:val="21"/>
                      <w:lang w:bidi="zh-CN"/>
                    </w:rPr>
                    <w:t>m</w:t>
                  </w:r>
                  <w:r>
                    <w:rPr>
                      <w:color w:val="auto"/>
                      <w:szCs w:val="21"/>
                      <w:lang w:bidi="zh-CN"/>
                    </w:rPr>
                    <w:t>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37</w:t>
                  </w:r>
                </w:p>
              </w:tc>
              <w:tc>
                <w:tcPr>
                  <w:tcW w:w="1357" w:type="pct"/>
                  <w:vAlign w:val="center"/>
                </w:tcPr>
                <w:p>
                  <w:pPr>
                    <w:jc w:val="center"/>
                    <w:rPr>
                      <w:color w:val="auto"/>
                      <w:kern w:val="0"/>
                      <w:szCs w:val="21"/>
                    </w:rPr>
                  </w:pPr>
                  <w:r>
                    <w:rPr>
                      <w:rFonts w:hint="eastAsia"/>
                      <w:color w:val="auto"/>
                      <w:kern w:val="0"/>
                      <w:szCs w:val="21"/>
                    </w:rPr>
                    <w:t>2</w:t>
                  </w:r>
                  <w:r>
                    <w:rPr>
                      <w:color w:val="auto"/>
                      <w:kern w:val="0"/>
                      <w:szCs w:val="21"/>
                    </w:rPr>
                    <w:t>-</w:t>
                  </w:r>
                  <w:r>
                    <w:rPr>
                      <w:rFonts w:hint="eastAsia"/>
                      <w:color w:val="auto"/>
                      <w:kern w:val="0"/>
                      <w:szCs w:val="21"/>
                    </w:rPr>
                    <w:t>氯苯酚</w:t>
                  </w:r>
                </w:p>
              </w:tc>
              <w:tc>
                <w:tcPr>
                  <w:tcW w:w="684" w:type="pct"/>
                  <w:vAlign w:val="center"/>
                </w:tcPr>
                <w:p>
                  <w:pPr>
                    <w:jc w:val="center"/>
                    <w:rPr>
                      <w:color w:val="auto"/>
                      <w:kern w:val="0"/>
                      <w:szCs w:val="21"/>
                    </w:rPr>
                  </w:pPr>
                  <w:r>
                    <w:rPr>
                      <w:color w:val="auto"/>
                      <w:kern w:val="0"/>
                      <w:szCs w:val="21"/>
                    </w:rPr>
                    <w:t>2256</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0.06L</w:t>
                  </w:r>
                </w:p>
              </w:tc>
              <w:tc>
                <w:tcPr>
                  <w:tcW w:w="833" w:type="pct"/>
                  <w:vAlign w:val="center"/>
                </w:tcPr>
                <w:p>
                  <w:pPr>
                    <w:jc w:val="center"/>
                    <w:rPr>
                      <w:color w:val="auto"/>
                      <w:kern w:val="0"/>
                      <w:szCs w:val="21"/>
                    </w:rPr>
                  </w:pPr>
                  <w:r>
                    <w:rPr>
                      <w:rFonts w:hint="eastAsia"/>
                      <w:color w:val="auto"/>
                      <w:szCs w:val="21"/>
                      <w:lang w:bidi="zh-CN"/>
                    </w:rPr>
                    <w:t>m</w:t>
                  </w:r>
                  <w:r>
                    <w:rPr>
                      <w:color w:val="auto"/>
                      <w:szCs w:val="21"/>
                      <w:lang w:bidi="zh-CN"/>
                    </w:rPr>
                    <w:t>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38</w:t>
                  </w:r>
                </w:p>
              </w:tc>
              <w:tc>
                <w:tcPr>
                  <w:tcW w:w="1357" w:type="pct"/>
                  <w:vAlign w:val="center"/>
                </w:tcPr>
                <w:p>
                  <w:pPr>
                    <w:jc w:val="center"/>
                    <w:rPr>
                      <w:color w:val="auto"/>
                      <w:kern w:val="0"/>
                      <w:szCs w:val="21"/>
                    </w:rPr>
                  </w:pPr>
                  <w:r>
                    <w:rPr>
                      <w:color w:val="auto"/>
                      <w:kern w:val="0"/>
                      <w:szCs w:val="21"/>
                    </w:rPr>
                    <w:t>苯并〔a〕蒽</w:t>
                  </w:r>
                </w:p>
              </w:tc>
              <w:tc>
                <w:tcPr>
                  <w:tcW w:w="684" w:type="pct"/>
                  <w:vAlign w:val="center"/>
                </w:tcPr>
                <w:p>
                  <w:pPr>
                    <w:jc w:val="center"/>
                    <w:rPr>
                      <w:color w:val="auto"/>
                      <w:kern w:val="0"/>
                      <w:szCs w:val="21"/>
                    </w:rPr>
                  </w:pPr>
                  <w:r>
                    <w:rPr>
                      <w:color w:val="auto"/>
                      <w:kern w:val="0"/>
                      <w:szCs w:val="21"/>
                    </w:rPr>
                    <w:t>15</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0.1L</w:t>
                  </w:r>
                </w:p>
              </w:tc>
              <w:tc>
                <w:tcPr>
                  <w:tcW w:w="833" w:type="pct"/>
                  <w:vAlign w:val="center"/>
                </w:tcPr>
                <w:p>
                  <w:pPr>
                    <w:jc w:val="center"/>
                    <w:rPr>
                      <w:color w:val="auto"/>
                      <w:kern w:val="0"/>
                      <w:szCs w:val="21"/>
                    </w:rPr>
                  </w:pPr>
                  <w:r>
                    <w:rPr>
                      <w:rFonts w:hint="eastAsia"/>
                      <w:color w:val="auto"/>
                      <w:szCs w:val="21"/>
                      <w:lang w:bidi="zh-CN"/>
                    </w:rPr>
                    <w:t>m</w:t>
                  </w:r>
                  <w:r>
                    <w:rPr>
                      <w:color w:val="auto"/>
                      <w:szCs w:val="21"/>
                      <w:lang w:bidi="zh-CN"/>
                    </w:rPr>
                    <w:t>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39</w:t>
                  </w:r>
                </w:p>
              </w:tc>
              <w:tc>
                <w:tcPr>
                  <w:tcW w:w="1357" w:type="pct"/>
                  <w:vAlign w:val="center"/>
                </w:tcPr>
                <w:p>
                  <w:pPr>
                    <w:jc w:val="center"/>
                    <w:rPr>
                      <w:color w:val="auto"/>
                      <w:kern w:val="0"/>
                      <w:szCs w:val="21"/>
                    </w:rPr>
                  </w:pPr>
                  <w:r>
                    <w:rPr>
                      <w:color w:val="auto"/>
                      <w:kern w:val="0"/>
                      <w:szCs w:val="21"/>
                    </w:rPr>
                    <w:t>苯并〔a〕芘</w:t>
                  </w:r>
                </w:p>
              </w:tc>
              <w:tc>
                <w:tcPr>
                  <w:tcW w:w="684" w:type="pct"/>
                  <w:vAlign w:val="center"/>
                </w:tcPr>
                <w:p>
                  <w:pPr>
                    <w:jc w:val="center"/>
                    <w:rPr>
                      <w:color w:val="auto"/>
                      <w:kern w:val="0"/>
                      <w:szCs w:val="21"/>
                    </w:rPr>
                  </w:pPr>
                  <w:r>
                    <w:rPr>
                      <w:color w:val="auto"/>
                      <w:kern w:val="0"/>
                      <w:szCs w:val="21"/>
                    </w:rPr>
                    <w:t>1.5</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0.1L</w:t>
                  </w:r>
                </w:p>
              </w:tc>
              <w:tc>
                <w:tcPr>
                  <w:tcW w:w="833" w:type="pct"/>
                  <w:vAlign w:val="center"/>
                </w:tcPr>
                <w:p>
                  <w:pPr>
                    <w:jc w:val="center"/>
                    <w:rPr>
                      <w:color w:val="auto"/>
                      <w:kern w:val="0"/>
                      <w:szCs w:val="21"/>
                    </w:rPr>
                  </w:pPr>
                  <w:r>
                    <w:rPr>
                      <w:rFonts w:hint="eastAsia"/>
                      <w:color w:val="auto"/>
                      <w:szCs w:val="21"/>
                      <w:lang w:bidi="zh-CN"/>
                    </w:rPr>
                    <w:t>m</w:t>
                  </w:r>
                  <w:r>
                    <w:rPr>
                      <w:color w:val="auto"/>
                      <w:szCs w:val="21"/>
                      <w:lang w:bidi="zh-CN"/>
                    </w:rPr>
                    <w:t>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40</w:t>
                  </w:r>
                </w:p>
              </w:tc>
              <w:tc>
                <w:tcPr>
                  <w:tcW w:w="1357" w:type="pct"/>
                  <w:vAlign w:val="center"/>
                </w:tcPr>
                <w:p>
                  <w:pPr>
                    <w:jc w:val="center"/>
                    <w:rPr>
                      <w:color w:val="auto"/>
                      <w:kern w:val="0"/>
                      <w:szCs w:val="21"/>
                    </w:rPr>
                  </w:pPr>
                  <w:r>
                    <w:rPr>
                      <w:color w:val="auto"/>
                      <w:kern w:val="0"/>
                      <w:szCs w:val="21"/>
                    </w:rPr>
                    <w:t>苯并〔b〕荧蒽</w:t>
                  </w:r>
                </w:p>
              </w:tc>
              <w:tc>
                <w:tcPr>
                  <w:tcW w:w="684" w:type="pct"/>
                  <w:vAlign w:val="center"/>
                </w:tcPr>
                <w:p>
                  <w:pPr>
                    <w:jc w:val="center"/>
                    <w:rPr>
                      <w:color w:val="auto"/>
                      <w:kern w:val="0"/>
                      <w:szCs w:val="21"/>
                    </w:rPr>
                  </w:pPr>
                  <w:r>
                    <w:rPr>
                      <w:color w:val="auto"/>
                      <w:kern w:val="0"/>
                      <w:szCs w:val="21"/>
                    </w:rPr>
                    <w:t>15</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0.2L</w:t>
                  </w:r>
                </w:p>
              </w:tc>
              <w:tc>
                <w:tcPr>
                  <w:tcW w:w="833" w:type="pct"/>
                  <w:vAlign w:val="center"/>
                </w:tcPr>
                <w:p>
                  <w:pPr>
                    <w:jc w:val="center"/>
                    <w:rPr>
                      <w:color w:val="auto"/>
                      <w:kern w:val="0"/>
                      <w:szCs w:val="21"/>
                    </w:rPr>
                  </w:pPr>
                  <w:r>
                    <w:rPr>
                      <w:rFonts w:hint="eastAsia"/>
                      <w:color w:val="auto"/>
                      <w:szCs w:val="21"/>
                      <w:lang w:bidi="zh-CN"/>
                    </w:rPr>
                    <w:t>m</w:t>
                  </w:r>
                  <w:r>
                    <w:rPr>
                      <w:color w:val="auto"/>
                      <w:szCs w:val="21"/>
                      <w:lang w:bidi="zh-CN"/>
                    </w:rPr>
                    <w:t>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41</w:t>
                  </w:r>
                </w:p>
              </w:tc>
              <w:tc>
                <w:tcPr>
                  <w:tcW w:w="1357" w:type="pct"/>
                  <w:vAlign w:val="center"/>
                </w:tcPr>
                <w:p>
                  <w:pPr>
                    <w:jc w:val="center"/>
                    <w:rPr>
                      <w:color w:val="auto"/>
                      <w:kern w:val="0"/>
                      <w:szCs w:val="21"/>
                    </w:rPr>
                  </w:pPr>
                  <w:r>
                    <w:rPr>
                      <w:color w:val="auto"/>
                      <w:kern w:val="0"/>
                      <w:szCs w:val="21"/>
                    </w:rPr>
                    <w:t>苯并〔k〕荧蒽</w:t>
                  </w:r>
                </w:p>
              </w:tc>
              <w:tc>
                <w:tcPr>
                  <w:tcW w:w="684" w:type="pct"/>
                  <w:vAlign w:val="center"/>
                </w:tcPr>
                <w:p>
                  <w:pPr>
                    <w:jc w:val="center"/>
                    <w:rPr>
                      <w:color w:val="auto"/>
                      <w:kern w:val="0"/>
                      <w:szCs w:val="21"/>
                    </w:rPr>
                  </w:pPr>
                  <w:r>
                    <w:rPr>
                      <w:color w:val="auto"/>
                      <w:kern w:val="0"/>
                      <w:szCs w:val="21"/>
                    </w:rPr>
                    <w:t>151</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0.1L</w:t>
                  </w:r>
                </w:p>
              </w:tc>
              <w:tc>
                <w:tcPr>
                  <w:tcW w:w="833" w:type="pct"/>
                  <w:vAlign w:val="center"/>
                </w:tcPr>
                <w:p>
                  <w:pPr>
                    <w:jc w:val="center"/>
                    <w:rPr>
                      <w:color w:val="auto"/>
                      <w:kern w:val="0"/>
                      <w:szCs w:val="21"/>
                    </w:rPr>
                  </w:pPr>
                  <w:r>
                    <w:rPr>
                      <w:rFonts w:hint="eastAsia"/>
                      <w:color w:val="auto"/>
                      <w:szCs w:val="21"/>
                      <w:lang w:bidi="zh-CN"/>
                    </w:rPr>
                    <w:t>m</w:t>
                  </w:r>
                  <w:r>
                    <w:rPr>
                      <w:color w:val="auto"/>
                      <w:szCs w:val="21"/>
                      <w:lang w:bidi="zh-CN"/>
                    </w:rPr>
                    <w:t>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42</w:t>
                  </w:r>
                </w:p>
              </w:tc>
              <w:tc>
                <w:tcPr>
                  <w:tcW w:w="1357" w:type="pct"/>
                  <w:vAlign w:val="center"/>
                </w:tcPr>
                <w:p>
                  <w:pPr>
                    <w:jc w:val="center"/>
                    <w:rPr>
                      <w:color w:val="auto"/>
                      <w:kern w:val="0"/>
                      <w:szCs w:val="21"/>
                    </w:rPr>
                  </w:pPr>
                  <w:r>
                    <w:rPr>
                      <w:color w:val="auto"/>
                      <w:kern w:val="0"/>
                      <w:szCs w:val="21"/>
                    </w:rPr>
                    <w:t>䓛</w:t>
                  </w:r>
                </w:p>
              </w:tc>
              <w:tc>
                <w:tcPr>
                  <w:tcW w:w="684" w:type="pct"/>
                  <w:vAlign w:val="center"/>
                </w:tcPr>
                <w:p>
                  <w:pPr>
                    <w:jc w:val="center"/>
                    <w:rPr>
                      <w:color w:val="auto"/>
                      <w:kern w:val="0"/>
                      <w:szCs w:val="21"/>
                    </w:rPr>
                  </w:pPr>
                  <w:r>
                    <w:rPr>
                      <w:color w:val="auto"/>
                      <w:kern w:val="0"/>
                      <w:szCs w:val="21"/>
                    </w:rPr>
                    <w:t>1293</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0.1L</w:t>
                  </w:r>
                </w:p>
              </w:tc>
              <w:tc>
                <w:tcPr>
                  <w:tcW w:w="833" w:type="pct"/>
                  <w:vAlign w:val="center"/>
                </w:tcPr>
                <w:p>
                  <w:pPr>
                    <w:jc w:val="center"/>
                    <w:rPr>
                      <w:color w:val="auto"/>
                      <w:kern w:val="0"/>
                      <w:szCs w:val="21"/>
                    </w:rPr>
                  </w:pPr>
                  <w:r>
                    <w:rPr>
                      <w:rFonts w:hint="eastAsia"/>
                      <w:color w:val="auto"/>
                      <w:szCs w:val="21"/>
                      <w:lang w:bidi="zh-CN"/>
                    </w:rPr>
                    <w:t>m</w:t>
                  </w:r>
                  <w:r>
                    <w:rPr>
                      <w:color w:val="auto"/>
                      <w:szCs w:val="21"/>
                      <w:lang w:bidi="zh-CN"/>
                    </w:rPr>
                    <w:t>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43</w:t>
                  </w:r>
                </w:p>
              </w:tc>
              <w:tc>
                <w:tcPr>
                  <w:tcW w:w="1357" w:type="pct"/>
                  <w:vAlign w:val="center"/>
                </w:tcPr>
                <w:p>
                  <w:pPr>
                    <w:jc w:val="center"/>
                    <w:rPr>
                      <w:color w:val="auto"/>
                      <w:kern w:val="0"/>
                      <w:szCs w:val="21"/>
                    </w:rPr>
                  </w:pPr>
                  <w:r>
                    <w:rPr>
                      <w:color w:val="auto"/>
                      <w:kern w:val="0"/>
                      <w:szCs w:val="21"/>
                    </w:rPr>
                    <w:t>二苯并〔a,h〕蒽</w:t>
                  </w:r>
                </w:p>
              </w:tc>
              <w:tc>
                <w:tcPr>
                  <w:tcW w:w="684" w:type="pct"/>
                  <w:vAlign w:val="center"/>
                </w:tcPr>
                <w:p>
                  <w:pPr>
                    <w:jc w:val="center"/>
                    <w:rPr>
                      <w:color w:val="auto"/>
                      <w:kern w:val="0"/>
                      <w:szCs w:val="21"/>
                    </w:rPr>
                  </w:pPr>
                  <w:r>
                    <w:rPr>
                      <w:color w:val="auto"/>
                      <w:kern w:val="0"/>
                      <w:szCs w:val="21"/>
                    </w:rPr>
                    <w:t>1.5</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0.1L</w:t>
                  </w:r>
                </w:p>
              </w:tc>
              <w:tc>
                <w:tcPr>
                  <w:tcW w:w="833" w:type="pct"/>
                  <w:vAlign w:val="center"/>
                </w:tcPr>
                <w:p>
                  <w:pPr>
                    <w:jc w:val="center"/>
                    <w:rPr>
                      <w:color w:val="auto"/>
                      <w:kern w:val="0"/>
                      <w:szCs w:val="21"/>
                    </w:rPr>
                  </w:pPr>
                  <w:r>
                    <w:rPr>
                      <w:rFonts w:hint="eastAsia"/>
                      <w:color w:val="auto"/>
                      <w:szCs w:val="21"/>
                      <w:lang w:bidi="zh-CN"/>
                    </w:rPr>
                    <w:t>m</w:t>
                  </w:r>
                  <w:r>
                    <w:rPr>
                      <w:color w:val="auto"/>
                      <w:szCs w:val="21"/>
                      <w:lang w:bidi="zh-CN"/>
                    </w:rPr>
                    <w:t>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44</w:t>
                  </w:r>
                </w:p>
              </w:tc>
              <w:tc>
                <w:tcPr>
                  <w:tcW w:w="1357" w:type="pct"/>
                  <w:vAlign w:val="center"/>
                </w:tcPr>
                <w:p>
                  <w:pPr>
                    <w:jc w:val="center"/>
                    <w:rPr>
                      <w:color w:val="auto"/>
                      <w:kern w:val="0"/>
                      <w:szCs w:val="21"/>
                    </w:rPr>
                  </w:pPr>
                  <w:r>
                    <w:rPr>
                      <w:color w:val="auto"/>
                      <w:kern w:val="0"/>
                      <w:szCs w:val="21"/>
                    </w:rPr>
                    <w:t>茚并〔1,2,3-cd〕芘</w:t>
                  </w:r>
                </w:p>
              </w:tc>
              <w:tc>
                <w:tcPr>
                  <w:tcW w:w="684" w:type="pct"/>
                  <w:vAlign w:val="center"/>
                </w:tcPr>
                <w:p>
                  <w:pPr>
                    <w:jc w:val="center"/>
                    <w:rPr>
                      <w:color w:val="auto"/>
                      <w:kern w:val="0"/>
                      <w:szCs w:val="21"/>
                    </w:rPr>
                  </w:pPr>
                  <w:r>
                    <w:rPr>
                      <w:color w:val="auto"/>
                      <w:kern w:val="0"/>
                      <w:szCs w:val="21"/>
                    </w:rPr>
                    <w:t>15</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0.1L</w:t>
                  </w:r>
                </w:p>
              </w:tc>
              <w:tc>
                <w:tcPr>
                  <w:tcW w:w="833" w:type="pct"/>
                  <w:vAlign w:val="center"/>
                </w:tcPr>
                <w:p>
                  <w:pPr>
                    <w:jc w:val="center"/>
                    <w:rPr>
                      <w:color w:val="auto"/>
                      <w:kern w:val="0"/>
                      <w:szCs w:val="21"/>
                    </w:rPr>
                  </w:pPr>
                  <w:r>
                    <w:rPr>
                      <w:rFonts w:hint="eastAsia"/>
                      <w:color w:val="auto"/>
                      <w:szCs w:val="21"/>
                      <w:lang w:bidi="zh-CN"/>
                    </w:rPr>
                    <w:t>m</w:t>
                  </w:r>
                  <w:r>
                    <w:rPr>
                      <w:color w:val="auto"/>
                      <w:szCs w:val="21"/>
                      <w:lang w:bidi="zh-CN"/>
                    </w:rPr>
                    <w:t>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45</w:t>
                  </w:r>
                </w:p>
              </w:tc>
              <w:tc>
                <w:tcPr>
                  <w:tcW w:w="1357" w:type="pct"/>
                  <w:vAlign w:val="center"/>
                </w:tcPr>
                <w:p>
                  <w:pPr>
                    <w:jc w:val="center"/>
                    <w:rPr>
                      <w:color w:val="auto"/>
                      <w:kern w:val="0"/>
                      <w:szCs w:val="21"/>
                    </w:rPr>
                  </w:pPr>
                  <w:r>
                    <w:rPr>
                      <w:color w:val="auto"/>
                      <w:kern w:val="0"/>
                      <w:szCs w:val="21"/>
                    </w:rPr>
                    <w:t>萘</w:t>
                  </w:r>
                </w:p>
              </w:tc>
              <w:tc>
                <w:tcPr>
                  <w:tcW w:w="684" w:type="pct"/>
                  <w:vAlign w:val="center"/>
                </w:tcPr>
                <w:p>
                  <w:pPr>
                    <w:jc w:val="center"/>
                    <w:rPr>
                      <w:color w:val="auto"/>
                      <w:kern w:val="0"/>
                      <w:szCs w:val="21"/>
                    </w:rPr>
                  </w:pPr>
                  <w:r>
                    <w:rPr>
                      <w:color w:val="auto"/>
                      <w:kern w:val="0"/>
                      <w:szCs w:val="21"/>
                    </w:rPr>
                    <w:t>70</w:t>
                  </w:r>
                </w:p>
              </w:tc>
              <w:tc>
                <w:tcPr>
                  <w:tcW w:w="1752" w:type="pct"/>
                  <w:vAlign w:val="center"/>
                </w:tcPr>
                <w:p>
                  <w:pPr>
                    <w:jc w:val="center"/>
                    <w:rPr>
                      <w:color w:val="auto"/>
                      <w:kern w:val="0"/>
                      <w:szCs w:val="21"/>
                    </w:rPr>
                  </w:pPr>
                  <w:r>
                    <w:rPr>
                      <w:rFonts w:hint="eastAsia" w:ascii="Times New Roman" w:hAnsi="Times New Roman" w:eastAsia="宋体" w:cs="Times New Roman"/>
                      <w:color w:val="auto"/>
                      <w:kern w:val="2"/>
                      <w:sz w:val="21"/>
                      <w:szCs w:val="24"/>
                      <w:lang w:val="en-US" w:eastAsia="zh-CN" w:bidi="ar-SA"/>
                    </w:rPr>
                    <w:t>0.0004</w:t>
                  </w:r>
                  <w:r>
                    <w:rPr>
                      <w:rFonts w:hint="eastAsia" w:cs="Times New Roman"/>
                      <w:color w:val="auto"/>
                      <w:kern w:val="2"/>
                      <w:sz w:val="21"/>
                      <w:szCs w:val="24"/>
                      <w:lang w:val="en-US" w:eastAsia="zh-CN" w:bidi="ar-SA"/>
                    </w:rPr>
                    <w:t>L</w:t>
                  </w:r>
                </w:p>
              </w:tc>
              <w:tc>
                <w:tcPr>
                  <w:tcW w:w="833" w:type="pct"/>
                  <w:vAlign w:val="center"/>
                </w:tcPr>
                <w:p>
                  <w:pPr>
                    <w:jc w:val="center"/>
                    <w:rPr>
                      <w:color w:val="auto"/>
                      <w:kern w:val="0"/>
                      <w:szCs w:val="21"/>
                    </w:rPr>
                  </w:pPr>
                  <w:r>
                    <w:rPr>
                      <w:rFonts w:hint="eastAsia"/>
                      <w:color w:val="auto"/>
                      <w:szCs w:val="21"/>
                      <w:lang w:bidi="zh-CN"/>
                    </w:rPr>
                    <w:t>m</w:t>
                  </w:r>
                  <w:r>
                    <w:rPr>
                      <w:color w:val="auto"/>
                      <w:szCs w:val="21"/>
                      <w:lang w:bidi="zh-CN"/>
                    </w:rPr>
                    <w:t>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color w:val="auto"/>
                      <w:kern w:val="0"/>
                      <w:szCs w:val="21"/>
                    </w:rPr>
                    <w:t>46</w:t>
                  </w:r>
                </w:p>
              </w:tc>
              <w:tc>
                <w:tcPr>
                  <w:tcW w:w="1357" w:type="pct"/>
                  <w:vAlign w:val="center"/>
                </w:tcPr>
                <w:p>
                  <w:pPr>
                    <w:jc w:val="center"/>
                    <w:rPr>
                      <w:color w:val="auto"/>
                      <w:kern w:val="0"/>
                      <w:szCs w:val="21"/>
                    </w:rPr>
                  </w:pPr>
                  <w:r>
                    <w:rPr>
                      <w:color w:val="auto"/>
                      <w:kern w:val="0"/>
                      <w:szCs w:val="21"/>
                    </w:rPr>
                    <w:t>石油烃（C</w:t>
                  </w:r>
                  <w:r>
                    <w:rPr>
                      <w:color w:val="auto"/>
                      <w:kern w:val="0"/>
                      <w:szCs w:val="21"/>
                      <w:vertAlign w:val="subscript"/>
                    </w:rPr>
                    <w:t>10</w:t>
                  </w:r>
                  <w:r>
                    <w:rPr>
                      <w:color w:val="auto"/>
                      <w:kern w:val="0"/>
                      <w:szCs w:val="21"/>
                    </w:rPr>
                    <w:t>-C</w:t>
                  </w:r>
                  <w:r>
                    <w:rPr>
                      <w:color w:val="auto"/>
                      <w:kern w:val="0"/>
                      <w:szCs w:val="21"/>
                      <w:vertAlign w:val="subscript"/>
                    </w:rPr>
                    <w:t>40</w:t>
                  </w:r>
                  <w:r>
                    <w:rPr>
                      <w:color w:val="auto"/>
                      <w:kern w:val="0"/>
                      <w:szCs w:val="21"/>
                    </w:rPr>
                    <w:t>）</w:t>
                  </w:r>
                </w:p>
              </w:tc>
              <w:tc>
                <w:tcPr>
                  <w:tcW w:w="684" w:type="pct"/>
                  <w:vAlign w:val="center"/>
                </w:tcPr>
                <w:p>
                  <w:pPr>
                    <w:jc w:val="center"/>
                    <w:rPr>
                      <w:color w:val="auto"/>
                      <w:kern w:val="0"/>
                      <w:szCs w:val="21"/>
                    </w:rPr>
                  </w:pPr>
                  <w:r>
                    <w:rPr>
                      <w:color w:val="auto"/>
                      <w:kern w:val="0"/>
                      <w:szCs w:val="21"/>
                    </w:rPr>
                    <w:t>4500</w:t>
                  </w:r>
                </w:p>
              </w:tc>
              <w:tc>
                <w:tcPr>
                  <w:tcW w:w="1752" w:type="pct"/>
                  <w:vAlign w:val="center"/>
                </w:tcPr>
                <w:p>
                  <w:pPr>
                    <w:jc w:val="center"/>
                    <w:rPr>
                      <w:rFonts w:hint="default" w:eastAsia="宋体"/>
                      <w:color w:val="auto"/>
                      <w:kern w:val="0"/>
                      <w:szCs w:val="21"/>
                      <w:lang w:val="en-US" w:eastAsia="zh-CN"/>
                    </w:rPr>
                  </w:pPr>
                  <w:r>
                    <w:rPr>
                      <w:rFonts w:hint="eastAsia"/>
                      <w:color w:val="auto"/>
                      <w:kern w:val="0"/>
                      <w:szCs w:val="21"/>
                      <w:lang w:val="en-US" w:eastAsia="zh-CN"/>
                    </w:rPr>
                    <w:t>6L</w:t>
                  </w:r>
                </w:p>
              </w:tc>
              <w:tc>
                <w:tcPr>
                  <w:tcW w:w="833" w:type="pct"/>
                  <w:vAlign w:val="center"/>
                </w:tcPr>
                <w:p>
                  <w:pPr>
                    <w:jc w:val="center"/>
                    <w:rPr>
                      <w:color w:val="auto"/>
                      <w:kern w:val="0"/>
                      <w:szCs w:val="21"/>
                    </w:rPr>
                  </w:pPr>
                  <w:r>
                    <w:rPr>
                      <w:rFonts w:hint="eastAsia"/>
                      <w:color w:val="auto"/>
                      <w:szCs w:val="21"/>
                      <w:lang w:bidi="zh-CN"/>
                    </w:rPr>
                    <w:t>m</w:t>
                  </w:r>
                  <w:r>
                    <w:rPr>
                      <w:color w:val="auto"/>
                      <w:szCs w:val="21"/>
                      <w:lang w:bidi="zh-CN"/>
                    </w:rPr>
                    <w:t>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71" w:type="pct"/>
                  <w:vAlign w:val="center"/>
                </w:tcPr>
                <w:p>
                  <w:pPr>
                    <w:jc w:val="center"/>
                    <w:rPr>
                      <w:color w:val="auto"/>
                      <w:kern w:val="0"/>
                      <w:szCs w:val="21"/>
                    </w:rPr>
                  </w:pPr>
                  <w:r>
                    <w:rPr>
                      <w:rFonts w:hint="eastAsia"/>
                      <w:color w:val="auto"/>
                      <w:kern w:val="0"/>
                      <w:szCs w:val="21"/>
                    </w:rPr>
                    <w:t>4</w:t>
                  </w:r>
                  <w:r>
                    <w:rPr>
                      <w:color w:val="auto"/>
                      <w:kern w:val="0"/>
                      <w:szCs w:val="21"/>
                    </w:rPr>
                    <w:t>7</w:t>
                  </w:r>
                </w:p>
              </w:tc>
              <w:tc>
                <w:tcPr>
                  <w:tcW w:w="1357" w:type="pct"/>
                  <w:vAlign w:val="center"/>
                </w:tcPr>
                <w:p>
                  <w:pPr>
                    <w:jc w:val="center"/>
                    <w:rPr>
                      <w:color w:val="auto"/>
                      <w:kern w:val="0"/>
                      <w:szCs w:val="21"/>
                    </w:rPr>
                  </w:pPr>
                  <w:r>
                    <w:rPr>
                      <w:rFonts w:hint="eastAsia"/>
                      <w:color w:val="auto"/>
                      <w:kern w:val="0"/>
                      <w:szCs w:val="21"/>
                    </w:rPr>
                    <w:t>p</w:t>
                  </w:r>
                  <w:r>
                    <w:rPr>
                      <w:color w:val="auto"/>
                      <w:kern w:val="0"/>
                      <w:szCs w:val="21"/>
                    </w:rPr>
                    <w:t>H</w:t>
                  </w:r>
                </w:p>
              </w:tc>
              <w:tc>
                <w:tcPr>
                  <w:tcW w:w="684" w:type="pct"/>
                  <w:vAlign w:val="center"/>
                </w:tcPr>
                <w:p>
                  <w:pPr>
                    <w:jc w:val="center"/>
                    <w:rPr>
                      <w:color w:val="auto"/>
                      <w:kern w:val="0"/>
                      <w:szCs w:val="21"/>
                    </w:rPr>
                  </w:pPr>
                  <w:r>
                    <w:rPr>
                      <w:rFonts w:hint="eastAsia"/>
                      <w:color w:val="auto"/>
                      <w:kern w:val="0"/>
                      <w:szCs w:val="21"/>
                    </w:rPr>
                    <w:t>/</w:t>
                  </w:r>
                </w:p>
              </w:tc>
              <w:tc>
                <w:tcPr>
                  <w:tcW w:w="1752" w:type="pct"/>
                  <w:vAlign w:val="center"/>
                </w:tcPr>
                <w:p>
                  <w:pPr>
                    <w:jc w:val="center"/>
                    <w:rPr>
                      <w:rFonts w:hint="default" w:eastAsia="宋体"/>
                      <w:color w:val="auto"/>
                      <w:kern w:val="0"/>
                      <w:szCs w:val="21"/>
                      <w:lang w:val="en-US" w:eastAsia="zh-CN"/>
                    </w:rPr>
                  </w:pPr>
                  <w:r>
                    <w:rPr>
                      <w:rFonts w:hint="eastAsia"/>
                      <w:color w:val="auto"/>
                      <w:kern w:val="0"/>
                      <w:szCs w:val="21"/>
                      <w:lang w:val="en-US" w:eastAsia="zh-CN"/>
                    </w:rPr>
                    <w:t>7.14</w:t>
                  </w:r>
                </w:p>
              </w:tc>
              <w:tc>
                <w:tcPr>
                  <w:tcW w:w="833" w:type="pct"/>
                  <w:vAlign w:val="center"/>
                </w:tcPr>
                <w:p>
                  <w:pPr>
                    <w:jc w:val="center"/>
                    <w:rPr>
                      <w:color w:val="auto"/>
                      <w:szCs w:val="21"/>
                      <w:lang w:bidi="zh-CN"/>
                    </w:rPr>
                  </w:pPr>
                  <w:r>
                    <w:rPr>
                      <w:rFonts w:hint="eastAsia"/>
                      <w:color w:val="auto"/>
                      <w:szCs w:val="21"/>
                      <w:lang w:bidi="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000" w:type="pct"/>
                  <w:gridSpan w:val="5"/>
                  <w:vAlign w:val="center"/>
                </w:tcPr>
                <w:p>
                  <w:pPr>
                    <w:rPr>
                      <w:color w:val="auto"/>
                      <w:szCs w:val="21"/>
                      <w:lang w:bidi="zh-CN"/>
                    </w:rPr>
                  </w:pPr>
                  <w:r>
                    <w:rPr>
                      <w:rFonts w:hint="eastAsia"/>
                      <w:color w:val="auto"/>
                      <w:szCs w:val="21"/>
                      <w:lang w:bidi="zh-CN"/>
                    </w:rPr>
                    <w:t>备注：“</w:t>
                  </w:r>
                  <w:r>
                    <w:rPr>
                      <w:rFonts w:hint="eastAsia"/>
                      <w:color w:val="auto"/>
                      <w:szCs w:val="21"/>
                      <w:lang w:val="en-US" w:bidi="zh-CN"/>
                    </w:rPr>
                    <w:t>L</w:t>
                  </w:r>
                  <w:r>
                    <w:rPr>
                      <w:rFonts w:hint="eastAsia"/>
                      <w:color w:val="auto"/>
                      <w:szCs w:val="21"/>
                      <w:lang w:bidi="zh-CN"/>
                    </w:rPr>
                    <w:t>”表示低于检出限或未检出。</w:t>
                  </w:r>
                </w:p>
              </w:tc>
            </w:tr>
          </w:tbl>
          <w:p>
            <w:pPr>
              <w:pStyle w:val="43"/>
              <w:spacing w:before="120" w:beforeLines="50" w:line="240" w:lineRule="auto"/>
              <w:ind w:firstLine="422"/>
              <w:rPr>
                <w:b/>
                <w:bCs/>
                <w:color w:val="auto"/>
                <w:szCs w:val="21"/>
              </w:rPr>
            </w:pPr>
            <w:r>
              <w:rPr>
                <w:rFonts w:hint="eastAsia"/>
                <w:b/>
                <w:bCs/>
                <w:color w:val="auto"/>
                <w:szCs w:val="21"/>
              </w:rPr>
              <w:t>表3-5                   站场外土壤环境质量监测结果表</w:t>
            </w:r>
          </w:p>
          <w:tbl>
            <w:tblPr>
              <w:tblStyle w:val="1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2"/>
              <w:gridCol w:w="2130"/>
              <w:gridCol w:w="1094"/>
              <w:gridCol w:w="2791"/>
              <w:gridCol w:w="13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415" w:type="pct"/>
                  <w:gridSpan w:val="3"/>
                  <w:noWrap/>
                  <w:vAlign w:val="center"/>
                </w:tcPr>
                <w:p>
                  <w:pPr>
                    <w:jc w:val="center"/>
                    <w:rPr>
                      <w:color w:val="auto"/>
                      <w:kern w:val="0"/>
                      <w:szCs w:val="21"/>
                    </w:rPr>
                  </w:pPr>
                  <w:r>
                    <w:rPr>
                      <w:color w:val="auto"/>
                      <w:kern w:val="0"/>
                      <w:szCs w:val="21"/>
                    </w:rPr>
                    <w:t>监测时间</w:t>
                  </w:r>
                </w:p>
              </w:tc>
              <w:tc>
                <w:tcPr>
                  <w:tcW w:w="1752" w:type="pct"/>
                  <w:vAlign w:val="center"/>
                </w:tcPr>
                <w:p>
                  <w:pPr>
                    <w:jc w:val="center"/>
                    <w:rPr>
                      <w:rFonts w:hint="default" w:eastAsia="宋体"/>
                      <w:color w:val="auto"/>
                      <w:kern w:val="0"/>
                      <w:szCs w:val="21"/>
                      <w:lang w:val="en-US" w:eastAsia="zh-CN"/>
                    </w:rPr>
                  </w:pPr>
                  <w:r>
                    <w:rPr>
                      <w:color w:val="auto"/>
                      <w:szCs w:val="21"/>
                    </w:rPr>
                    <w:t>20</w:t>
                  </w:r>
                  <w:r>
                    <w:rPr>
                      <w:rFonts w:hint="eastAsia"/>
                      <w:color w:val="auto"/>
                      <w:szCs w:val="21"/>
                    </w:rPr>
                    <w:t>23.1</w:t>
                  </w:r>
                  <w:r>
                    <w:rPr>
                      <w:rFonts w:hint="eastAsia"/>
                      <w:color w:val="auto"/>
                      <w:szCs w:val="21"/>
                      <w:lang w:val="en-US" w:eastAsia="zh-CN"/>
                    </w:rPr>
                    <w:t>1.26</w:t>
                  </w:r>
                </w:p>
              </w:tc>
              <w:tc>
                <w:tcPr>
                  <w:tcW w:w="832" w:type="pct"/>
                  <w:vMerge w:val="restart"/>
                  <w:vAlign w:val="center"/>
                </w:tcPr>
                <w:p>
                  <w:pPr>
                    <w:jc w:val="center"/>
                    <w:rPr>
                      <w:color w:val="auto"/>
                      <w:kern w:val="0"/>
                      <w:szCs w:val="21"/>
                    </w:rPr>
                  </w:pPr>
                  <w:r>
                    <w:rPr>
                      <w:rFonts w:hint="eastAsia"/>
                      <w:color w:val="auto"/>
                      <w:kern w:val="0"/>
                      <w:szCs w:val="21"/>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trPr>
              <w:tc>
                <w:tcPr>
                  <w:tcW w:w="2415" w:type="pct"/>
                  <w:gridSpan w:val="3"/>
                  <w:noWrap/>
                  <w:vAlign w:val="center"/>
                </w:tcPr>
                <w:p>
                  <w:pPr>
                    <w:jc w:val="center"/>
                    <w:rPr>
                      <w:color w:val="auto"/>
                      <w:kern w:val="0"/>
                      <w:szCs w:val="21"/>
                    </w:rPr>
                  </w:pPr>
                  <w:r>
                    <w:rPr>
                      <w:color w:val="auto"/>
                      <w:kern w:val="0"/>
                      <w:szCs w:val="21"/>
                    </w:rPr>
                    <w:t>监测点位</w:t>
                  </w:r>
                </w:p>
              </w:tc>
              <w:tc>
                <w:tcPr>
                  <w:tcW w:w="1752" w:type="pct"/>
                  <w:vAlign w:val="center"/>
                </w:tcPr>
                <w:p>
                  <w:pPr>
                    <w:jc w:val="center"/>
                    <w:rPr>
                      <w:color w:val="auto"/>
                      <w:kern w:val="0"/>
                      <w:szCs w:val="21"/>
                    </w:rPr>
                  </w:pPr>
                  <w:r>
                    <w:rPr>
                      <w:rFonts w:hint="eastAsia"/>
                      <w:color w:val="auto"/>
                      <w:kern w:val="0"/>
                      <w:szCs w:val="21"/>
                    </w:rPr>
                    <w:t>杨18井场北侧</w:t>
                  </w:r>
                </w:p>
              </w:tc>
              <w:tc>
                <w:tcPr>
                  <w:tcW w:w="832" w:type="pct"/>
                  <w:vMerge w:val="continue"/>
                  <w:vAlign w:val="center"/>
                </w:tcPr>
                <w:p>
                  <w:pPr>
                    <w:jc w:val="center"/>
                    <w:rPr>
                      <w:color w:val="auto"/>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2415" w:type="pct"/>
                  <w:gridSpan w:val="3"/>
                  <w:noWrap/>
                  <w:vAlign w:val="center"/>
                </w:tcPr>
                <w:p>
                  <w:pPr>
                    <w:jc w:val="center"/>
                    <w:rPr>
                      <w:color w:val="auto"/>
                      <w:kern w:val="0"/>
                      <w:szCs w:val="21"/>
                    </w:rPr>
                  </w:pPr>
                  <w:r>
                    <w:rPr>
                      <w:color w:val="auto"/>
                      <w:kern w:val="0"/>
                      <w:szCs w:val="21"/>
                    </w:rPr>
                    <w:t>采样深度/m</w:t>
                  </w:r>
                </w:p>
              </w:tc>
              <w:tc>
                <w:tcPr>
                  <w:tcW w:w="1752" w:type="pct"/>
                  <w:vAlign w:val="center"/>
                </w:tcPr>
                <w:p>
                  <w:pPr>
                    <w:jc w:val="center"/>
                    <w:rPr>
                      <w:color w:val="auto"/>
                      <w:kern w:val="0"/>
                      <w:szCs w:val="21"/>
                    </w:rPr>
                  </w:pPr>
                  <w:r>
                    <w:rPr>
                      <w:rFonts w:hint="eastAsia"/>
                      <w:color w:val="auto"/>
                      <w:kern w:val="0"/>
                      <w:szCs w:val="21"/>
                    </w:rPr>
                    <w:t>0</w:t>
                  </w:r>
                  <w:r>
                    <w:rPr>
                      <w:rFonts w:hint="eastAsia" w:ascii="宋体" w:hAnsi="宋体" w:cs="宋体"/>
                      <w:color w:val="auto"/>
                      <w:kern w:val="0"/>
                      <w:szCs w:val="21"/>
                    </w:rPr>
                    <w:t>～</w:t>
                  </w:r>
                  <w:r>
                    <w:rPr>
                      <w:color w:val="auto"/>
                      <w:kern w:val="0"/>
                      <w:szCs w:val="21"/>
                    </w:rPr>
                    <w:t>0.2m</w:t>
                  </w:r>
                </w:p>
              </w:tc>
              <w:tc>
                <w:tcPr>
                  <w:tcW w:w="832" w:type="pct"/>
                  <w:vMerge w:val="continue"/>
                  <w:vAlign w:val="center"/>
                </w:tcPr>
                <w:p>
                  <w:pPr>
                    <w:jc w:val="center"/>
                    <w:rPr>
                      <w:color w:val="auto"/>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91" w:type="pct"/>
                  <w:vAlign w:val="center"/>
                </w:tcPr>
                <w:p>
                  <w:pPr>
                    <w:jc w:val="center"/>
                    <w:rPr>
                      <w:color w:val="auto"/>
                      <w:kern w:val="0"/>
                      <w:szCs w:val="21"/>
                    </w:rPr>
                  </w:pPr>
                  <w:r>
                    <w:rPr>
                      <w:color w:val="auto"/>
                      <w:kern w:val="0"/>
                      <w:szCs w:val="21"/>
                    </w:rPr>
                    <w:t>序号</w:t>
                  </w:r>
                </w:p>
              </w:tc>
              <w:tc>
                <w:tcPr>
                  <w:tcW w:w="1337" w:type="pct"/>
                  <w:vAlign w:val="center"/>
                </w:tcPr>
                <w:p>
                  <w:pPr>
                    <w:jc w:val="center"/>
                    <w:rPr>
                      <w:color w:val="auto"/>
                      <w:kern w:val="0"/>
                      <w:szCs w:val="21"/>
                    </w:rPr>
                  </w:pPr>
                  <w:r>
                    <w:rPr>
                      <w:color w:val="auto"/>
                      <w:kern w:val="0"/>
                      <w:szCs w:val="21"/>
                    </w:rPr>
                    <w:t>项目</w:t>
                  </w:r>
                </w:p>
              </w:tc>
              <w:tc>
                <w:tcPr>
                  <w:tcW w:w="685" w:type="pct"/>
                  <w:vAlign w:val="center"/>
                </w:tcPr>
                <w:p>
                  <w:pPr>
                    <w:jc w:val="center"/>
                    <w:rPr>
                      <w:color w:val="auto"/>
                      <w:kern w:val="0"/>
                      <w:szCs w:val="21"/>
                    </w:rPr>
                  </w:pPr>
                  <w:r>
                    <w:rPr>
                      <w:color w:val="auto"/>
                      <w:kern w:val="0"/>
                      <w:szCs w:val="21"/>
                    </w:rPr>
                    <w:t>标准限值</w:t>
                  </w:r>
                </w:p>
              </w:tc>
              <w:tc>
                <w:tcPr>
                  <w:tcW w:w="1752" w:type="pct"/>
                  <w:vAlign w:val="center"/>
                </w:tcPr>
                <w:p>
                  <w:pPr>
                    <w:jc w:val="center"/>
                    <w:rPr>
                      <w:color w:val="auto"/>
                      <w:kern w:val="0"/>
                      <w:szCs w:val="21"/>
                    </w:rPr>
                  </w:pPr>
                  <w:r>
                    <w:rPr>
                      <w:rFonts w:hint="eastAsia"/>
                      <w:color w:val="auto"/>
                      <w:kern w:val="0"/>
                      <w:szCs w:val="21"/>
                    </w:rPr>
                    <w:t>检测结果</w:t>
                  </w:r>
                </w:p>
              </w:tc>
              <w:tc>
                <w:tcPr>
                  <w:tcW w:w="832" w:type="pct"/>
                  <w:vMerge w:val="continue"/>
                  <w:vAlign w:val="center"/>
                </w:tcPr>
                <w:p>
                  <w:pPr>
                    <w:jc w:val="center"/>
                    <w:rPr>
                      <w:color w:val="auto"/>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91" w:type="pct"/>
                  <w:vAlign w:val="center"/>
                </w:tcPr>
                <w:p>
                  <w:pPr>
                    <w:jc w:val="center"/>
                    <w:rPr>
                      <w:color w:val="auto"/>
                      <w:kern w:val="0"/>
                      <w:szCs w:val="21"/>
                    </w:rPr>
                  </w:pPr>
                  <w:r>
                    <w:rPr>
                      <w:rFonts w:hint="eastAsia"/>
                      <w:color w:val="auto"/>
                      <w:kern w:val="0"/>
                      <w:szCs w:val="21"/>
                    </w:rPr>
                    <w:t>1</w:t>
                  </w:r>
                </w:p>
              </w:tc>
              <w:tc>
                <w:tcPr>
                  <w:tcW w:w="1337" w:type="pct"/>
                  <w:vAlign w:val="center"/>
                </w:tcPr>
                <w:p>
                  <w:pPr>
                    <w:jc w:val="center"/>
                    <w:rPr>
                      <w:color w:val="auto"/>
                      <w:kern w:val="0"/>
                      <w:szCs w:val="21"/>
                    </w:rPr>
                  </w:pPr>
                  <w:r>
                    <w:rPr>
                      <w:color w:val="auto"/>
                      <w:kern w:val="0"/>
                      <w:szCs w:val="21"/>
                    </w:rPr>
                    <w:t>石油烃（C</w:t>
                  </w:r>
                  <w:r>
                    <w:rPr>
                      <w:color w:val="auto"/>
                      <w:kern w:val="0"/>
                      <w:szCs w:val="21"/>
                      <w:vertAlign w:val="subscript"/>
                    </w:rPr>
                    <w:t>10</w:t>
                  </w:r>
                  <w:r>
                    <w:rPr>
                      <w:color w:val="auto"/>
                      <w:kern w:val="0"/>
                      <w:szCs w:val="21"/>
                    </w:rPr>
                    <w:t>-C</w:t>
                  </w:r>
                  <w:r>
                    <w:rPr>
                      <w:color w:val="auto"/>
                      <w:kern w:val="0"/>
                      <w:szCs w:val="21"/>
                      <w:vertAlign w:val="subscript"/>
                    </w:rPr>
                    <w:t>40</w:t>
                  </w:r>
                  <w:r>
                    <w:rPr>
                      <w:color w:val="auto"/>
                      <w:kern w:val="0"/>
                      <w:szCs w:val="21"/>
                    </w:rPr>
                    <w:t>）</w:t>
                  </w:r>
                </w:p>
              </w:tc>
              <w:tc>
                <w:tcPr>
                  <w:tcW w:w="685" w:type="pct"/>
                  <w:vAlign w:val="center"/>
                </w:tcPr>
                <w:p>
                  <w:pPr>
                    <w:jc w:val="center"/>
                    <w:rPr>
                      <w:color w:val="auto"/>
                      <w:kern w:val="0"/>
                      <w:szCs w:val="21"/>
                    </w:rPr>
                  </w:pPr>
                  <w:r>
                    <w:rPr>
                      <w:color w:val="auto"/>
                      <w:kern w:val="0"/>
                      <w:szCs w:val="21"/>
                    </w:rPr>
                    <w:t>4500</w:t>
                  </w:r>
                </w:p>
              </w:tc>
              <w:tc>
                <w:tcPr>
                  <w:tcW w:w="1752" w:type="pct"/>
                  <w:vAlign w:val="center"/>
                </w:tcPr>
                <w:p>
                  <w:pPr>
                    <w:jc w:val="center"/>
                    <w:rPr>
                      <w:color w:val="auto"/>
                      <w:kern w:val="0"/>
                      <w:szCs w:val="21"/>
                    </w:rPr>
                  </w:pPr>
                  <w:r>
                    <w:rPr>
                      <w:rFonts w:hint="eastAsia" w:cs="Times New Roman"/>
                      <w:color w:val="auto"/>
                      <w:kern w:val="2"/>
                      <w:sz w:val="21"/>
                      <w:szCs w:val="24"/>
                      <w:highlight w:val="none"/>
                      <w:lang w:val="en-US" w:eastAsia="zh-CN" w:bidi="ar-SA"/>
                    </w:rPr>
                    <w:t>6L</w:t>
                  </w:r>
                </w:p>
              </w:tc>
              <w:tc>
                <w:tcPr>
                  <w:tcW w:w="832" w:type="pct"/>
                  <w:vAlign w:val="center"/>
                </w:tcPr>
                <w:p>
                  <w:pPr>
                    <w:jc w:val="center"/>
                    <w:rPr>
                      <w:color w:val="auto"/>
                      <w:kern w:val="0"/>
                      <w:szCs w:val="21"/>
                    </w:rPr>
                  </w:pPr>
                  <w:r>
                    <w:rPr>
                      <w:rFonts w:hint="eastAsia"/>
                      <w:color w:val="auto"/>
                      <w:szCs w:val="21"/>
                      <w:lang w:bidi="zh-CN"/>
                    </w:rPr>
                    <w:t>m</w:t>
                  </w:r>
                  <w:r>
                    <w:rPr>
                      <w:color w:val="auto"/>
                      <w:szCs w:val="21"/>
                      <w:lang w:bidi="zh-CN"/>
                    </w:rPr>
                    <w:t>g/kg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91" w:type="pct"/>
                  <w:vAlign w:val="center"/>
                </w:tcPr>
                <w:p>
                  <w:pPr>
                    <w:jc w:val="center"/>
                    <w:rPr>
                      <w:color w:val="auto"/>
                      <w:kern w:val="0"/>
                      <w:szCs w:val="21"/>
                    </w:rPr>
                  </w:pPr>
                  <w:r>
                    <w:rPr>
                      <w:rFonts w:hint="eastAsia"/>
                      <w:color w:val="auto"/>
                      <w:kern w:val="0"/>
                      <w:szCs w:val="21"/>
                    </w:rPr>
                    <w:t>2</w:t>
                  </w:r>
                </w:p>
              </w:tc>
              <w:tc>
                <w:tcPr>
                  <w:tcW w:w="1337" w:type="pct"/>
                  <w:vAlign w:val="center"/>
                </w:tcPr>
                <w:p>
                  <w:pPr>
                    <w:jc w:val="center"/>
                    <w:rPr>
                      <w:color w:val="auto"/>
                      <w:kern w:val="0"/>
                      <w:szCs w:val="21"/>
                    </w:rPr>
                  </w:pPr>
                  <w:r>
                    <w:rPr>
                      <w:rFonts w:hint="eastAsia"/>
                      <w:color w:val="auto"/>
                      <w:kern w:val="0"/>
                      <w:szCs w:val="21"/>
                    </w:rPr>
                    <w:t>p</w:t>
                  </w:r>
                  <w:r>
                    <w:rPr>
                      <w:color w:val="auto"/>
                      <w:kern w:val="0"/>
                      <w:szCs w:val="21"/>
                    </w:rPr>
                    <w:t>H</w:t>
                  </w:r>
                </w:p>
              </w:tc>
              <w:tc>
                <w:tcPr>
                  <w:tcW w:w="685" w:type="pct"/>
                  <w:vAlign w:val="center"/>
                </w:tcPr>
                <w:p>
                  <w:pPr>
                    <w:jc w:val="center"/>
                    <w:rPr>
                      <w:color w:val="auto"/>
                      <w:kern w:val="0"/>
                      <w:szCs w:val="21"/>
                    </w:rPr>
                  </w:pPr>
                  <w:r>
                    <w:rPr>
                      <w:rFonts w:hint="eastAsia"/>
                      <w:color w:val="auto"/>
                      <w:kern w:val="0"/>
                      <w:szCs w:val="21"/>
                    </w:rPr>
                    <w:t>/</w:t>
                  </w:r>
                </w:p>
              </w:tc>
              <w:tc>
                <w:tcPr>
                  <w:tcW w:w="1752" w:type="pct"/>
                  <w:vAlign w:val="center"/>
                </w:tcPr>
                <w:p>
                  <w:pPr>
                    <w:jc w:val="center"/>
                    <w:rPr>
                      <w:rFonts w:hint="default" w:eastAsia="宋体"/>
                      <w:color w:val="auto"/>
                      <w:kern w:val="0"/>
                      <w:szCs w:val="21"/>
                      <w:lang w:val="en-US" w:eastAsia="zh-CN"/>
                    </w:rPr>
                  </w:pPr>
                  <w:r>
                    <w:rPr>
                      <w:rFonts w:hint="eastAsia"/>
                      <w:color w:val="auto"/>
                      <w:kern w:val="0"/>
                      <w:szCs w:val="21"/>
                      <w:lang w:val="en-US" w:eastAsia="zh-CN"/>
                    </w:rPr>
                    <w:t>6.87</w:t>
                  </w:r>
                </w:p>
              </w:tc>
              <w:tc>
                <w:tcPr>
                  <w:tcW w:w="832" w:type="pct"/>
                  <w:vAlign w:val="center"/>
                </w:tcPr>
                <w:p>
                  <w:pPr>
                    <w:jc w:val="center"/>
                    <w:rPr>
                      <w:color w:val="auto"/>
                      <w:szCs w:val="21"/>
                      <w:lang w:bidi="zh-CN"/>
                    </w:rPr>
                  </w:pPr>
                  <w:r>
                    <w:rPr>
                      <w:rFonts w:hint="eastAsia"/>
                      <w:color w:val="auto"/>
                      <w:szCs w:val="21"/>
                      <w:lang w:bidi="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000" w:type="pct"/>
                  <w:gridSpan w:val="5"/>
                  <w:vAlign w:val="center"/>
                </w:tcPr>
                <w:p>
                  <w:pPr>
                    <w:rPr>
                      <w:color w:val="auto"/>
                      <w:szCs w:val="21"/>
                      <w:lang w:bidi="zh-CN"/>
                    </w:rPr>
                  </w:pPr>
                  <w:r>
                    <w:rPr>
                      <w:rFonts w:hint="eastAsia"/>
                      <w:color w:val="auto"/>
                      <w:szCs w:val="21"/>
                      <w:lang w:bidi="zh-CN"/>
                    </w:rPr>
                    <w:t>备注：“</w:t>
                  </w:r>
                  <w:r>
                    <w:rPr>
                      <w:rFonts w:hint="eastAsia"/>
                      <w:color w:val="auto"/>
                      <w:szCs w:val="21"/>
                      <w:lang w:val="en-US" w:bidi="zh-CN"/>
                    </w:rPr>
                    <w:t>L</w:t>
                  </w:r>
                  <w:r>
                    <w:rPr>
                      <w:rFonts w:hint="eastAsia"/>
                      <w:color w:val="auto"/>
                      <w:szCs w:val="21"/>
                      <w:lang w:bidi="zh-CN"/>
                    </w:rPr>
                    <w:t>”表示低于检出限或未检出。</w:t>
                  </w:r>
                </w:p>
              </w:tc>
            </w:tr>
          </w:tbl>
          <w:p>
            <w:pPr>
              <w:pStyle w:val="18"/>
              <w:keepNext w:val="0"/>
              <w:keepLines w:val="0"/>
              <w:pageBreakBefore w:val="0"/>
              <w:widowControl w:val="0"/>
              <w:kinsoku/>
              <w:wordWrap/>
              <w:overflowPunct/>
              <w:topLinePunct w:val="0"/>
              <w:autoSpaceDE/>
              <w:autoSpaceDN/>
              <w:bidi w:val="0"/>
              <w:adjustRightInd/>
              <w:snapToGrid/>
              <w:spacing w:before="157" w:beforeLines="50" w:after="0" w:line="360" w:lineRule="auto"/>
              <w:ind w:left="0" w:leftChars="0" w:firstLine="480"/>
              <w:textAlignment w:val="auto"/>
              <w:rPr>
                <w:color w:val="auto"/>
              </w:rPr>
            </w:pPr>
            <w:r>
              <w:rPr>
                <w:rFonts w:hint="eastAsia"/>
                <w:color w:val="auto"/>
              </w:rPr>
              <w:t>由表3-4、3-5可知：评价区井场内土壤环境质量符合《土壤环境质量标准 建设用地土壤污染风险管控标准（试行）》(GB36600－2018)中第二类建设用地土壤污染风险筛选值标准；站场外土壤环境质量符合《土壤环境质量 农用地土壤污染风险管控标准（试行）》相应</w:t>
            </w:r>
            <w:r>
              <w:rPr>
                <w:color w:val="auto"/>
              </w:rPr>
              <w:t>标准要求</w:t>
            </w:r>
            <w:r>
              <w:rPr>
                <w:rFonts w:hint="eastAsia"/>
                <w:color w:val="auto"/>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64" w:hRule="atLeast"/>
          <w:jc w:val="center"/>
        </w:trPr>
        <w:tc>
          <w:tcPr>
            <w:tcW w:w="800" w:type="dxa"/>
            <w:vAlign w:val="center"/>
          </w:tcPr>
          <w:p>
            <w:pPr>
              <w:adjustRightInd w:val="0"/>
              <w:snapToGrid w:val="0"/>
              <w:jc w:val="center"/>
              <w:rPr>
                <w:rFonts w:ascii="宋体" w:hAnsi="宋体" w:cs="宋体"/>
                <w:color w:val="auto"/>
                <w:kern w:val="0"/>
                <w:szCs w:val="21"/>
              </w:rPr>
            </w:pPr>
            <w:r>
              <w:rPr>
                <w:rFonts w:hint="eastAsia" w:ascii="宋体" w:hAnsi="宋体" w:cs="宋体"/>
                <w:color w:val="auto"/>
                <w:kern w:val="0"/>
                <w:szCs w:val="21"/>
              </w:rPr>
              <w:t>环境</w:t>
            </w:r>
          </w:p>
          <w:p>
            <w:pPr>
              <w:adjustRightInd w:val="0"/>
              <w:snapToGrid w:val="0"/>
              <w:jc w:val="center"/>
              <w:rPr>
                <w:rFonts w:ascii="宋体" w:hAnsi="宋体" w:cs="宋体"/>
                <w:color w:val="auto"/>
                <w:kern w:val="0"/>
                <w:szCs w:val="21"/>
              </w:rPr>
            </w:pPr>
            <w:r>
              <w:rPr>
                <w:rFonts w:hint="eastAsia" w:ascii="宋体" w:hAnsi="宋体" w:cs="宋体"/>
                <w:color w:val="auto"/>
                <w:kern w:val="0"/>
                <w:szCs w:val="21"/>
              </w:rPr>
              <w:t>保护</w:t>
            </w:r>
          </w:p>
          <w:p>
            <w:pPr>
              <w:adjustRightInd w:val="0"/>
              <w:snapToGrid w:val="0"/>
              <w:jc w:val="center"/>
              <w:rPr>
                <w:rFonts w:ascii="宋体" w:hAnsi="宋体" w:cs="宋体"/>
                <w:color w:val="auto"/>
                <w:kern w:val="0"/>
                <w:szCs w:val="21"/>
              </w:rPr>
            </w:pPr>
            <w:r>
              <w:rPr>
                <w:rFonts w:hint="eastAsia" w:ascii="宋体" w:hAnsi="宋体" w:cs="宋体"/>
                <w:color w:val="auto"/>
                <w:kern w:val="0"/>
                <w:szCs w:val="21"/>
              </w:rPr>
              <w:t>目标</w:t>
            </w:r>
          </w:p>
        </w:tc>
        <w:tc>
          <w:tcPr>
            <w:tcW w:w="8190" w:type="dxa"/>
            <w:vAlign w:val="center"/>
          </w:tcPr>
          <w:p>
            <w:pPr>
              <w:spacing w:before="120" w:beforeLines="50" w:line="360" w:lineRule="auto"/>
              <w:ind w:firstLine="360" w:firstLineChars="150"/>
              <w:rPr>
                <w:color w:val="auto"/>
                <w:sz w:val="24"/>
                <w:szCs w:val="32"/>
              </w:rPr>
            </w:pPr>
            <w:r>
              <w:rPr>
                <w:rFonts w:hint="eastAsia"/>
                <w:color w:val="auto"/>
                <w:sz w:val="24"/>
                <w:szCs w:val="32"/>
              </w:rPr>
              <w:t>本项目评价范围内环境敏感保护目标分布情况见表3-6。</w:t>
            </w:r>
          </w:p>
          <w:p>
            <w:pPr>
              <w:ind w:firstLine="422" w:firstLineChars="200"/>
              <w:rPr>
                <w:b/>
                <w:bCs/>
                <w:color w:val="auto"/>
              </w:rPr>
            </w:pPr>
            <w:r>
              <w:rPr>
                <w:rFonts w:hint="eastAsia"/>
                <w:b/>
                <w:bCs/>
                <w:color w:val="auto"/>
              </w:rPr>
              <w:t>表3-6                       主要环境保护目标表</w:t>
            </w:r>
          </w:p>
          <w:tbl>
            <w:tblPr>
              <w:tblStyle w:val="19"/>
              <w:tblW w:w="80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1"/>
              <w:gridCol w:w="69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2" w:hRule="atLeast"/>
                <w:jc w:val="center"/>
              </w:trPr>
              <w:tc>
                <w:tcPr>
                  <w:tcW w:w="1081" w:type="dxa"/>
                  <w:vAlign w:val="center"/>
                </w:tcPr>
                <w:p>
                  <w:pPr>
                    <w:pStyle w:val="43"/>
                    <w:spacing w:line="240" w:lineRule="auto"/>
                    <w:ind w:firstLine="0" w:firstLineChars="0"/>
                    <w:jc w:val="center"/>
                    <w:rPr>
                      <w:color w:val="auto"/>
                      <w:szCs w:val="21"/>
                    </w:rPr>
                  </w:pPr>
                  <w:r>
                    <w:rPr>
                      <w:rFonts w:hint="eastAsia"/>
                      <w:color w:val="auto"/>
                      <w:szCs w:val="21"/>
                    </w:rPr>
                    <w:t>环境要素</w:t>
                  </w:r>
                </w:p>
              </w:tc>
              <w:tc>
                <w:tcPr>
                  <w:tcW w:w="6998" w:type="dxa"/>
                  <w:vAlign w:val="center"/>
                </w:tcPr>
                <w:p>
                  <w:pPr>
                    <w:pStyle w:val="43"/>
                    <w:spacing w:line="240" w:lineRule="auto"/>
                    <w:ind w:firstLine="0" w:firstLineChars="0"/>
                    <w:jc w:val="center"/>
                    <w:rPr>
                      <w:color w:val="auto"/>
                      <w:szCs w:val="21"/>
                    </w:rPr>
                  </w:pPr>
                  <w:r>
                    <w:rPr>
                      <w:rFonts w:hint="eastAsia"/>
                      <w:color w:val="auto"/>
                      <w:szCs w:val="21"/>
                    </w:rPr>
                    <w:t>环境保护目标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jc w:val="center"/>
              </w:trPr>
              <w:tc>
                <w:tcPr>
                  <w:tcW w:w="1081" w:type="dxa"/>
                  <w:vAlign w:val="center"/>
                </w:tcPr>
                <w:p>
                  <w:pPr>
                    <w:pStyle w:val="43"/>
                    <w:spacing w:line="240" w:lineRule="auto"/>
                    <w:ind w:firstLine="0" w:firstLineChars="0"/>
                    <w:jc w:val="center"/>
                    <w:rPr>
                      <w:color w:val="auto"/>
                      <w:szCs w:val="21"/>
                    </w:rPr>
                  </w:pPr>
                  <w:r>
                    <w:rPr>
                      <w:rFonts w:hint="eastAsia"/>
                      <w:color w:val="auto"/>
                      <w:szCs w:val="21"/>
                    </w:rPr>
                    <w:t>大气环境</w:t>
                  </w:r>
                </w:p>
              </w:tc>
              <w:tc>
                <w:tcPr>
                  <w:tcW w:w="6998" w:type="dxa"/>
                  <w:vAlign w:val="center"/>
                </w:tcPr>
                <w:p>
                  <w:pPr>
                    <w:pStyle w:val="43"/>
                    <w:spacing w:line="240" w:lineRule="auto"/>
                    <w:ind w:firstLine="0" w:firstLineChars="0"/>
                    <w:rPr>
                      <w:color w:val="auto"/>
                      <w:szCs w:val="21"/>
                    </w:rPr>
                  </w:pPr>
                  <w:r>
                    <w:rPr>
                      <w:rFonts w:hint="eastAsia"/>
                      <w:color w:val="auto"/>
                      <w:szCs w:val="21"/>
                    </w:rPr>
                    <w:t>本项目厂界外500米范围内无自然保护区、风景名胜区、居住区、文化区和农村地区中人群较集中的区域等保护目标。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jc w:val="center"/>
              </w:trPr>
              <w:tc>
                <w:tcPr>
                  <w:tcW w:w="1081" w:type="dxa"/>
                  <w:vAlign w:val="center"/>
                </w:tcPr>
                <w:p>
                  <w:pPr>
                    <w:pStyle w:val="43"/>
                    <w:spacing w:line="240" w:lineRule="auto"/>
                    <w:ind w:firstLine="0" w:firstLineChars="0"/>
                    <w:jc w:val="center"/>
                    <w:rPr>
                      <w:color w:val="auto"/>
                      <w:szCs w:val="21"/>
                    </w:rPr>
                  </w:pPr>
                  <w:r>
                    <w:rPr>
                      <w:rFonts w:hint="eastAsia"/>
                      <w:color w:val="auto"/>
                      <w:szCs w:val="21"/>
                    </w:rPr>
                    <w:t>声环境</w:t>
                  </w:r>
                </w:p>
              </w:tc>
              <w:tc>
                <w:tcPr>
                  <w:tcW w:w="6998" w:type="dxa"/>
                  <w:vAlign w:val="center"/>
                </w:tcPr>
                <w:p>
                  <w:pPr>
                    <w:pStyle w:val="43"/>
                    <w:spacing w:line="240" w:lineRule="auto"/>
                    <w:ind w:firstLine="0" w:firstLineChars="0"/>
                    <w:rPr>
                      <w:rFonts w:hint="eastAsia" w:eastAsia="宋体"/>
                      <w:color w:val="auto"/>
                      <w:szCs w:val="21"/>
                      <w:lang w:eastAsia="zh-CN"/>
                    </w:rPr>
                  </w:pPr>
                  <w:r>
                    <w:rPr>
                      <w:rFonts w:hint="eastAsia"/>
                      <w:color w:val="auto"/>
                      <w:szCs w:val="21"/>
                    </w:rPr>
                    <w:t>本项目厂界外50米范围内无居民等声环境保护目标</w:t>
                  </w:r>
                  <w:r>
                    <w:rPr>
                      <w:rFonts w:hint="eastAsia"/>
                      <w:color w:val="auto"/>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1081" w:type="dxa"/>
                  <w:vAlign w:val="center"/>
                </w:tcPr>
                <w:p>
                  <w:pPr>
                    <w:pStyle w:val="43"/>
                    <w:spacing w:line="240" w:lineRule="auto"/>
                    <w:ind w:firstLine="0" w:firstLineChars="0"/>
                    <w:jc w:val="center"/>
                    <w:rPr>
                      <w:color w:val="auto"/>
                      <w:szCs w:val="21"/>
                    </w:rPr>
                  </w:pPr>
                  <w:r>
                    <w:rPr>
                      <w:rFonts w:hint="eastAsia"/>
                      <w:color w:val="auto"/>
                      <w:szCs w:val="21"/>
                    </w:rPr>
                    <w:t>地下水</w:t>
                  </w:r>
                </w:p>
              </w:tc>
              <w:tc>
                <w:tcPr>
                  <w:tcW w:w="6998" w:type="dxa"/>
                  <w:vAlign w:val="center"/>
                </w:tcPr>
                <w:p>
                  <w:pPr>
                    <w:pStyle w:val="43"/>
                    <w:spacing w:line="240" w:lineRule="auto"/>
                    <w:ind w:firstLine="0" w:firstLineChars="0"/>
                    <w:rPr>
                      <w:color w:val="auto"/>
                      <w:szCs w:val="21"/>
                    </w:rPr>
                  </w:pPr>
                  <w:r>
                    <w:rPr>
                      <w:rFonts w:hint="eastAsia"/>
                      <w:color w:val="auto"/>
                      <w:szCs w:val="21"/>
                    </w:rPr>
                    <w:t>本项目厂界外500米范围内地下水集中式饮用水水源、无热水、无矿泉水、无温泉等特殊地下水资源等保护目标。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081" w:type="dxa"/>
                  <w:vAlign w:val="center"/>
                </w:tcPr>
                <w:p>
                  <w:pPr>
                    <w:pStyle w:val="43"/>
                    <w:spacing w:line="240" w:lineRule="auto"/>
                    <w:ind w:firstLine="0" w:firstLineChars="0"/>
                    <w:jc w:val="center"/>
                    <w:rPr>
                      <w:color w:val="auto"/>
                      <w:szCs w:val="21"/>
                    </w:rPr>
                  </w:pPr>
                  <w:r>
                    <w:rPr>
                      <w:rFonts w:hint="eastAsia"/>
                      <w:color w:val="auto"/>
                      <w:szCs w:val="21"/>
                    </w:rPr>
                    <w:t>生态</w:t>
                  </w:r>
                </w:p>
              </w:tc>
              <w:tc>
                <w:tcPr>
                  <w:tcW w:w="6998" w:type="dxa"/>
                  <w:vAlign w:val="center"/>
                </w:tcPr>
                <w:p>
                  <w:pPr>
                    <w:pStyle w:val="43"/>
                    <w:spacing w:line="240" w:lineRule="auto"/>
                    <w:ind w:firstLine="0" w:firstLineChars="0"/>
                    <w:rPr>
                      <w:color w:val="auto"/>
                      <w:szCs w:val="21"/>
                    </w:rPr>
                  </w:pPr>
                  <w:r>
                    <w:rPr>
                      <w:rFonts w:hint="eastAsia"/>
                      <w:color w:val="auto"/>
                    </w:rPr>
                    <w:t>本项目位于站址范围内，不新增占地。</w:t>
                  </w:r>
                </w:p>
              </w:tc>
            </w:tr>
          </w:tbl>
          <w:p>
            <w:pPr>
              <w:adjustRightInd w:val="0"/>
              <w:snapToGrid w:val="0"/>
              <w:jc w:val="center"/>
              <w:rPr>
                <w:rFonts w:ascii="宋体" w:hAnsi="宋体" w:cs="宋体"/>
                <w:color w:val="auto"/>
                <w:kern w:val="0"/>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094" w:hRule="atLeast"/>
          <w:jc w:val="center"/>
        </w:trPr>
        <w:tc>
          <w:tcPr>
            <w:tcW w:w="800" w:type="dxa"/>
            <w:tcMar>
              <w:left w:w="28" w:type="dxa"/>
              <w:right w:w="28" w:type="dxa"/>
            </w:tcMar>
            <w:vAlign w:val="center"/>
          </w:tcPr>
          <w:p>
            <w:pPr>
              <w:adjustRightInd w:val="0"/>
              <w:snapToGrid w:val="0"/>
              <w:jc w:val="center"/>
              <w:rPr>
                <w:rFonts w:ascii="宋体" w:hAnsi="宋体" w:cs="宋体"/>
                <w:color w:val="auto"/>
                <w:kern w:val="0"/>
                <w:szCs w:val="21"/>
              </w:rPr>
            </w:pPr>
            <w:r>
              <w:rPr>
                <w:rFonts w:hint="eastAsia" w:ascii="宋体" w:hAnsi="宋体" w:cs="宋体"/>
                <w:color w:val="auto"/>
                <w:kern w:val="0"/>
                <w:szCs w:val="21"/>
              </w:rPr>
              <w:t>污染</w:t>
            </w:r>
          </w:p>
          <w:p>
            <w:pPr>
              <w:adjustRightInd w:val="0"/>
              <w:snapToGrid w:val="0"/>
              <w:jc w:val="center"/>
              <w:rPr>
                <w:rFonts w:ascii="宋体" w:hAnsi="宋体" w:cs="宋体"/>
                <w:color w:val="auto"/>
                <w:kern w:val="0"/>
                <w:szCs w:val="21"/>
              </w:rPr>
            </w:pPr>
            <w:r>
              <w:rPr>
                <w:rFonts w:hint="eastAsia" w:ascii="宋体" w:hAnsi="宋体" w:cs="宋体"/>
                <w:color w:val="auto"/>
                <w:kern w:val="0"/>
                <w:szCs w:val="21"/>
              </w:rPr>
              <w:t>物排</w:t>
            </w:r>
          </w:p>
          <w:p>
            <w:pPr>
              <w:adjustRightInd w:val="0"/>
              <w:snapToGrid w:val="0"/>
              <w:jc w:val="center"/>
              <w:rPr>
                <w:rFonts w:ascii="宋体" w:hAnsi="宋体" w:cs="宋体"/>
                <w:color w:val="auto"/>
                <w:kern w:val="0"/>
                <w:szCs w:val="21"/>
              </w:rPr>
            </w:pPr>
            <w:r>
              <w:rPr>
                <w:rFonts w:hint="eastAsia" w:ascii="宋体" w:hAnsi="宋体" w:cs="宋体"/>
                <w:color w:val="auto"/>
                <w:kern w:val="0"/>
                <w:szCs w:val="21"/>
              </w:rPr>
              <w:t>放控</w:t>
            </w:r>
          </w:p>
          <w:p>
            <w:pPr>
              <w:adjustRightInd w:val="0"/>
              <w:snapToGrid w:val="0"/>
              <w:jc w:val="center"/>
              <w:rPr>
                <w:rFonts w:ascii="宋体" w:hAnsi="宋体" w:cs="宋体"/>
                <w:color w:val="auto"/>
                <w:kern w:val="0"/>
                <w:szCs w:val="21"/>
              </w:rPr>
            </w:pPr>
            <w:r>
              <w:rPr>
                <w:rFonts w:hint="eastAsia" w:ascii="宋体" w:hAnsi="宋体" w:cs="宋体"/>
                <w:color w:val="auto"/>
                <w:kern w:val="0"/>
                <w:szCs w:val="21"/>
              </w:rPr>
              <w:t>制标</w:t>
            </w:r>
          </w:p>
          <w:p>
            <w:pPr>
              <w:adjustRightInd w:val="0"/>
              <w:snapToGrid w:val="0"/>
              <w:jc w:val="center"/>
              <w:rPr>
                <w:rFonts w:ascii="宋体" w:hAnsi="宋体" w:cs="宋体"/>
                <w:color w:val="auto"/>
                <w:kern w:val="0"/>
                <w:szCs w:val="21"/>
              </w:rPr>
            </w:pPr>
            <w:r>
              <w:rPr>
                <w:rFonts w:hint="eastAsia" w:ascii="宋体" w:hAnsi="宋体" w:cs="宋体"/>
                <w:color w:val="auto"/>
                <w:kern w:val="0"/>
                <w:szCs w:val="21"/>
              </w:rPr>
              <w:t>准</w:t>
            </w:r>
          </w:p>
        </w:tc>
        <w:tc>
          <w:tcPr>
            <w:tcW w:w="8190" w:type="dxa"/>
            <w:vAlign w:val="center"/>
          </w:tcPr>
          <w:p>
            <w:pPr>
              <w:pStyle w:val="47"/>
              <w:keepNext w:val="0"/>
              <w:keepLines w:val="0"/>
              <w:pageBreakBefore w:val="0"/>
              <w:widowControl w:val="0"/>
              <w:kinsoku/>
              <w:wordWrap/>
              <w:overflowPunct/>
              <w:topLinePunct w:val="0"/>
              <w:autoSpaceDE/>
              <w:autoSpaceDN/>
              <w:bidi w:val="0"/>
              <w:adjustRightInd/>
              <w:snapToGrid/>
              <w:spacing w:before="157" w:beforeLines="50" w:line="360" w:lineRule="auto"/>
              <w:ind w:firstLine="0" w:firstLineChars="0"/>
              <w:jc w:val="left"/>
              <w:textAlignment w:val="auto"/>
              <w:rPr>
                <w:color w:val="auto"/>
                <w:sz w:val="24"/>
                <w:szCs w:val="32"/>
              </w:rPr>
            </w:pPr>
            <w:r>
              <w:rPr>
                <w:rFonts w:hint="eastAsia"/>
                <w:color w:val="auto"/>
                <w:sz w:val="24"/>
                <w:szCs w:val="32"/>
              </w:rPr>
              <w:t>1、废气</w:t>
            </w:r>
          </w:p>
          <w:p>
            <w:pPr>
              <w:pStyle w:val="47"/>
              <w:spacing w:line="360" w:lineRule="auto"/>
              <w:ind w:firstLine="480"/>
              <w:rPr>
                <w:color w:val="auto"/>
                <w:sz w:val="24"/>
                <w:szCs w:val="32"/>
              </w:rPr>
            </w:pPr>
            <w:r>
              <w:rPr>
                <w:rFonts w:hint="eastAsia"/>
                <w:color w:val="auto"/>
                <w:sz w:val="24"/>
                <w:szCs w:val="32"/>
              </w:rPr>
              <w:t>（1）施工期：施工场界扬尘排放执行《施工场界扬尘排放限值》（</w:t>
            </w:r>
            <w:r>
              <w:rPr>
                <w:color w:val="auto"/>
                <w:sz w:val="24"/>
                <w:szCs w:val="32"/>
              </w:rPr>
              <w:t>DB</w:t>
            </w:r>
            <w:r>
              <w:rPr>
                <w:rFonts w:hint="eastAsia"/>
                <w:color w:val="auto"/>
                <w:sz w:val="24"/>
                <w:szCs w:val="32"/>
              </w:rPr>
              <w:t xml:space="preserve"> </w:t>
            </w:r>
            <w:r>
              <w:rPr>
                <w:color w:val="auto"/>
                <w:sz w:val="24"/>
                <w:szCs w:val="32"/>
              </w:rPr>
              <w:t>61/1078-2017</w:t>
            </w:r>
            <w:r>
              <w:rPr>
                <w:rFonts w:hint="eastAsia"/>
                <w:color w:val="auto"/>
                <w:sz w:val="24"/>
                <w:szCs w:val="32"/>
              </w:rPr>
              <w:t>）中相关限制要求；</w:t>
            </w:r>
          </w:p>
          <w:p>
            <w:pPr>
              <w:pStyle w:val="47"/>
              <w:spacing w:line="360" w:lineRule="auto"/>
              <w:ind w:firstLine="480"/>
              <w:jc w:val="left"/>
              <w:rPr>
                <w:rFonts w:hint="eastAsia" w:eastAsia="宋体"/>
                <w:color w:val="auto"/>
                <w:sz w:val="24"/>
                <w:szCs w:val="32"/>
                <w:lang w:eastAsia="zh-CN"/>
              </w:rPr>
            </w:pPr>
            <w:r>
              <w:rPr>
                <w:rFonts w:hint="eastAsia"/>
                <w:color w:val="auto"/>
                <w:sz w:val="24"/>
                <w:szCs w:val="32"/>
              </w:rPr>
              <w:t>（2）运营期：项目运营期无组织废气（非甲烷总烃）排放执行《陆上石油天然气开采工业大气污染物综合排放标准》（</w:t>
            </w:r>
            <w:r>
              <w:rPr>
                <w:color w:val="auto"/>
                <w:sz w:val="24"/>
                <w:szCs w:val="32"/>
              </w:rPr>
              <w:t>GB</w:t>
            </w:r>
            <w:r>
              <w:rPr>
                <w:rFonts w:hint="eastAsia"/>
                <w:color w:val="auto"/>
                <w:sz w:val="24"/>
                <w:szCs w:val="32"/>
              </w:rPr>
              <w:t xml:space="preserve"> </w:t>
            </w:r>
            <w:r>
              <w:rPr>
                <w:color w:val="auto"/>
                <w:sz w:val="24"/>
                <w:szCs w:val="32"/>
              </w:rPr>
              <w:t>39728-2020</w:t>
            </w:r>
            <w:r>
              <w:rPr>
                <w:rFonts w:hint="eastAsia"/>
                <w:color w:val="auto"/>
                <w:sz w:val="24"/>
                <w:szCs w:val="32"/>
              </w:rPr>
              <w:t>）。详见表3-7</w:t>
            </w:r>
            <w:r>
              <w:rPr>
                <w:rFonts w:hint="eastAsia"/>
                <w:color w:val="auto"/>
                <w:sz w:val="24"/>
                <w:szCs w:val="32"/>
                <w:lang w:eastAsia="zh-CN"/>
              </w:rPr>
              <w:t>。</w:t>
            </w:r>
          </w:p>
          <w:p>
            <w:pPr>
              <w:pStyle w:val="6"/>
              <w:keepNext/>
              <w:ind w:firstLine="420"/>
              <w:jc w:val="both"/>
              <w:rPr>
                <w:color w:val="auto"/>
              </w:rPr>
            </w:pPr>
            <w:r>
              <w:rPr>
                <w:rFonts w:hint="eastAsia"/>
                <w:color w:val="auto"/>
              </w:rPr>
              <w:t>表</w:t>
            </w:r>
            <w:r>
              <w:rPr>
                <w:color w:val="auto"/>
              </w:rPr>
              <w:t>3-</w:t>
            </w:r>
            <w:r>
              <w:rPr>
                <w:rFonts w:hint="eastAsia"/>
                <w:color w:val="auto"/>
              </w:rPr>
              <w:t>7</w:t>
            </w:r>
            <w:r>
              <w:rPr>
                <w:color w:val="auto"/>
              </w:rPr>
              <w:t xml:space="preserve">                        </w:t>
            </w:r>
            <w:r>
              <w:rPr>
                <w:rFonts w:hint="eastAsia"/>
                <w:color w:val="auto"/>
              </w:rPr>
              <w:t>大气污染物排放控制标准</w:t>
            </w:r>
          </w:p>
          <w:tbl>
            <w:tblPr>
              <w:tblStyle w:val="19"/>
              <w:tblW w:w="79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5"/>
              <w:gridCol w:w="2557"/>
              <w:gridCol w:w="1225"/>
              <w:gridCol w:w="1277"/>
              <w:gridCol w:w="24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25" w:type="dxa"/>
                  <w:vAlign w:val="center"/>
                </w:tcPr>
                <w:p>
                  <w:pPr>
                    <w:widowControl/>
                    <w:jc w:val="center"/>
                    <w:rPr>
                      <w:color w:val="auto"/>
                      <w:kern w:val="0"/>
                      <w:szCs w:val="21"/>
                    </w:rPr>
                  </w:pPr>
                  <w:r>
                    <w:rPr>
                      <w:rFonts w:hint="eastAsia"/>
                      <w:color w:val="auto"/>
                      <w:kern w:val="0"/>
                      <w:szCs w:val="21"/>
                    </w:rPr>
                    <w:t>类别</w:t>
                  </w:r>
                </w:p>
              </w:tc>
              <w:tc>
                <w:tcPr>
                  <w:tcW w:w="2557" w:type="dxa"/>
                  <w:noWrap/>
                  <w:vAlign w:val="center"/>
                </w:tcPr>
                <w:p>
                  <w:pPr>
                    <w:widowControl/>
                    <w:jc w:val="center"/>
                    <w:rPr>
                      <w:color w:val="auto"/>
                      <w:kern w:val="0"/>
                      <w:szCs w:val="21"/>
                    </w:rPr>
                  </w:pPr>
                  <w:r>
                    <w:rPr>
                      <w:rFonts w:hint="eastAsia"/>
                      <w:color w:val="auto"/>
                      <w:kern w:val="0"/>
                      <w:szCs w:val="21"/>
                    </w:rPr>
                    <w:t>标准名称</w:t>
                  </w:r>
                </w:p>
              </w:tc>
              <w:tc>
                <w:tcPr>
                  <w:tcW w:w="1225" w:type="dxa"/>
                  <w:noWrap/>
                  <w:vAlign w:val="center"/>
                </w:tcPr>
                <w:p>
                  <w:pPr>
                    <w:widowControl/>
                    <w:jc w:val="center"/>
                    <w:rPr>
                      <w:color w:val="auto"/>
                      <w:kern w:val="0"/>
                      <w:szCs w:val="21"/>
                    </w:rPr>
                  </w:pPr>
                  <w:r>
                    <w:rPr>
                      <w:rFonts w:hint="eastAsia"/>
                      <w:color w:val="auto"/>
                      <w:kern w:val="0"/>
                      <w:szCs w:val="21"/>
                    </w:rPr>
                    <w:t>污染因子</w:t>
                  </w:r>
                </w:p>
              </w:tc>
              <w:tc>
                <w:tcPr>
                  <w:tcW w:w="3770" w:type="dxa"/>
                  <w:gridSpan w:val="2"/>
                  <w:noWrap/>
                  <w:vAlign w:val="center"/>
                </w:tcPr>
                <w:p>
                  <w:pPr>
                    <w:widowControl/>
                    <w:jc w:val="center"/>
                    <w:rPr>
                      <w:color w:val="auto"/>
                      <w:kern w:val="0"/>
                      <w:szCs w:val="21"/>
                    </w:rPr>
                  </w:pPr>
                  <w:r>
                    <w:rPr>
                      <w:rFonts w:hint="eastAsia"/>
                      <w:color w:val="auto"/>
                    </w:rPr>
                    <w:t>标准值</w:t>
                  </w:r>
                  <w:r>
                    <w:rPr>
                      <w:color w:val="auto"/>
                    </w:rPr>
                    <w:t>mg/m</w:t>
                  </w:r>
                  <w:r>
                    <w:rPr>
                      <w:color w:val="auto"/>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25" w:type="dxa"/>
                  <w:vMerge w:val="restart"/>
                  <w:vAlign w:val="center"/>
                </w:tcPr>
                <w:p>
                  <w:pPr>
                    <w:widowControl/>
                    <w:jc w:val="center"/>
                    <w:rPr>
                      <w:color w:val="auto"/>
                      <w:kern w:val="0"/>
                      <w:szCs w:val="21"/>
                    </w:rPr>
                  </w:pPr>
                  <w:r>
                    <w:rPr>
                      <w:rFonts w:hint="eastAsia"/>
                      <w:color w:val="auto"/>
                      <w:kern w:val="0"/>
                      <w:szCs w:val="21"/>
                    </w:rPr>
                    <w:t>施工期</w:t>
                  </w:r>
                </w:p>
              </w:tc>
              <w:tc>
                <w:tcPr>
                  <w:tcW w:w="2557" w:type="dxa"/>
                  <w:vMerge w:val="restart"/>
                  <w:noWrap/>
                  <w:vAlign w:val="center"/>
                </w:tcPr>
                <w:p>
                  <w:pPr>
                    <w:widowControl/>
                    <w:jc w:val="center"/>
                    <w:rPr>
                      <w:color w:val="auto"/>
                      <w:kern w:val="0"/>
                      <w:szCs w:val="21"/>
                    </w:rPr>
                  </w:pPr>
                  <w:r>
                    <w:rPr>
                      <w:rFonts w:hint="eastAsia"/>
                      <w:color w:val="auto"/>
                      <w:kern w:val="0"/>
                      <w:szCs w:val="21"/>
                    </w:rPr>
                    <w:t>《施工场界扬尘排放限值》（</w:t>
                  </w:r>
                  <w:r>
                    <w:rPr>
                      <w:color w:val="auto"/>
                      <w:kern w:val="0"/>
                      <w:szCs w:val="21"/>
                    </w:rPr>
                    <w:t>DB61/1078-2017</w:t>
                  </w:r>
                  <w:r>
                    <w:rPr>
                      <w:rFonts w:hint="eastAsia"/>
                      <w:color w:val="auto"/>
                      <w:kern w:val="0"/>
                      <w:szCs w:val="21"/>
                    </w:rPr>
                    <w:t>）</w:t>
                  </w:r>
                </w:p>
              </w:tc>
              <w:tc>
                <w:tcPr>
                  <w:tcW w:w="1225" w:type="dxa"/>
                  <w:vMerge w:val="restart"/>
                  <w:noWrap/>
                  <w:vAlign w:val="center"/>
                </w:tcPr>
                <w:p>
                  <w:pPr>
                    <w:widowControl/>
                    <w:jc w:val="center"/>
                    <w:rPr>
                      <w:color w:val="auto"/>
                      <w:kern w:val="0"/>
                      <w:szCs w:val="21"/>
                    </w:rPr>
                  </w:pPr>
                  <w:r>
                    <w:rPr>
                      <w:color w:val="auto"/>
                      <w:kern w:val="0"/>
                      <w:szCs w:val="21"/>
                    </w:rPr>
                    <w:t>TSP</w:t>
                  </w:r>
                </w:p>
              </w:tc>
              <w:tc>
                <w:tcPr>
                  <w:tcW w:w="1277" w:type="dxa"/>
                  <w:vMerge w:val="restart"/>
                  <w:noWrap/>
                  <w:vAlign w:val="center"/>
                </w:tcPr>
                <w:p>
                  <w:pPr>
                    <w:widowControl/>
                    <w:jc w:val="center"/>
                    <w:rPr>
                      <w:color w:val="auto"/>
                      <w:kern w:val="0"/>
                      <w:szCs w:val="21"/>
                    </w:rPr>
                  </w:pPr>
                  <w:r>
                    <w:rPr>
                      <w:rFonts w:hint="eastAsia"/>
                      <w:color w:val="auto"/>
                    </w:rPr>
                    <w:t>周界外浓度最高点</w:t>
                  </w:r>
                </w:p>
              </w:tc>
              <w:tc>
                <w:tcPr>
                  <w:tcW w:w="2493" w:type="dxa"/>
                  <w:vAlign w:val="center"/>
                </w:tcPr>
                <w:p>
                  <w:pPr>
                    <w:pStyle w:val="49"/>
                    <w:jc w:val="center"/>
                    <w:rPr>
                      <w:color w:val="auto"/>
                    </w:rPr>
                  </w:pPr>
                  <w:r>
                    <w:rPr>
                      <w:color w:val="auto"/>
                    </w:rPr>
                    <w:t>≤0.8</w:t>
                  </w:r>
                  <w:r>
                    <w:rPr>
                      <w:rFonts w:hint="eastAsia"/>
                      <w:color w:val="auto"/>
                    </w:rPr>
                    <w:t>（拆除、土方及地基处理工程）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25" w:type="dxa"/>
                  <w:vMerge w:val="continue"/>
                  <w:vAlign w:val="center"/>
                </w:tcPr>
                <w:p>
                  <w:pPr>
                    <w:widowControl/>
                    <w:jc w:val="center"/>
                    <w:rPr>
                      <w:color w:val="auto"/>
                      <w:kern w:val="0"/>
                      <w:szCs w:val="21"/>
                    </w:rPr>
                  </w:pPr>
                </w:p>
              </w:tc>
              <w:tc>
                <w:tcPr>
                  <w:tcW w:w="2557" w:type="dxa"/>
                  <w:vMerge w:val="continue"/>
                  <w:vAlign w:val="center"/>
                </w:tcPr>
                <w:p>
                  <w:pPr>
                    <w:widowControl/>
                    <w:jc w:val="center"/>
                    <w:rPr>
                      <w:color w:val="auto"/>
                      <w:kern w:val="0"/>
                      <w:szCs w:val="21"/>
                    </w:rPr>
                  </w:pPr>
                </w:p>
              </w:tc>
              <w:tc>
                <w:tcPr>
                  <w:tcW w:w="1225" w:type="dxa"/>
                  <w:vMerge w:val="continue"/>
                  <w:vAlign w:val="center"/>
                </w:tcPr>
                <w:p>
                  <w:pPr>
                    <w:widowControl/>
                    <w:jc w:val="center"/>
                    <w:rPr>
                      <w:color w:val="auto"/>
                      <w:kern w:val="0"/>
                      <w:szCs w:val="21"/>
                    </w:rPr>
                  </w:pPr>
                </w:p>
              </w:tc>
              <w:tc>
                <w:tcPr>
                  <w:tcW w:w="1277" w:type="dxa"/>
                  <w:vMerge w:val="continue"/>
                  <w:vAlign w:val="center"/>
                </w:tcPr>
                <w:p>
                  <w:pPr>
                    <w:widowControl/>
                    <w:jc w:val="center"/>
                    <w:rPr>
                      <w:color w:val="auto"/>
                      <w:kern w:val="0"/>
                      <w:szCs w:val="21"/>
                    </w:rPr>
                  </w:pPr>
                </w:p>
              </w:tc>
              <w:tc>
                <w:tcPr>
                  <w:tcW w:w="2493" w:type="dxa"/>
                  <w:vAlign w:val="center"/>
                </w:tcPr>
                <w:p>
                  <w:pPr>
                    <w:pStyle w:val="49"/>
                    <w:jc w:val="center"/>
                    <w:rPr>
                      <w:color w:val="auto"/>
                    </w:rPr>
                  </w:pPr>
                  <w:r>
                    <w:rPr>
                      <w:color w:val="auto"/>
                    </w:rPr>
                    <w:t>≤0.7</w:t>
                  </w:r>
                  <w:r>
                    <w:rPr>
                      <w:rFonts w:hint="eastAsia"/>
                      <w:color w:val="auto"/>
                    </w:rPr>
                    <w:t>（基础、主体结构及装饰工程）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25" w:type="dxa"/>
                  <w:vAlign w:val="center"/>
                </w:tcPr>
                <w:p>
                  <w:pPr>
                    <w:widowControl/>
                    <w:jc w:val="center"/>
                    <w:rPr>
                      <w:color w:val="auto"/>
                      <w:kern w:val="0"/>
                      <w:szCs w:val="21"/>
                    </w:rPr>
                  </w:pPr>
                  <w:r>
                    <w:rPr>
                      <w:rFonts w:hint="eastAsia"/>
                      <w:color w:val="auto"/>
                      <w:kern w:val="0"/>
                      <w:szCs w:val="21"/>
                    </w:rPr>
                    <w:t>运营期</w:t>
                  </w:r>
                </w:p>
              </w:tc>
              <w:tc>
                <w:tcPr>
                  <w:tcW w:w="2557" w:type="dxa"/>
                  <w:noWrap/>
                  <w:vAlign w:val="center"/>
                </w:tcPr>
                <w:p>
                  <w:pPr>
                    <w:widowControl/>
                    <w:jc w:val="center"/>
                    <w:rPr>
                      <w:color w:val="auto"/>
                      <w:kern w:val="0"/>
                      <w:szCs w:val="21"/>
                    </w:rPr>
                  </w:pPr>
                  <w:r>
                    <w:rPr>
                      <w:rFonts w:hint="eastAsia"/>
                      <w:color w:val="auto"/>
                      <w:kern w:val="0"/>
                      <w:szCs w:val="21"/>
                    </w:rPr>
                    <w:t>《陆上石油天然气开采工业大气污染物综合排放标准》（</w:t>
                  </w:r>
                  <w:r>
                    <w:rPr>
                      <w:color w:val="auto"/>
                      <w:kern w:val="0"/>
                      <w:szCs w:val="21"/>
                    </w:rPr>
                    <w:t>GB39728-2020</w:t>
                  </w:r>
                  <w:r>
                    <w:rPr>
                      <w:rFonts w:hint="eastAsia"/>
                      <w:color w:val="auto"/>
                      <w:kern w:val="0"/>
                      <w:szCs w:val="21"/>
                    </w:rPr>
                    <w:t>）</w:t>
                  </w:r>
                </w:p>
              </w:tc>
              <w:tc>
                <w:tcPr>
                  <w:tcW w:w="1225" w:type="dxa"/>
                  <w:noWrap/>
                  <w:vAlign w:val="center"/>
                </w:tcPr>
                <w:p>
                  <w:pPr>
                    <w:widowControl/>
                    <w:jc w:val="center"/>
                    <w:rPr>
                      <w:color w:val="auto"/>
                      <w:kern w:val="0"/>
                      <w:szCs w:val="21"/>
                    </w:rPr>
                  </w:pPr>
                  <w:r>
                    <w:rPr>
                      <w:rFonts w:hint="eastAsia"/>
                      <w:color w:val="auto"/>
                      <w:kern w:val="0"/>
                      <w:szCs w:val="21"/>
                    </w:rPr>
                    <w:t>非甲烷总烃</w:t>
                  </w:r>
                </w:p>
              </w:tc>
              <w:tc>
                <w:tcPr>
                  <w:tcW w:w="1277" w:type="dxa"/>
                  <w:noWrap/>
                  <w:vAlign w:val="center"/>
                </w:tcPr>
                <w:p>
                  <w:pPr>
                    <w:widowControl/>
                    <w:jc w:val="center"/>
                    <w:rPr>
                      <w:color w:val="auto"/>
                      <w:kern w:val="0"/>
                      <w:szCs w:val="21"/>
                    </w:rPr>
                  </w:pPr>
                  <w:r>
                    <w:rPr>
                      <w:rFonts w:hint="eastAsia"/>
                      <w:color w:val="auto"/>
                      <w:kern w:val="0"/>
                      <w:szCs w:val="21"/>
                    </w:rPr>
                    <w:t>边界无组织浓度限值</w:t>
                  </w:r>
                </w:p>
              </w:tc>
              <w:tc>
                <w:tcPr>
                  <w:tcW w:w="2493" w:type="dxa"/>
                  <w:vAlign w:val="center"/>
                </w:tcPr>
                <w:p>
                  <w:pPr>
                    <w:widowControl/>
                    <w:jc w:val="center"/>
                    <w:rPr>
                      <w:color w:val="auto"/>
                      <w:kern w:val="0"/>
                      <w:szCs w:val="21"/>
                    </w:rPr>
                  </w:pPr>
                  <w:r>
                    <w:rPr>
                      <w:color w:val="auto"/>
                      <w:kern w:val="0"/>
                      <w:szCs w:val="21"/>
                    </w:rPr>
                    <w:t>4.0</w:t>
                  </w:r>
                </w:p>
              </w:tc>
            </w:tr>
          </w:tbl>
          <w:p>
            <w:pPr>
              <w:pStyle w:val="47"/>
              <w:spacing w:before="120" w:beforeLines="50" w:line="360" w:lineRule="auto"/>
              <w:ind w:firstLine="0" w:firstLineChars="0"/>
              <w:jc w:val="left"/>
              <w:rPr>
                <w:color w:val="auto"/>
                <w:sz w:val="24"/>
                <w:szCs w:val="32"/>
              </w:rPr>
            </w:pPr>
            <w:r>
              <w:rPr>
                <w:rFonts w:hint="eastAsia"/>
                <w:color w:val="auto"/>
                <w:sz w:val="24"/>
                <w:szCs w:val="32"/>
              </w:rPr>
              <w:t>2、废水</w:t>
            </w:r>
          </w:p>
          <w:p>
            <w:pPr>
              <w:pStyle w:val="47"/>
              <w:spacing w:line="360" w:lineRule="auto"/>
              <w:ind w:firstLine="480"/>
              <w:jc w:val="left"/>
              <w:rPr>
                <w:color w:val="auto"/>
                <w:sz w:val="24"/>
                <w:szCs w:val="32"/>
              </w:rPr>
            </w:pPr>
            <w:r>
              <w:rPr>
                <w:rFonts w:hint="eastAsia"/>
                <w:color w:val="auto"/>
                <w:sz w:val="24"/>
                <w:szCs w:val="32"/>
              </w:rPr>
              <w:t>（1）施工期：本项目施工过程简单、施工人员少，不设置食堂等集中的生活设施和生活营地，施工时段为昼间。</w:t>
            </w:r>
          </w:p>
          <w:p>
            <w:pPr>
              <w:pStyle w:val="47"/>
              <w:spacing w:line="360" w:lineRule="auto"/>
              <w:ind w:firstLine="480"/>
              <w:jc w:val="left"/>
              <w:rPr>
                <w:color w:val="auto"/>
                <w:sz w:val="24"/>
                <w:szCs w:val="32"/>
                <w:highlight w:val="yellow"/>
              </w:rPr>
            </w:pPr>
            <w:r>
              <w:rPr>
                <w:rFonts w:hint="eastAsia"/>
                <w:color w:val="auto"/>
                <w:sz w:val="24"/>
                <w:szCs w:val="32"/>
              </w:rPr>
              <w:t>（2）运营期：本项目不产生废水。</w:t>
            </w:r>
          </w:p>
          <w:p>
            <w:pPr>
              <w:pStyle w:val="47"/>
              <w:spacing w:line="360" w:lineRule="auto"/>
              <w:ind w:firstLine="0" w:firstLineChars="0"/>
              <w:jc w:val="left"/>
              <w:rPr>
                <w:color w:val="auto"/>
                <w:sz w:val="24"/>
                <w:szCs w:val="32"/>
              </w:rPr>
            </w:pPr>
            <w:r>
              <w:rPr>
                <w:rFonts w:hint="eastAsia"/>
                <w:color w:val="auto"/>
                <w:sz w:val="24"/>
                <w:szCs w:val="32"/>
              </w:rPr>
              <w:t>3、噪声</w:t>
            </w:r>
          </w:p>
          <w:p>
            <w:pPr>
              <w:pStyle w:val="47"/>
              <w:spacing w:line="360" w:lineRule="auto"/>
              <w:ind w:firstLine="480"/>
              <w:rPr>
                <w:color w:val="auto"/>
                <w:sz w:val="24"/>
                <w:szCs w:val="32"/>
              </w:rPr>
            </w:pPr>
            <w:r>
              <w:rPr>
                <w:rFonts w:hint="eastAsia"/>
                <w:color w:val="auto"/>
                <w:sz w:val="24"/>
                <w:szCs w:val="32"/>
              </w:rPr>
              <w:t>项目施工期噪声排放执行《建筑施工场界环境噪声排放标准》（</w:t>
            </w:r>
            <w:r>
              <w:rPr>
                <w:color w:val="auto"/>
                <w:sz w:val="24"/>
                <w:szCs w:val="32"/>
              </w:rPr>
              <w:t>GB12523-2011</w:t>
            </w:r>
            <w:r>
              <w:rPr>
                <w:rFonts w:hint="eastAsia"/>
                <w:color w:val="auto"/>
                <w:sz w:val="24"/>
                <w:szCs w:val="32"/>
              </w:rPr>
              <w:t>）；运营期噪声排放执行《工业企业厂界环境噪声排放标准》（</w:t>
            </w:r>
            <w:r>
              <w:rPr>
                <w:color w:val="auto"/>
                <w:sz w:val="24"/>
                <w:szCs w:val="32"/>
              </w:rPr>
              <w:t>GB12348-2008</w:t>
            </w:r>
            <w:r>
              <w:rPr>
                <w:rFonts w:hint="eastAsia"/>
                <w:color w:val="auto"/>
                <w:sz w:val="24"/>
                <w:szCs w:val="32"/>
              </w:rPr>
              <w:t>）</w:t>
            </w:r>
            <w:r>
              <w:rPr>
                <w:color w:val="auto"/>
                <w:sz w:val="24"/>
                <w:szCs w:val="32"/>
              </w:rPr>
              <w:t>2</w:t>
            </w:r>
            <w:r>
              <w:rPr>
                <w:rFonts w:hint="eastAsia"/>
                <w:color w:val="auto"/>
                <w:sz w:val="24"/>
                <w:szCs w:val="32"/>
              </w:rPr>
              <w:t>类标准。详见下表3</w:t>
            </w:r>
            <w:r>
              <w:rPr>
                <w:color w:val="auto"/>
                <w:sz w:val="24"/>
                <w:szCs w:val="32"/>
              </w:rPr>
              <w:t>-</w:t>
            </w:r>
            <w:r>
              <w:rPr>
                <w:rFonts w:hint="eastAsia"/>
                <w:color w:val="auto"/>
                <w:sz w:val="24"/>
                <w:szCs w:val="32"/>
              </w:rPr>
              <w:t>8。</w:t>
            </w:r>
          </w:p>
          <w:p>
            <w:pPr>
              <w:pStyle w:val="6"/>
              <w:keepNext/>
              <w:ind w:firstLine="422" w:firstLineChars="200"/>
              <w:jc w:val="both"/>
              <w:rPr>
                <w:color w:val="auto"/>
              </w:rPr>
            </w:pPr>
            <w:r>
              <w:rPr>
                <w:rFonts w:hint="eastAsia"/>
                <w:color w:val="auto"/>
              </w:rPr>
              <w:t>表</w:t>
            </w:r>
            <w:r>
              <w:rPr>
                <w:color w:val="auto"/>
              </w:rPr>
              <w:t>3-</w:t>
            </w:r>
            <w:r>
              <w:rPr>
                <w:rFonts w:hint="eastAsia"/>
                <w:color w:val="auto"/>
              </w:rPr>
              <w:t>8</w:t>
            </w:r>
            <w:r>
              <w:rPr>
                <w:color w:val="auto"/>
              </w:rPr>
              <w:t xml:space="preserve">                       </w:t>
            </w:r>
            <w:r>
              <w:rPr>
                <w:rFonts w:hint="eastAsia"/>
                <w:color w:val="auto"/>
              </w:rPr>
              <w:t>噪声污染控制标准</w:t>
            </w:r>
          </w:p>
          <w:tbl>
            <w:tblPr>
              <w:tblStyle w:val="1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88"/>
              <w:gridCol w:w="1736"/>
              <w:gridCol w:w="1980"/>
              <w:gridCol w:w="25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59" w:type="pct"/>
                  <w:vAlign w:val="center"/>
                </w:tcPr>
                <w:p>
                  <w:pPr>
                    <w:pStyle w:val="52"/>
                    <w:rPr>
                      <w:color w:val="auto"/>
                    </w:rPr>
                  </w:pPr>
                  <w:r>
                    <w:rPr>
                      <w:rFonts w:hint="eastAsia"/>
                      <w:color w:val="auto"/>
                    </w:rPr>
                    <w:t>污染物</w:t>
                  </w:r>
                </w:p>
              </w:tc>
              <w:tc>
                <w:tcPr>
                  <w:tcW w:w="1090" w:type="pct"/>
                  <w:noWrap/>
                  <w:vAlign w:val="center"/>
                </w:tcPr>
                <w:p>
                  <w:pPr>
                    <w:pStyle w:val="52"/>
                    <w:rPr>
                      <w:color w:val="auto"/>
                    </w:rPr>
                  </w:pPr>
                  <w:r>
                    <w:rPr>
                      <w:rFonts w:hint="eastAsia"/>
                      <w:color w:val="auto"/>
                    </w:rPr>
                    <w:t>工程期</w:t>
                  </w:r>
                </w:p>
              </w:tc>
              <w:tc>
                <w:tcPr>
                  <w:tcW w:w="1243" w:type="pct"/>
                  <w:noWrap/>
                  <w:vAlign w:val="center"/>
                </w:tcPr>
                <w:p>
                  <w:pPr>
                    <w:pStyle w:val="52"/>
                    <w:rPr>
                      <w:color w:val="auto"/>
                    </w:rPr>
                  </w:pPr>
                  <w:r>
                    <w:rPr>
                      <w:rFonts w:hint="eastAsia"/>
                      <w:color w:val="auto"/>
                    </w:rPr>
                    <w:t>时段</w:t>
                  </w:r>
                </w:p>
              </w:tc>
              <w:tc>
                <w:tcPr>
                  <w:tcW w:w="1607" w:type="pct"/>
                  <w:vAlign w:val="center"/>
                </w:tcPr>
                <w:p>
                  <w:pPr>
                    <w:pStyle w:val="52"/>
                    <w:rPr>
                      <w:color w:val="auto"/>
                    </w:rPr>
                  </w:pPr>
                  <w:r>
                    <w:rPr>
                      <w:rFonts w:hint="eastAsia"/>
                      <w:color w:val="auto"/>
                    </w:rPr>
                    <w:t>限值</w:t>
                  </w:r>
                  <w:r>
                    <w:rPr>
                      <w:color w:val="auto"/>
                    </w:rPr>
                    <w:t>dB</w:t>
                  </w:r>
                  <w:r>
                    <w:rPr>
                      <w:rFonts w:hint="eastAsia"/>
                      <w:color w:val="auto"/>
                    </w:rPr>
                    <w:t>（</w:t>
                  </w:r>
                  <w:r>
                    <w:rPr>
                      <w:color w:val="auto"/>
                    </w:rPr>
                    <w:t>A</w:t>
                  </w:r>
                  <w:r>
                    <w:rPr>
                      <w:rFonts w:hint="eastAsia"/>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59" w:type="pct"/>
                  <w:vMerge w:val="restart"/>
                  <w:vAlign w:val="center"/>
                </w:tcPr>
                <w:p>
                  <w:pPr>
                    <w:pStyle w:val="52"/>
                    <w:rPr>
                      <w:color w:val="auto"/>
                    </w:rPr>
                  </w:pPr>
                  <w:r>
                    <w:rPr>
                      <w:rFonts w:hint="eastAsia"/>
                      <w:color w:val="auto"/>
                    </w:rPr>
                    <w:t>噪声</w:t>
                  </w:r>
                </w:p>
              </w:tc>
              <w:tc>
                <w:tcPr>
                  <w:tcW w:w="1090" w:type="pct"/>
                  <w:vMerge w:val="restart"/>
                  <w:noWrap/>
                  <w:vAlign w:val="center"/>
                </w:tcPr>
                <w:p>
                  <w:pPr>
                    <w:pStyle w:val="52"/>
                    <w:rPr>
                      <w:color w:val="auto"/>
                    </w:rPr>
                  </w:pPr>
                  <w:r>
                    <w:rPr>
                      <w:rFonts w:hint="eastAsia"/>
                      <w:color w:val="auto"/>
                    </w:rPr>
                    <w:t>施工期</w:t>
                  </w:r>
                </w:p>
              </w:tc>
              <w:tc>
                <w:tcPr>
                  <w:tcW w:w="1243" w:type="pct"/>
                  <w:noWrap/>
                  <w:vAlign w:val="center"/>
                </w:tcPr>
                <w:p>
                  <w:pPr>
                    <w:pStyle w:val="52"/>
                    <w:rPr>
                      <w:color w:val="auto"/>
                    </w:rPr>
                  </w:pPr>
                  <w:r>
                    <w:rPr>
                      <w:rFonts w:hint="eastAsia"/>
                      <w:color w:val="auto"/>
                    </w:rPr>
                    <w:t>昼间</w:t>
                  </w:r>
                </w:p>
              </w:tc>
              <w:tc>
                <w:tcPr>
                  <w:tcW w:w="1607" w:type="pct"/>
                  <w:vAlign w:val="center"/>
                </w:tcPr>
                <w:p>
                  <w:pPr>
                    <w:pStyle w:val="52"/>
                    <w:rPr>
                      <w:color w:val="auto"/>
                    </w:rPr>
                  </w:pPr>
                  <w:r>
                    <w:rPr>
                      <w:color w:val="auto"/>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59" w:type="pct"/>
                  <w:vMerge w:val="continue"/>
                  <w:vAlign w:val="center"/>
                </w:tcPr>
                <w:p>
                  <w:pPr>
                    <w:widowControl/>
                    <w:jc w:val="left"/>
                    <w:rPr>
                      <w:color w:val="auto"/>
                    </w:rPr>
                  </w:pPr>
                </w:p>
              </w:tc>
              <w:tc>
                <w:tcPr>
                  <w:tcW w:w="1090" w:type="pct"/>
                  <w:vMerge w:val="continue"/>
                  <w:vAlign w:val="center"/>
                </w:tcPr>
                <w:p>
                  <w:pPr>
                    <w:widowControl/>
                    <w:jc w:val="left"/>
                    <w:rPr>
                      <w:color w:val="auto"/>
                    </w:rPr>
                  </w:pPr>
                </w:p>
              </w:tc>
              <w:tc>
                <w:tcPr>
                  <w:tcW w:w="1243" w:type="pct"/>
                  <w:noWrap/>
                  <w:vAlign w:val="center"/>
                </w:tcPr>
                <w:p>
                  <w:pPr>
                    <w:pStyle w:val="52"/>
                    <w:rPr>
                      <w:color w:val="auto"/>
                    </w:rPr>
                  </w:pPr>
                  <w:r>
                    <w:rPr>
                      <w:rFonts w:hint="eastAsia"/>
                      <w:color w:val="auto"/>
                    </w:rPr>
                    <w:t>夜间</w:t>
                  </w:r>
                </w:p>
              </w:tc>
              <w:tc>
                <w:tcPr>
                  <w:tcW w:w="1607" w:type="pct"/>
                  <w:vAlign w:val="center"/>
                </w:tcPr>
                <w:p>
                  <w:pPr>
                    <w:pStyle w:val="52"/>
                    <w:rPr>
                      <w:color w:val="auto"/>
                    </w:rPr>
                  </w:pPr>
                  <w:r>
                    <w:rPr>
                      <w:color w:val="auto"/>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59" w:type="pct"/>
                  <w:vMerge w:val="continue"/>
                  <w:vAlign w:val="center"/>
                </w:tcPr>
                <w:p>
                  <w:pPr>
                    <w:widowControl/>
                    <w:jc w:val="left"/>
                    <w:rPr>
                      <w:color w:val="auto"/>
                    </w:rPr>
                  </w:pPr>
                </w:p>
              </w:tc>
              <w:tc>
                <w:tcPr>
                  <w:tcW w:w="1090" w:type="pct"/>
                  <w:vMerge w:val="restart"/>
                  <w:noWrap/>
                  <w:vAlign w:val="center"/>
                </w:tcPr>
                <w:p>
                  <w:pPr>
                    <w:pStyle w:val="52"/>
                    <w:rPr>
                      <w:color w:val="auto"/>
                    </w:rPr>
                  </w:pPr>
                  <w:r>
                    <w:rPr>
                      <w:rFonts w:hint="eastAsia"/>
                      <w:color w:val="auto"/>
                    </w:rPr>
                    <w:t>运营期</w:t>
                  </w:r>
                </w:p>
              </w:tc>
              <w:tc>
                <w:tcPr>
                  <w:tcW w:w="1243" w:type="pct"/>
                  <w:noWrap/>
                  <w:vAlign w:val="center"/>
                </w:tcPr>
                <w:p>
                  <w:pPr>
                    <w:pStyle w:val="52"/>
                    <w:rPr>
                      <w:color w:val="auto"/>
                    </w:rPr>
                  </w:pPr>
                  <w:r>
                    <w:rPr>
                      <w:rFonts w:hint="eastAsia"/>
                      <w:color w:val="auto"/>
                    </w:rPr>
                    <w:t>昼间</w:t>
                  </w:r>
                </w:p>
              </w:tc>
              <w:tc>
                <w:tcPr>
                  <w:tcW w:w="1607" w:type="pct"/>
                  <w:noWrap/>
                  <w:vAlign w:val="center"/>
                </w:tcPr>
                <w:p>
                  <w:pPr>
                    <w:pStyle w:val="52"/>
                    <w:rPr>
                      <w:color w:val="auto"/>
                    </w:rPr>
                  </w:pPr>
                  <w:r>
                    <w:rPr>
                      <w:color w:val="auto"/>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59" w:type="pct"/>
                  <w:vMerge w:val="continue"/>
                  <w:vAlign w:val="center"/>
                </w:tcPr>
                <w:p>
                  <w:pPr>
                    <w:widowControl/>
                    <w:jc w:val="left"/>
                    <w:rPr>
                      <w:color w:val="auto"/>
                    </w:rPr>
                  </w:pPr>
                </w:p>
              </w:tc>
              <w:tc>
                <w:tcPr>
                  <w:tcW w:w="1090" w:type="pct"/>
                  <w:vMerge w:val="continue"/>
                  <w:vAlign w:val="center"/>
                </w:tcPr>
                <w:p>
                  <w:pPr>
                    <w:widowControl/>
                    <w:jc w:val="left"/>
                    <w:rPr>
                      <w:color w:val="auto"/>
                    </w:rPr>
                  </w:pPr>
                </w:p>
              </w:tc>
              <w:tc>
                <w:tcPr>
                  <w:tcW w:w="1243" w:type="pct"/>
                  <w:noWrap/>
                  <w:vAlign w:val="center"/>
                </w:tcPr>
                <w:p>
                  <w:pPr>
                    <w:pStyle w:val="52"/>
                    <w:rPr>
                      <w:color w:val="auto"/>
                    </w:rPr>
                  </w:pPr>
                  <w:r>
                    <w:rPr>
                      <w:rFonts w:hint="eastAsia"/>
                      <w:color w:val="auto"/>
                    </w:rPr>
                    <w:t>夜间</w:t>
                  </w:r>
                </w:p>
              </w:tc>
              <w:tc>
                <w:tcPr>
                  <w:tcW w:w="1607" w:type="pct"/>
                  <w:noWrap/>
                  <w:vAlign w:val="center"/>
                </w:tcPr>
                <w:p>
                  <w:pPr>
                    <w:pStyle w:val="52"/>
                    <w:rPr>
                      <w:color w:val="auto"/>
                    </w:rPr>
                  </w:pPr>
                  <w:r>
                    <w:rPr>
                      <w:color w:val="auto"/>
                    </w:rPr>
                    <w:t>50</w:t>
                  </w:r>
                </w:p>
              </w:tc>
            </w:tr>
          </w:tbl>
          <w:p>
            <w:pPr>
              <w:pStyle w:val="47"/>
              <w:spacing w:before="120" w:beforeLines="50" w:line="360" w:lineRule="auto"/>
              <w:ind w:firstLine="480"/>
              <w:rPr>
                <w:color w:val="auto"/>
                <w:sz w:val="24"/>
                <w:szCs w:val="32"/>
              </w:rPr>
            </w:pPr>
            <w:r>
              <w:rPr>
                <w:rFonts w:hint="eastAsia"/>
                <w:color w:val="auto"/>
                <w:sz w:val="24"/>
                <w:szCs w:val="32"/>
              </w:rPr>
              <w:t>（4）固体废物</w:t>
            </w:r>
          </w:p>
          <w:p>
            <w:pPr>
              <w:adjustRightInd w:val="0"/>
              <w:snapToGrid w:val="0"/>
              <w:spacing w:line="360" w:lineRule="auto"/>
              <w:ind w:firstLine="480" w:firstLineChars="200"/>
              <w:jc w:val="left"/>
              <w:rPr>
                <w:rFonts w:ascii="宋体" w:hAnsi="宋体" w:cs="宋体"/>
                <w:color w:val="auto"/>
                <w:kern w:val="0"/>
                <w:szCs w:val="21"/>
              </w:rPr>
            </w:pPr>
            <w:r>
              <w:rPr>
                <w:rFonts w:hint="eastAsia"/>
                <w:color w:val="auto"/>
                <w:sz w:val="24"/>
                <w:szCs w:val="32"/>
              </w:rPr>
              <w:t>危险废物排放执行《危险废物贮存污染控制标准》（GB18597-20</w:t>
            </w:r>
            <w:r>
              <w:rPr>
                <w:rFonts w:hint="eastAsia"/>
                <w:color w:val="auto"/>
                <w:sz w:val="24"/>
                <w:szCs w:val="32"/>
                <w:lang w:val="en-US" w:eastAsia="zh-CN"/>
              </w:rPr>
              <w:t>23</w:t>
            </w:r>
            <w:r>
              <w:rPr>
                <w:rFonts w:hint="eastAsia"/>
                <w:color w:val="auto"/>
                <w:sz w:val="24"/>
                <w:szCs w:val="32"/>
              </w:rPr>
              <w:t>）中的有关要求。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30" w:hRule="atLeast"/>
          <w:jc w:val="center"/>
        </w:trPr>
        <w:tc>
          <w:tcPr>
            <w:tcW w:w="800" w:type="dxa"/>
            <w:vAlign w:val="center"/>
          </w:tcPr>
          <w:p>
            <w:pPr>
              <w:adjustRightInd w:val="0"/>
              <w:snapToGrid w:val="0"/>
              <w:jc w:val="center"/>
              <w:rPr>
                <w:rFonts w:ascii="宋体" w:hAnsi="宋体" w:cs="宋体"/>
                <w:color w:val="auto"/>
                <w:kern w:val="0"/>
                <w:sz w:val="24"/>
              </w:rPr>
            </w:pPr>
            <w:r>
              <w:rPr>
                <w:rFonts w:hint="eastAsia" w:ascii="宋体" w:hAnsi="宋体" w:cs="宋体"/>
                <w:color w:val="auto"/>
                <w:kern w:val="0"/>
                <w:sz w:val="24"/>
              </w:rPr>
              <w:t>总量</w:t>
            </w:r>
          </w:p>
          <w:p>
            <w:pPr>
              <w:adjustRightInd w:val="0"/>
              <w:snapToGrid w:val="0"/>
              <w:jc w:val="center"/>
              <w:rPr>
                <w:rFonts w:ascii="宋体" w:hAnsi="宋体" w:cs="宋体"/>
                <w:color w:val="auto"/>
                <w:kern w:val="0"/>
                <w:sz w:val="24"/>
              </w:rPr>
            </w:pPr>
            <w:r>
              <w:rPr>
                <w:rFonts w:hint="eastAsia" w:ascii="宋体" w:hAnsi="宋体" w:cs="宋体"/>
                <w:color w:val="auto"/>
                <w:kern w:val="0"/>
                <w:sz w:val="24"/>
              </w:rPr>
              <w:t>控制</w:t>
            </w:r>
          </w:p>
          <w:p>
            <w:pPr>
              <w:adjustRightInd w:val="0"/>
              <w:snapToGrid w:val="0"/>
              <w:jc w:val="center"/>
              <w:rPr>
                <w:rFonts w:ascii="宋体" w:hAnsi="宋体" w:cs="宋体"/>
                <w:color w:val="auto"/>
                <w:kern w:val="0"/>
                <w:szCs w:val="21"/>
              </w:rPr>
            </w:pPr>
            <w:r>
              <w:rPr>
                <w:rFonts w:hint="eastAsia" w:ascii="宋体" w:hAnsi="宋体" w:cs="宋体"/>
                <w:color w:val="auto"/>
                <w:kern w:val="0"/>
                <w:sz w:val="24"/>
              </w:rPr>
              <w:t>指标</w:t>
            </w:r>
          </w:p>
        </w:tc>
        <w:tc>
          <w:tcPr>
            <w:tcW w:w="8190" w:type="dxa"/>
            <w:vAlign w:val="center"/>
          </w:tcPr>
          <w:p>
            <w:pPr>
              <w:pStyle w:val="18"/>
              <w:spacing w:line="360" w:lineRule="auto"/>
              <w:ind w:left="0" w:leftChars="0" w:firstLine="480"/>
              <w:rPr>
                <w:rFonts w:ascii="宋体" w:hAnsi="宋体" w:cs="宋体"/>
                <w:color w:val="auto"/>
                <w:szCs w:val="21"/>
              </w:rPr>
            </w:pPr>
            <w:r>
              <w:rPr>
                <w:rFonts w:hint="eastAsia" w:ascii="宋体" w:hAnsi="宋体" w:cs="宋体"/>
                <w:color w:val="auto"/>
                <w:szCs w:val="24"/>
                <w:lang w:bidi="ar"/>
              </w:rPr>
              <w:t>本项目不申请总量控制指标。</w:t>
            </w:r>
          </w:p>
        </w:tc>
      </w:tr>
    </w:tbl>
    <w:p>
      <w:pPr>
        <w:pStyle w:val="16"/>
        <w:jc w:val="center"/>
        <w:outlineLvl w:val="0"/>
        <w:rPr>
          <w:rFonts w:ascii="黑体" w:hAnsi="黑体" w:eastAsia="黑体"/>
          <w:snapToGrid w:val="0"/>
          <w:color w:val="auto"/>
          <w:sz w:val="30"/>
          <w:szCs w:val="30"/>
        </w:rPr>
      </w:pPr>
      <w:r>
        <w:rPr>
          <w:rFonts w:ascii="黑体" w:hAnsi="黑体" w:eastAsia="黑体"/>
          <w:snapToGrid w:val="0"/>
          <w:color w:val="auto"/>
          <w:sz w:val="36"/>
          <w:szCs w:val="36"/>
        </w:rPr>
        <w:br w:type="page"/>
      </w:r>
      <w:r>
        <w:rPr>
          <w:rFonts w:hint="eastAsia" w:ascii="黑体" w:hAnsi="黑体" w:eastAsia="黑体"/>
          <w:snapToGrid w:val="0"/>
          <w:color w:val="auto"/>
          <w:sz w:val="30"/>
          <w:szCs w:val="30"/>
        </w:rPr>
        <w:t>四、主要环境影响和保护措施</w:t>
      </w:r>
    </w:p>
    <w:tbl>
      <w:tblPr>
        <w:tblStyle w:val="19"/>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46"/>
        <w:gridCol w:w="8162"/>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77" w:hRule="atLeast"/>
          <w:jc w:val="center"/>
        </w:trPr>
        <w:tc>
          <w:tcPr>
            <w:tcW w:w="746" w:type="dxa"/>
            <w:tcMar>
              <w:left w:w="28" w:type="dxa"/>
              <w:right w:w="28" w:type="dxa"/>
            </w:tcMar>
            <w:vAlign w:val="center"/>
          </w:tcPr>
          <w:p>
            <w:pPr>
              <w:pStyle w:val="16"/>
              <w:adjustRightInd w:val="0"/>
              <w:snapToGrid w:val="0"/>
              <w:spacing w:before="0" w:beforeAutospacing="0" w:after="0" w:afterAutospacing="0"/>
              <w:jc w:val="center"/>
              <w:rPr>
                <w:rFonts w:cs="宋体"/>
                <w:color w:val="auto"/>
                <w:kern w:val="2"/>
                <w:szCs w:val="24"/>
              </w:rPr>
            </w:pPr>
            <w:r>
              <w:rPr>
                <w:rFonts w:hint="eastAsia" w:cs="宋体"/>
                <w:color w:val="auto"/>
                <w:kern w:val="2"/>
                <w:szCs w:val="24"/>
              </w:rPr>
              <w:t>施工</w:t>
            </w:r>
          </w:p>
          <w:p>
            <w:pPr>
              <w:pStyle w:val="16"/>
              <w:adjustRightInd w:val="0"/>
              <w:snapToGrid w:val="0"/>
              <w:spacing w:before="0" w:beforeAutospacing="0" w:after="0" w:afterAutospacing="0"/>
              <w:jc w:val="center"/>
              <w:rPr>
                <w:rFonts w:cs="宋体"/>
                <w:color w:val="auto"/>
                <w:kern w:val="2"/>
                <w:szCs w:val="24"/>
              </w:rPr>
            </w:pPr>
            <w:r>
              <w:rPr>
                <w:rFonts w:hint="eastAsia" w:cs="宋体"/>
                <w:color w:val="auto"/>
                <w:kern w:val="2"/>
                <w:szCs w:val="24"/>
              </w:rPr>
              <w:t>期环</w:t>
            </w:r>
          </w:p>
          <w:p>
            <w:pPr>
              <w:pStyle w:val="16"/>
              <w:adjustRightInd w:val="0"/>
              <w:snapToGrid w:val="0"/>
              <w:spacing w:before="0" w:beforeAutospacing="0" w:after="0" w:afterAutospacing="0"/>
              <w:jc w:val="center"/>
              <w:rPr>
                <w:rFonts w:cs="宋体"/>
                <w:color w:val="auto"/>
                <w:kern w:val="2"/>
                <w:szCs w:val="24"/>
              </w:rPr>
            </w:pPr>
            <w:r>
              <w:rPr>
                <w:rFonts w:hint="eastAsia" w:cs="宋体"/>
                <w:color w:val="auto"/>
                <w:kern w:val="2"/>
                <w:szCs w:val="24"/>
              </w:rPr>
              <w:t>境保</w:t>
            </w:r>
          </w:p>
          <w:p>
            <w:pPr>
              <w:pStyle w:val="16"/>
              <w:adjustRightInd w:val="0"/>
              <w:snapToGrid w:val="0"/>
              <w:spacing w:before="0" w:beforeAutospacing="0" w:after="0" w:afterAutospacing="0"/>
              <w:jc w:val="center"/>
              <w:rPr>
                <w:rFonts w:cs="宋体"/>
                <w:color w:val="auto"/>
                <w:kern w:val="2"/>
                <w:szCs w:val="24"/>
              </w:rPr>
            </w:pPr>
            <w:r>
              <w:rPr>
                <w:rFonts w:hint="eastAsia" w:cs="宋体"/>
                <w:color w:val="auto"/>
                <w:kern w:val="2"/>
                <w:szCs w:val="24"/>
              </w:rPr>
              <w:t>护措</w:t>
            </w:r>
          </w:p>
          <w:p>
            <w:pPr>
              <w:pStyle w:val="16"/>
              <w:adjustRightInd w:val="0"/>
              <w:snapToGrid w:val="0"/>
              <w:spacing w:before="0" w:beforeAutospacing="0" w:after="0" w:afterAutospacing="0"/>
              <w:jc w:val="center"/>
              <w:rPr>
                <w:rFonts w:cs="宋体"/>
                <w:bCs/>
                <w:color w:val="auto"/>
                <w:kern w:val="2"/>
                <w:sz w:val="21"/>
                <w:szCs w:val="21"/>
              </w:rPr>
            </w:pPr>
            <w:r>
              <w:rPr>
                <w:rFonts w:hint="eastAsia" w:cs="宋体"/>
                <w:color w:val="auto"/>
                <w:kern w:val="2"/>
                <w:szCs w:val="24"/>
              </w:rPr>
              <w:t>施</w:t>
            </w:r>
          </w:p>
        </w:tc>
        <w:tc>
          <w:tcPr>
            <w:tcW w:w="8162" w:type="dxa"/>
            <w:vAlign w:val="center"/>
          </w:tcPr>
          <w:p>
            <w:pPr>
              <w:pStyle w:val="8"/>
              <w:spacing w:before="77"/>
              <w:rPr>
                <w:color w:val="auto"/>
                <w:sz w:val="24"/>
                <w:szCs w:val="24"/>
              </w:rPr>
            </w:pPr>
            <w:r>
              <w:rPr>
                <w:color w:val="auto"/>
                <w:sz w:val="24"/>
                <w:szCs w:val="24"/>
              </w:rPr>
              <w:t>1、</w:t>
            </w:r>
            <w:r>
              <w:rPr>
                <w:rFonts w:hint="eastAsia"/>
                <w:color w:val="auto"/>
                <w:sz w:val="24"/>
                <w:szCs w:val="24"/>
              </w:rPr>
              <w:t>大气</w:t>
            </w:r>
            <w:r>
              <w:rPr>
                <w:color w:val="auto"/>
                <w:sz w:val="24"/>
                <w:szCs w:val="24"/>
              </w:rPr>
              <w:t>污染防治措施</w:t>
            </w:r>
          </w:p>
          <w:p>
            <w:pPr>
              <w:pStyle w:val="8"/>
              <w:spacing w:before="0" w:after="0" w:line="360" w:lineRule="auto"/>
              <w:ind w:firstLine="480" w:firstLineChars="200"/>
              <w:rPr>
                <w:color w:val="auto"/>
                <w:sz w:val="24"/>
                <w:szCs w:val="24"/>
              </w:rPr>
            </w:pPr>
            <w:r>
              <w:rPr>
                <w:rFonts w:hint="eastAsia"/>
                <w:color w:val="auto"/>
                <w:sz w:val="24"/>
                <w:szCs w:val="24"/>
              </w:rPr>
              <w:t>本项目施工过程对大气环境影响主要来自施工扬尘、运输扬尘、车辆及施工机械尾气，施工期大气污染物主要是</w:t>
            </w:r>
            <w:r>
              <w:rPr>
                <w:rFonts w:hint="eastAsia"/>
                <w:color w:val="auto"/>
                <w:sz w:val="24"/>
                <w:szCs w:val="24"/>
                <w:lang w:eastAsia="zh-CN"/>
              </w:rPr>
              <w:t>：</w:t>
            </w:r>
            <w:r>
              <w:rPr>
                <w:rFonts w:hint="eastAsia"/>
                <w:color w:val="auto"/>
                <w:sz w:val="24"/>
                <w:szCs w:val="24"/>
              </w:rPr>
              <w:t>TSP、NOx、CO及THC等。</w:t>
            </w:r>
          </w:p>
          <w:p>
            <w:pPr>
              <w:pStyle w:val="8"/>
              <w:spacing w:before="0" w:after="0" w:line="360" w:lineRule="auto"/>
              <w:ind w:firstLine="480" w:firstLineChars="200"/>
              <w:rPr>
                <w:color w:val="auto"/>
                <w:sz w:val="24"/>
                <w:szCs w:val="24"/>
              </w:rPr>
            </w:pPr>
            <w:r>
              <w:rPr>
                <w:rFonts w:hint="eastAsia"/>
                <w:color w:val="auto"/>
                <w:sz w:val="24"/>
                <w:szCs w:val="24"/>
              </w:rPr>
              <w:t>施工扬尘主要为</w:t>
            </w:r>
            <w:r>
              <w:rPr>
                <w:rFonts w:hint="eastAsia"/>
                <w:color w:val="auto"/>
                <w:sz w:val="24"/>
                <w:szCs w:val="24"/>
                <w:lang w:val="en-US" w:eastAsia="zh-CN"/>
              </w:rPr>
              <w:t>拆除工程、</w:t>
            </w:r>
            <w:r>
              <w:rPr>
                <w:rFonts w:hint="eastAsia"/>
                <w:color w:val="auto"/>
                <w:sz w:val="24"/>
                <w:szCs w:val="24"/>
              </w:rPr>
              <w:t>土方开挖、建筑材料装卸和堆放时产生的扬尘，主要污染物为TSP，排放位置主要位于施工基地，呈无组织形式排放。运输扬尘主要来自施工运输车辆，扬尘对道路两侧一定范围会造成污染，扬尘量的大小与车流量、道路状况、气候条件、汽车行驶速度等均有关系。</w:t>
            </w:r>
          </w:p>
          <w:p>
            <w:pPr>
              <w:pStyle w:val="8"/>
              <w:spacing w:before="0" w:after="0" w:line="360" w:lineRule="auto"/>
              <w:ind w:firstLine="480" w:firstLineChars="200"/>
              <w:rPr>
                <w:color w:val="auto"/>
                <w:sz w:val="24"/>
                <w:szCs w:val="24"/>
              </w:rPr>
            </w:pPr>
            <w:r>
              <w:rPr>
                <w:rFonts w:hint="eastAsia"/>
                <w:color w:val="auto"/>
                <w:sz w:val="24"/>
                <w:szCs w:val="24"/>
              </w:rPr>
              <w:t>运输车辆及施工机械尾气运行过程中将产生含NOx、CO及THC等污染物废气，影响施工区及主要运输路线两侧区域大气质量，会造成局部空气污染。施工机械尾气排放是小范围的短期影响，且间断运行，随着施工期的结束，影响将会消失。</w:t>
            </w:r>
          </w:p>
          <w:p>
            <w:pPr>
              <w:pStyle w:val="8"/>
              <w:spacing w:before="0" w:after="0" w:line="360" w:lineRule="auto"/>
              <w:ind w:firstLine="480" w:firstLineChars="200"/>
              <w:rPr>
                <w:color w:val="auto"/>
                <w:sz w:val="24"/>
                <w:szCs w:val="24"/>
              </w:rPr>
            </w:pPr>
            <w:r>
              <w:rPr>
                <w:rFonts w:hint="eastAsia"/>
                <w:color w:val="auto"/>
                <w:sz w:val="24"/>
                <w:szCs w:val="24"/>
              </w:rPr>
              <w:t>为了减小施工期扬尘污染，项目应采取如下措施：</w:t>
            </w:r>
          </w:p>
          <w:p>
            <w:pPr>
              <w:pStyle w:val="8"/>
              <w:spacing w:before="0" w:after="0" w:line="360" w:lineRule="auto"/>
              <w:ind w:firstLine="480" w:firstLineChars="200"/>
              <w:rPr>
                <w:color w:val="auto"/>
                <w:sz w:val="24"/>
                <w:szCs w:val="24"/>
              </w:rPr>
            </w:pPr>
            <w:r>
              <w:rPr>
                <w:rFonts w:hint="eastAsia"/>
                <w:color w:val="auto"/>
                <w:sz w:val="24"/>
                <w:szCs w:val="24"/>
              </w:rPr>
              <w:t>（1）强化施工工地扬尘控制措施。加强施工扬尘监管，积极推进绿色施工，绿色运营；</w:t>
            </w:r>
            <w:r>
              <w:rPr>
                <w:rFonts w:hint="eastAsia"/>
                <w:color w:val="auto"/>
                <w:sz w:val="24"/>
              </w:rPr>
              <w:t>施工区边界设置围挡、围护以减少扬尘扩散，遇到干燥、易起尘的土方作业时，应辅以洒水降尘，尽量缩短起尘操作时间，同时作业处应覆以防尘网。</w:t>
            </w:r>
          </w:p>
          <w:p>
            <w:pPr>
              <w:pStyle w:val="8"/>
              <w:spacing w:before="0" w:after="0" w:line="360" w:lineRule="auto"/>
              <w:ind w:firstLine="480" w:firstLineChars="200"/>
              <w:rPr>
                <w:color w:val="auto"/>
                <w:sz w:val="24"/>
                <w:szCs w:val="24"/>
              </w:rPr>
            </w:pPr>
            <w:r>
              <w:rPr>
                <w:rFonts w:hint="eastAsia"/>
                <w:color w:val="auto"/>
                <w:sz w:val="24"/>
                <w:szCs w:val="24"/>
              </w:rPr>
              <w:t>（2）运输车辆不得超载，在距离居民区较近的区域应减速慢行，减少扬尘的产生量；</w:t>
            </w:r>
            <w:r>
              <w:rPr>
                <w:rFonts w:hint="eastAsia"/>
                <w:color w:val="auto"/>
                <w:sz w:val="24"/>
              </w:rPr>
              <w:t>物料、渣土、垃圾运输车辆，应尽可能采用密闭车斗，并保证物料不遗撒外漏。若无密闭车斗，物料、垃圾、渣土的装载高度不得超过车辆槽帮上沿，车斗应用苫布遮盖严实。苫布边缘至少要遮住槽帮上沿以下</w:t>
            </w:r>
            <w:r>
              <w:rPr>
                <w:color w:val="auto"/>
                <w:sz w:val="24"/>
              </w:rPr>
              <w:t>15</w:t>
            </w:r>
            <w:r>
              <w:rPr>
                <w:rFonts w:hint="eastAsia"/>
                <w:color w:val="auto"/>
                <w:sz w:val="24"/>
              </w:rPr>
              <w:t>厘米，保证物料、渣土、垃圾等不露出。</w:t>
            </w:r>
          </w:p>
          <w:p>
            <w:pPr>
              <w:pStyle w:val="8"/>
              <w:spacing w:before="0" w:after="0" w:line="360" w:lineRule="auto"/>
              <w:ind w:firstLine="480" w:firstLineChars="200"/>
              <w:rPr>
                <w:rFonts w:hint="eastAsia"/>
                <w:color w:val="auto"/>
                <w:sz w:val="24"/>
              </w:rPr>
            </w:pPr>
            <w:r>
              <w:rPr>
                <w:rFonts w:hint="eastAsia"/>
                <w:color w:val="auto"/>
                <w:sz w:val="24"/>
                <w:szCs w:val="24"/>
              </w:rPr>
              <w:t>（3）</w:t>
            </w:r>
            <w:r>
              <w:rPr>
                <w:rFonts w:hint="eastAsia"/>
                <w:color w:val="auto"/>
                <w:sz w:val="24"/>
              </w:rPr>
              <w:t>在施工场地上设置专人负责建筑垃圾、建筑材料的处置、清运和堆放，堆放场地加盖蓬布或洒水，防止二次扬尘。</w:t>
            </w:r>
          </w:p>
          <w:p>
            <w:pPr>
              <w:pStyle w:val="8"/>
              <w:spacing w:before="0" w:after="0" w:line="360" w:lineRule="auto"/>
              <w:ind w:firstLine="480" w:firstLineChars="200"/>
              <w:rPr>
                <w:color w:val="auto"/>
                <w:sz w:val="24"/>
                <w:szCs w:val="24"/>
              </w:rPr>
            </w:pPr>
            <w:r>
              <w:rPr>
                <w:rFonts w:hint="eastAsia"/>
                <w:color w:val="auto"/>
                <w:sz w:val="24"/>
                <w:szCs w:val="24"/>
              </w:rPr>
              <w:t>（4）</w:t>
            </w:r>
            <w:r>
              <w:rPr>
                <w:rFonts w:hint="eastAsia"/>
                <w:color w:val="auto"/>
                <w:sz w:val="24"/>
              </w:rPr>
              <w:t>施工现场必须设置固定垃圾存放点</w:t>
            </w:r>
            <w:r>
              <w:rPr>
                <w:rFonts w:hint="eastAsia"/>
                <w:color w:val="auto"/>
                <w:sz w:val="24"/>
                <w:lang w:eastAsia="zh-CN"/>
              </w:rPr>
              <w:t>，</w:t>
            </w:r>
            <w:r>
              <w:rPr>
                <w:rFonts w:hint="eastAsia"/>
                <w:color w:val="auto"/>
                <w:sz w:val="24"/>
              </w:rPr>
              <w:t>垃圾应分类集中堆放并覆盖，及时清运，严禁焚烧、下埋和随意丢弃。</w:t>
            </w:r>
          </w:p>
          <w:p>
            <w:pPr>
              <w:pStyle w:val="8"/>
              <w:spacing w:before="0" w:after="0" w:line="360" w:lineRule="auto"/>
              <w:ind w:firstLine="480" w:firstLineChars="200"/>
              <w:rPr>
                <w:color w:val="auto"/>
                <w:sz w:val="24"/>
                <w:szCs w:val="24"/>
              </w:rPr>
            </w:pPr>
            <w:r>
              <w:rPr>
                <w:rFonts w:hint="eastAsia"/>
                <w:color w:val="auto"/>
                <w:sz w:val="24"/>
                <w:szCs w:val="24"/>
                <w:lang w:eastAsia="zh-CN"/>
              </w:rPr>
              <w:t>（</w:t>
            </w:r>
            <w:r>
              <w:rPr>
                <w:rFonts w:hint="eastAsia"/>
                <w:color w:val="auto"/>
                <w:sz w:val="24"/>
                <w:szCs w:val="24"/>
                <w:lang w:val="en-US" w:eastAsia="zh-CN"/>
              </w:rPr>
              <w:t>5</w:t>
            </w:r>
            <w:r>
              <w:rPr>
                <w:rFonts w:hint="eastAsia"/>
                <w:color w:val="auto"/>
                <w:sz w:val="24"/>
                <w:szCs w:val="24"/>
                <w:lang w:eastAsia="zh-CN"/>
              </w:rPr>
              <w:t>）</w:t>
            </w:r>
            <w:r>
              <w:rPr>
                <w:rFonts w:hint="eastAsia"/>
                <w:color w:val="auto"/>
                <w:sz w:val="24"/>
                <w:szCs w:val="24"/>
              </w:rPr>
              <w:t>在项目管理方面设置专门的环保管理员，负责与当地环保部门联系沟通有关环保方面的事宜，并负责对施工场区环保措施进行监督管理。</w:t>
            </w:r>
          </w:p>
          <w:p>
            <w:pPr>
              <w:pStyle w:val="8"/>
              <w:spacing w:before="0" w:after="0" w:line="360" w:lineRule="auto"/>
              <w:ind w:firstLine="480" w:firstLineChars="200"/>
              <w:rPr>
                <w:color w:val="auto"/>
                <w:sz w:val="24"/>
                <w:szCs w:val="24"/>
              </w:rPr>
            </w:pPr>
            <w:r>
              <w:rPr>
                <w:rFonts w:hint="eastAsia"/>
                <w:color w:val="auto"/>
                <w:sz w:val="24"/>
                <w:szCs w:val="24"/>
              </w:rPr>
              <w:t>在施工中要加强管理、切实落实好以上措施，施工场地产生的扬尘及废气经过减少或延缓对环境影响较小，同时该环境影响将随施工的结束而消失。经参考其他同类项目，经过采取上述措施后颗粒物周界外浓度最高点≤0.7 mg/m</w:t>
            </w:r>
            <w:r>
              <w:rPr>
                <w:rFonts w:hint="eastAsia"/>
                <w:color w:val="auto"/>
                <w:sz w:val="24"/>
                <w:szCs w:val="24"/>
                <w:vertAlign w:val="superscript"/>
              </w:rPr>
              <w:t>3</w:t>
            </w:r>
            <w:r>
              <w:rPr>
                <w:rFonts w:hint="eastAsia"/>
                <w:color w:val="auto"/>
                <w:sz w:val="24"/>
                <w:szCs w:val="24"/>
              </w:rPr>
              <w:t>，满足《施工场界扬尘排放限值》（DB61/1078-2017）中标准，因此采取以上措施后，项目施工期对周围大气环境产生影响较小，大气污染防治措施可行。</w:t>
            </w:r>
          </w:p>
          <w:p>
            <w:pPr>
              <w:spacing w:line="360" w:lineRule="auto"/>
              <w:rPr>
                <w:color w:val="auto"/>
                <w:sz w:val="24"/>
              </w:rPr>
            </w:pPr>
            <w:r>
              <w:rPr>
                <w:rFonts w:hint="eastAsia"/>
                <w:color w:val="auto"/>
                <w:sz w:val="24"/>
              </w:rPr>
              <w:t>2、噪声影响保护措施</w:t>
            </w:r>
          </w:p>
          <w:p>
            <w:pPr>
              <w:spacing w:line="360" w:lineRule="auto"/>
              <w:ind w:firstLine="480" w:firstLineChars="200"/>
              <w:rPr>
                <w:color w:val="auto"/>
                <w:sz w:val="24"/>
              </w:rPr>
            </w:pPr>
            <w:r>
              <w:rPr>
                <w:rFonts w:hint="eastAsia"/>
                <w:color w:val="auto"/>
                <w:sz w:val="24"/>
              </w:rPr>
              <w:t>项目施工过程中，对施工期噪声控制提出以下要求：</w:t>
            </w:r>
          </w:p>
          <w:p>
            <w:pPr>
              <w:spacing w:line="360" w:lineRule="auto"/>
              <w:ind w:firstLine="480" w:firstLineChars="200"/>
              <w:rPr>
                <w:color w:val="auto"/>
                <w:sz w:val="24"/>
              </w:rPr>
            </w:pPr>
            <w:r>
              <w:rPr>
                <w:rFonts w:hint="eastAsia"/>
                <w:color w:val="auto"/>
                <w:sz w:val="24"/>
              </w:rPr>
              <w:t>（1）制定严格合理的施工计划，集中安排高噪声施工阶段，便于合理控制；加强施工组织和施工管理，环保施工、文明施工，快速施工。</w:t>
            </w:r>
          </w:p>
          <w:p>
            <w:pPr>
              <w:spacing w:line="360" w:lineRule="auto"/>
              <w:ind w:firstLine="480" w:firstLineChars="200"/>
              <w:rPr>
                <w:color w:val="auto"/>
                <w:sz w:val="24"/>
              </w:rPr>
            </w:pPr>
            <w:r>
              <w:rPr>
                <w:rFonts w:hint="eastAsia"/>
                <w:color w:val="auto"/>
                <w:sz w:val="24"/>
              </w:rPr>
              <w:t>（2）尽量选用低噪声机械设备或自带隔声、消声的设备，降低设备声级；同时做好施工机械的维护和保养，有效降低机械设备运转的噪声源强。</w:t>
            </w:r>
          </w:p>
          <w:p>
            <w:pPr>
              <w:spacing w:line="360" w:lineRule="auto"/>
              <w:ind w:firstLine="480" w:firstLineChars="200"/>
              <w:rPr>
                <w:color w:val="auto"/>
                <w:sz w:val="24"/>
              </w:rPr>
            </w:pPr>
            <w:r>
              <w:rPr>
                <w:rFonts w:hint="eastAsia"/>
                <w:color w:val="auto"/>
                <w:sz w:val="24"/>
              </w:rPr>
              <w:t>（3）各种管材轻拿轻放，减少撞击性噪声。做好劳动保护工作，为强噪声源周围的施工机械操作人员配备耳塞或耳罩等必要的劳动防护用品。</w:t>
            </w:r>
          </w:p>
          <w:p>
            <w:pPr>
              <w:spacing w:line="360" w:lineRule="auto"/>
              <w:ind w:firstLine="480" w:firstLineChars="200"/>
              <w:rPr>
                <w:rFonts w:hint="eastAsia"/>
                <w:color w:val="auto"/>
                <w:sz w:val="24"/>
                <w:lang w:eastAsia="zh-CN"/>
              </w:rPr>
            </w:pPr>
            <w:r>
              <w:rPr>
                <w:rFonts w:hint="eastAsia"/>
                <w:color w:val="auto"/>
                <w:sz w:val="24"/>
                <w:lang w:eastAsia="zh-CN"/>
              </w:rPr>
              <w:t>（</w:t>
            </w:r>
            <w:r>
              <w:rPr>
                <w:rFonts w:hint="eastAsia"/>
                <w:color w:val="auto"/>
                <w:sz w:val="24"/>
                <w:lang w:val="en-US" w:eastAsia="zh-CN"/>
              </w:rPr>
              <w:t>4</w:t>
            </w:r>
            <w:r>
              <w:rPr>
                <w:rFonts w:hint="eastAsia"/>
                <w:color w:val="auto"/>
                <w:sz w:val="24"/>
                <w:lang w:eastAsia="zh-CN"/>
              </w:rPr>
              <w:t>）运输车量经过敏感目标时应减速慢行，尽量减少鸣笛次数。</w:t>
            </w:r>
            <w:r>
              <w:rPr>
                <w:rFonts w:hint="eastAsia"/>
                <w:color w:val="auto"/>
                <w:sz w:val="24"/>
              </w:rPr>
              <w:t>合理安排强噪声施工机械的工作频次，合理调配车辆来往行车密度，尽量避开附近村民休息时间。</w:t>
            </w:r>
          </w:p>
          <w:p>
            <w:pPr>
              <w:spacing w:line="360" w:lineRule="auto"/>
              <w:ind w:firstLine="480" w:firstLineChars="200"/>
              <w:rPr>
                <w:color w:val="auto"/>
                <w:sz w:val="24"/>
              </w:rPr>
            </w:pPr>
            <w:r>
              <w:rPr>
                <w:rFonts w:hint="eastAsia"/>
                <w:color w:val="auto"/>
                <w:sz w:val="24"/>
              </w:rPr>
              <w:t>在采取以上措施后，施工期噪声对环境影响较小，可以满足《建筑施工场界环境噪声排放标准》（GB12523-2011）要求，随施工结束，影响消失，噪声控制措施可行。</w:t>
            </w:r>
          </w:p>
          <w:p>
            <w:pPr>
              <w:spacing w:line="360" w:lineRule="auto"/>
              <w:rPr>
                <w:color w:val="auto"/>
                <w:sz w:val="24"/>
              </w:rPr>
            </w:pPr>
            <w:r>
              <w:rPr>
                <w:rFonts w:hint="eastAsia"/>
                <w:color w:val="auto"/>
                <w:sz w:val="24"/>
              </w:rPr>
              <w:t>3、</w:t>
            </w:r>
            <w:r>
              <w:rPr>
                <w:color w:val="auto"/>
                <w:sz w:val="24"/>
              </w:rPr>
              <w:t>废水</w:t>
            </w:r>
            <w:r>
              <w:rPr>
                <w:rFonts w:hint="eastAsia"/>
                <w:color w:val="auto"/>
                <w:sz w:val="24"/>
              </w:rPr>
              <w:t>污染</w:t>
            </w:r>
            <w:r>
              <w:rPr>
                <w:color w:val="auto"/>
                <w:sz w:val="24"/>
              </w:rPr>
              <w:t>防治措施</w:t>
            </w:r>
          </w:p>
          <w:p>
            <w:pPr>
              <w:spacing w:line="360" w:lineRule="auto"/>
              <w:ind w:firstLine="480" w:firstLineChars="200"/>
              <w:rPr>
                <w:color w:val="auto"/>
                <w:sz w:val="24"/>
              </w:rPr>
            </w:pPr>
            <w:r>
              <w:rPr>
                <w:rFonts w:hint="eastAsia"/>
                <w:color w:val="auto"/>
                <w:sz w:val="24"/>
              </w:rPr>
              <w:t>项目不设施工营地，施工人员如厕依托站场现有防渗旱厕，生活盥洗水收集后泼洒于场地洒水抑尘不外排。</w:t>
            </w:r>
          </w:p>
          <w:p>
            <w:pPr>
              <w:spacing w:line="360" w:lineRule="auto"/>
              <w:rPr>
                <w:color w:val="auto"/>
                <w:sz w:val="24"/>
              </w:rPr>
            </w:pPr>
            <w:r>
              <w:rPr>
                <w:rFonts w:hint="eastAsia"/>
                <w:color w:val="auto"/>
                <w:sz w:val="24"/>
              </w:rPr>
              <w:t>4、固体废弃物污染防治措施</w:t>
            </w:r>
          </w:p>
          <w:p>
            <w:pPr>
              <w:spacing w:line="360" w:lineRule="auto"/>
              <w:ind w:firstLine="480" w:firstLineChars="200"/>
              <w:rPr>
                <w:color w:val="auto"/>
              </w:rPr>
            </w:pPr>
            <w:r>
              <w:rPr>
                <w:rFonts w:hint="eastAsia"/>
                <w:color w:val="auto"/>
                <w:sz w:val="24"/>
              </w:rPr>
              <w:t>本项目施工期产生的固废主要为建筑垃圾。</w:t>
            </w:r>
            <w:r>
              <w:rPr>
                <w:color w:val="auto"/>
                <w:sz w:val="24"/>
              </w:rPr>
              <w:t>建筑垃圾实行分类收集，及时运至附近的建筑垃圾填埋场进行处理</w:t>
            </w:r>
            <w:r>
              <w:rPr>
                <w:rFonts w:hint="eastAsia"/>
                <w:color w:val="auto"/>
                <w:sz w:val="24"/>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810" w:hRule="atLeast"/>
          <w:jc w:val="center"/>
        </w:trPr>
        <w:tc>
          <w:tcPr>
            <w:tcW w:w="746" w:type="dxa"/>
            <w:tcMar>
              <w:left w:w="28" w:type="dxa"/>
              <w:right w:w="28" w:type="dxa"/>
            </w:tcMar>
            <w:vAlign w:val="center"/>
          </w:tcPr>
          <w:p>
            <w:pPr>
              <w:adjustRightInd w:val="0"/>
              <w:snapToGrid w:val="0"/>
              <w:jc w:val="center"/>
              <w:rPr>
                <w:rFonts w:ascii="宋体" w:hAnsi="宋体" w:cs="宋体"/>
                <w:bCs/>
                <w:color w:val="auto"/>
                <w:sz w:val="24"/>
                <w:szCs w:val="24"/>
              </w:rPr>
            </w:pPr>
            <w:r>
              <w:rPr>
                <w:rFonts w:hint="eastAsia" w:ascii="宋体" w:hAnsi="宋体" w:cs="宋体"/>
                <w:bCs/>
                <w:color w:val="auto"/>
                <w:sz w:val="24"/>
                <w:szCs w:val="24"/>
              </w:rPr>
              <w:t>运营</w:t>
            </w:r>
          </w:p>
          <w:p>
            <w:pPr>
              <w:adjustRightInd w:val="0"/>
              <w:snapToGrid w:val="0"/>
              <w:jc w:val="center"/>
              <w:rPr>
                <w:rFonts w:ascii="宋体" w:hAnsi="宋体" w:cs="宋体"/>
                <w:bCs/>
                <w:color w:val="auto"/>
                <w:sz w:val="24"/>
                <w:szCs w:val="24"/>
              </w:rPr>
            </w:pPr>
            <w:r>
              <w:rPr>
                <w:rFonts w:hint="eastAsia" w:ascii="宋体" w:hAnsi="宋体" w:cs="宋体"/>
                <w:bCs/>
                <w:color w:val="auto"/>
                <w:sz w:val="24"/>
                <w:szCs w:val="24"/>
              </w:rPr>
              <w:t>期环</w:t>
            </w:r>
          </w:p>
          <w:p>
            <w:pPr>
              <w:adjustRightInd w:val="0"/>
              <w:snapToGrid w:val="0"/>
              <w:jc w:val="center"/>
              <w:rPr>
                <w:rFonts w:ascii="宋体" w:hAnsi="宋体" w:cs="宋体"/>
                <w:bCs/>
                <w:color w:val="auto"/>
                <w:sz w:val="24"/>
                <w:szCs w:val="24"/>
              </w:rPr>
            </w:pPr>
            <w:r>
              <w:rPr>
                <w:rFonts w:hint="eastAsia" w:ascii="宋体" w:hAnsi="宋体" w:cs="宋体"/>
                <w:bCs/>
                <w:color w:val="auto"/>
                <w:sz w:val="24"/>
                <w:szCs w:val="24"/>
              </w:rPr>
              <w:t>境影</w:t>
            </w:r>
          </w:p>
          <w:p>
            <w:pPr>
              <w:adjustRightInd w:val="0"/>
              <w:snapToGrid w:val="0"/>
              <w:jc w:val="center"/>
              <w:rPr>
                <w:rFonts w:ascii="宋体" w:hAnsi="宋体" w:cs="宋体"/>
                <w:bCs/>
                <w:color w:val="auto"/>
                <w:sz w:val="24"/>
                <w:szCs w:val="24"/>
              </w:rPr>
            </w:pPr>
            <w:r>
              <w:rPr>
                <w:rFonts w:hint="eastAsia" w:ascii="宋体" w:hAnsi="宋体" w:cs="宋体"/>
                <w:bCs/>
                <w:color w:val="auto"/>
                <w:sz w:val="24"/>
                <w:szCs w:val="24"/>
              </w:rPr>
              <w:t>响和</w:t>
            </w:r>
          </w:p>
          <w:p>
            <w:pPr>
              <w:adjustRightInd w:val="0"/>
              <w:snapToGrid w:val="0"/>
              <w:jc w:val="center"/>
              <w:rPr>
                <w:rFonts w:ascii="宋体" w:hAnsi="宋体" w:cs="宋体"/>
                <w:bCs/>
                <w:color w:val="auto"/>
                <w:sz w:val="24"/>
                <w:szCs w:val="24"/>
              </w:rPr>
            </w:pPr>
            <w:r>
              <w:rPr>
                <w:rFonts w:hint="eastAsia" w:ascii="宋体" w:hAnsi="宋体" w:cs="宋体"/>
                <w:bCs/>
                <w:color w:val="auto"/>
                <w:sz w:val="24"/>
                <w:szCs w:val="24"/>
              </w:rPr>
              <w:t>保护</w:t>
            </w:r>
          </w:p>
          <w:p>
            <w:pPr>
              <w:adjustRightInd w:val="0"/>
              <w:snapToGrid w:val="0"/>
              <w:jc w:val="center"/>
              <w:rPr>
                <w:rFonts w:ascii="宋体" w:hAnsi="宋体" w:cs="宋体"/>
                <w:bCs/>
                <w:color w:val="auto"/>
                <w:szCs w:val="21"/>
              </w:rPr>
            </w:pPr>
            <w:r>
              <w:rPr>
                <w:rFonts w:hint="eastAsia" w:ascii="宋体" w:hAnsi="宋体" w:cs="宋体"/>
                <w:bCs/>
                <w:color w:val="auto"/>
                <w:sz w:val="24"/>
                <w:szCs w:val="24"/>
              </w:rPr>
              <w:t>措施</w:t>
            </w:r>
          </w:p>
        </w:tc>
        <w:tc>
          <w:tcPr>
            <w:tcW w:w="8162" w:type="dxa"/>
          </w:tcPr>
          <w:p>
            <w:pPr>
              <w:pStyle w:val="10"/>
              <w:spacing w:before="120" w:beforeLines="50" w:after="0" w:line="360" w:lineRule="auto"/>
              <w:ind w:left="0" w:leftChars="0" w:right="0" w:rightChars="0"/>
              <w:rPr>
                <w:color w:val="auto"/>
                <w:sz w:val="24"/>
                <w:szCs w:val="28"/>
              </w:rPr>
            </w:pPr>
            <w:r>
              <w:rPr>
                <w:rFonts w:hint="eastAsia"/>
                <w:color w:val="auto"/>
                <w:sz w:val="24"/>
                <w:szCs w:val="28"/>
              </w:rPr>
              <w:t>1、大气环境影响分析</w:t>
            </w:r>
          </w:p>
          <w:p>
            <w:pPr>
              <w:adjustRightInd w:val="0"/>
              <w:snapToGrid w:val="0"/>
              <w:spacing w:line="360" w:lineRule="auto"/>
              <w:ind w:firstLine="480" w:firstLineChars="200"/>
              <w:rPr>
                <w:color w:val="auto"/>
                <w:sz w:val="24"/>
                <w:szCs w:val="28"/>
              </w:rPr>
            </w:pPr>
            <w:r>
              <w:rPr>
                <w:rFonts w:hint="eastAsia"/>
                <w:color w:val="auto"/>
                <w:sz w:val="24"/>
                <w:szCs w:val="28"/>
              </w:rPr>
              <w:t>（1）大气污染源及排放分析</w:t>
            </w:r>
          </w:p>
          <w:p>
            <w:pPr>
              <w:pStyle w:val="43"/>
              <w:ind w:firstLine="480"/>
              <w:rPr>
                <w:rFonts w:ascii="宋体" w:hAnsi="宋体" w:cs="宋体"/>
                <w:color w:val="auto"/>
                <w:sz w:val="24"/>
              </w:rPr>
            </w:pPr>
            <w:r>
              <w:rPr>
                <w:rFonts w:hint="eastAsia" w:ascii="宋体" w:hAnsi="宋体" w:cs="宋体"/>
                <w:color w:val="auto"/>
                <w:sz w:val="24"/>
              </w:rPr>
              <w:t>本项目产生的废气主要为</w:t>
            </w:r>
            <w:r>
              <w:rPr>
                <w:rFonts w:hint="eastAsia"/>
                <w:color w:val="auto"/>
                <w:sz w:val="24"/>
                <w:szCs w:val="28"/>
              </w:rPr>
              <w:t>落地油泥</w:t>
            </w:r>
            <w:r>
              <w:rPr>
                <w:rFonts w:hint="eastAsia" w:ascii="宋体" w:hAnsi="宋体" w:cs="宋体"/>
                <w:color w:val="auto"/>
                <w:sz w:val="24"/>
              </w:rPr>
              <w:t>在储存过程中产生的少量非甲烷总经。由于目前尚无准确计算油泥临时储存期间的非甲烷总经排放的数学模型，考虑到油泥中轻组分较少，因此本次评估对油泥储存间的非甲烷总经无组织排放进行整体估算。按照《环境影响评价实用技术指南》中的建议：估算法按照原料的年用量或者产品年产量的0.1‰-0.4‰计算，本次环评按照最大0.4‰计算。本项目</w:t>
            </w:r>
            <w:r>
              <w:rPr>
                <w:rFonts w:hint="eastAsia"/>
                <w:color w:val="auto"/>
                <w:sz w:val="24"/>
              </w:rPr>
              <w:t>年贮存量最大为</w:t>
            </w:r>
            <w:r>
              <w:rPr>
                <w:rFonts w:hint="eastAsia" w:ascii="宋体" w:hAnsi="宋体" w:cs="宋体"/>
                <w:color w:val="auto"/>
                <w:sz w:val="24"/>
                <w:lang w:val="en-US" w:eastAsia="zh-CN"/>
              </w:rPr>
              <w:t>120</w:t>
            </w:r>
            <w:r>
              <w:rPr>
                <w:rFonts w:hint="eastAsia" w:ascii="宋体" w:hAnsi="宋体" w:cs="宋体"/>
                <w:color w:val="auto"/>
                <w:sz w:val="24"/>
              </w:rPr>
              <w:t>t</w:t>
            </w:r>
            <w:r>
              <w:rPr>
                <w:rFonts w:hint="eastAsia"/>
                <w:color w:val="auto"/>
                <w:sz w:val="24"/>
              </w:rPr>
              <w:t>，</w:t>
            </w:r>
            <w:r>
              <w:rPr>
                <w:rFonts w:hint="eastAsia" w:ascii="宋体" w:hAnsi="宋体" w:cs="宋体"/>
                <w:color w:val="auto"/>
                <w:sz w:val="24"/>
              </w:rPr>
              <w:t>本项目落地油泥中石油类含量约在10%-50%(根据建设单位提供资料，平均含油量按20%计算)，则储存过程中损失的非甲烷总烃无组织挥发量为0.00</w:t>
            </w:r>
            <w:r>
              <w:rPr>
                <w:rFonts w:hint="eastAsia" w:ascii="宋体" w:hAnsi="宋体" w:cs="宋体"/>
                <w:color w:val="auto"/>
                <w:sz w:val="24"/>
                <w:lang w:val="en-US" w:eastAsia="zh-CN"/>
              </w:rPr>
              <w:t>96</w:t>
            </w:r>
            <w:r>
              <w:rPr>
                <w:rFonts w:hint="eastAsia" w:ascii="宋体" w:hAnsi="宋体" w:cs="宋体"/>
                <w:color w:val="auto"/>
                <w:sz w:val="24"/>
              </w:rPr>
              <w:t>t/a，0.00</w:t>
            </w:r>
            <w:r>
              <w:rPr>
                <w:rFonts w:hint="eastAsia" w:ascii="宋体" w:hAnsi="宋体" w:cs="宋体"/>
                <w:color w:val="auto"/>
                <w:sz w:val="24"/>
                <w:lang w:val="en-US" w:eastAsia="zh-CN"/>
              </w:rPr>
              <w:t>108</w:t>
            </w:r>
            <w:r>
              <w:rPr>
                <w:rFonts w:hint="eastAsia" w:ascii="宋体" w:hAnsi="宋体" w:cs="宋体"/>
                <w:color w:val="auto"/>
                <w:sz w:val="24"/>
              </w:rPr>
              <w:t>kg/h。</w:t>
            </w:r>
          </w:p>
          <w:p>
            <w:pPr>
              <w:pStyle w:val="43"/>
              <w:ind w:firstLine="480"/>
              <w:rPr>
                <w:color w:val="auto"/>
                <w:sz w:val="24"/>
              </w:rPr>
            </w:pPr>
            <w:r>
              <w:rPr>
                <w:rFonts w:hint="eastAsia" w:ascii="宋体" w:hAnsi="宋体" w:cs="宋体"/>
                <w:color w:val="auto"/>
                <w:sz w:val="24"/>
              </w:rPr>
              <w:t>（2）环境影响分析</w:t>
            </w:r>
          </w:p>
          <w:p>
            <w:pPr>
              <w:widowControl/>
              <w:spacing w:line="360" w:lineRule="auto"/>
              <w:ind w:firstLine="480" w:firstLineChars="200"/>
              <w:jc w:val="left"/>
              <w:rPr>
                <w:rFonts w:hint="default" w:ascii="Times New Roman" w:hAnsi="Times New Roman" w:cs="Times New Roman"/>
                <w:color w:val="auto"/>
                <w:kern w:val="0"/>
                <w:sz w:val="24"/>
                <w:lang w:bidi="ar"/>
              </w:rPr>
            </w:pPr>
            <w:r>
              <w:rPr>
                <w:rFonts w:hint="default" w:ascii="Times New Roman" w:hAnsi="Times New Roman" w:cs="Times New Roman"/>
                <w:color w:val="auto"/>
                <w:kern w:val="0"/>
                <w:sz w:val="24"/>
                <w:lang w:bidi="ar"/>
              </w:rPr>
              <w:t>本次评价采用AERSCREEN模式对无组织排放的非甲烷总烃的影响进行预测，预测参数选取见表4-1、4-2，预测结果见4-3。</w:t>
            </w:r>
          </w:p>
          <w:p>
            <w:pPr>
              <w:pStyle w:val="43"/>
              <w:spacing w:line="240" w:lineRule="auto"/>
              <w:ind w:firstLine="422"/>
              <w:rPr>
                <w:rFonts w:hint="default" w:ascii="Times New Roman" w:hAnsi="Times New Roman" w:cs="Times New Roman"/>
                <w:b/>
                <w:bCs/>
                <w:color w:val="auto"/>
              </w:rPr>
            </w:pPr>
            <w:r>
              <w:rPr>
                <w:rFonts w:hint="default" w:ascii="Times New Roman" w:hAnsi="Times New Roman" w:cs="Times New Roman"/>
                <w:b/>
                <w:bCs/>
                <w:color w:val="auto"/>
              </w:rPr>
              <w:t>表4-1                无组织非甲烷总烃矩形面源参数表</w:t>
            </w:r>
          </w:p>
          <w:tbl>
            <w:tblPr>
              <w:tblStyle w:val="20"/>
              <w:tblW w:w="794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5"/>
              <w:gridCol w:w="900"/>
              <w:gridCol w:w="875"/>
              <w:gridCol w:w="800"/>
              <w:gridCol w:w="938"/>
              <w:gridCol w:w="1075"/>
              <w:gridCol w:w="875"/>
              <w:gridCol w:w="687"/>
              <w:gridCol w:w="10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5"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名称</w:t>
                  </w:r>
                </w:p>
              </w:tc>
              <w:tc>
                <w:tcPr>
                  <w:tcW w:w="900"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面源海拔高度/m</w:t>
                  </w:r>
                </w:p>
              </w:tc>
              <w:tc>
                <w:tcPr>
                  <w:tcW w:w="875"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面源长度/m</w:t>
                  </w:r>
                </w:p>
              </w:tc>
              <w:tc>
                <w:tcPr>
                  <w:tcW w:w="800"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面源宽度/m</w:t>
                  </w:r>
                </w:p>
              </w:tc>
              <w:tc>
                <w:tcPr>
                  <w:tcW w:w="938"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与正北向夹角/（°）</w:t>
                  </w:r>
                </w:p>
              </w:tc>
              <w:tc>
                <w:tcPr>
                  <w:tcW w:w="1075"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面源有效排放高度/m</w:t>
                  </w:r>
                </w:p>
              </w:tc>
              <w:tc>
                <w:tcPr>
                  <w:tcW w:w="875"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年排放小时数/m</w:t>
                  </w:r>
                </w:p>
              </w:tc>
              <w:tc>
                <w:tcPr>
                  <w:tcW w:w="687"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排放工况</w:t>
                  </w:r>
                </w:p>
              </w:tc>
              <w:tc>
                <w:tcPr>
                  <w:tcW w:w="1011"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排放速率/（kg/h）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5"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油泥暂存间</w:t>
                  </w:r>
                </w:p>
              </w:tc>
              <w:tc>
                <w:tcPr>
                  <w:tcW w:w="900"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1411</w:t>
                  </w:r>
                </w:p>
              </w:tc>
              <w:tc>
                <w:tcPr>
                  <w:tcW w:w="875"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7</w:t>
                  </w:r>
                </w:p>
              </w:tc>
              <w:tc>
                <w:tcPr>
                  <w:tcW w:w="800"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7</w:t>
                  </w:r>
                </w:p>
              </w:tc>
              <w:tc>
                <w:tcPr>
                  <w:tcW w:w="938"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45</w:t>
                  </w:r>
                </w:p>
              </w:tc>
              <w:tc>
                <w:tcPr>
                  <w:tcW w:w="1075"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2.5</w:t>
                  </w:r>
                </w:p>
              </w:tc>
              <w:tc>
                <w:tcPr>
                  <w:tcW w:w="875"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8760</w:t>
                  </w:r>
                </w:p>
              </w:tc>
              <w:tc>
                <w:tcPr>
                  <w:tcW w:w="687"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连续</w:t>
                  </w:r>
                </w:p>
              </w:tc>
              <w:tc>
                <w:tcPr>
                  <w:tcW w:w="1011" w:type="dxa"/>
                  <w:vAlign w:val="center"/>
                </w:tcPr>
                <w:p>
                  <w:pPr>
                    <w:widowControl/>
                    <w:jc w:val="center"/>
                    <w:rPr>
                      <w:rFonts w:hint="eastAsia" w:ascii="Times New Roman" w:hAnsi="Times New Roman" w:eastAsia="宋体" w:cs="Times New Roman"/>
                      <w:color w:val="auto"/>
                      <w:kern w:val="0"/>
                      <w:szCs w:val="21"/>
                      <w:lang w:val="en-US" w:eastAsia="zh-CN" w:bidi="ar"/>
                    </w:rPr>
                  </w:pPr>
                  <w:r>
                    <w:rPr>
                      <w:rFonts w:hint="default" w:ascii="Times New Roman" w:hAnsi="Times New Roman" w:cs="Times New Roman"/>
                      <w:color w:val="auto"/>
                      <w:kern w:val="0"/>
                      <w:szCs w:val="21"/>
                      <w:lang w:bidi="ar"/>
                    </w:rPr>
                    <w:t>0.00</w:t>
                  </w:r>
                  <w:r>
                    <w:rPr>
                      <w:rFonts w:hint="eastAsia" w:cs="Times New Roman"/>
                      <w:color w:val="auto"/>
                      <w:kern w:val="0"/>
                      <w:szCs w:val="21"/>
                      <w:lang w:val="en-US" w:eastAsia="zh-CN" w:bidi="ar"/>
                    </w:rPr>
                    <w:t>1</w:t>
                  </w:r>
                </w:p>
              </w:tc>
            </w:tr>
          </w:tbl>
          <w:p>
            <w:pPr>
              <w:tabs>
                <w:tab w:val="left" w:pos="2479"/>
              </w:tabs>
              <w:ind w:firstLine="430" w:firstLineChars="200"/>
              <w:rPr>
                <w:rFonts w:hint="default" w:ascii="Times New Roman" w:hAnsi="Times New Roman" w:cs="Times New Roman"/>
                <w:b/>
                <w:color w:val="auto"/>
                <w:spacing w:val="2"/>
                <w:szCs w:val="21"/>
              </w:rPr>
            </w:pPr>
            <w:r>
              <w:rPr>
                <w:rFonts w:hint="default" w:ascii="Times New Roman" w:hAnsi="Times New Roman" w:cs="Times New Roman"/>
                <w:b/>
                <w:color w:val="auto"/>
                <w:spacing w:val="2"/>
                <w:szCs w:val="21"/>
              </w:rPr>
              <w:t>表4-2                    估算模型参数表</w:t>
            </w:r>
          </w:p>
          <w:tbl>
            <w:tblPr>
              <w:tblStyle w:val="2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44"/>
              <w:gridCol w:w="2646"/>
              <w:gridCol w:w="26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333" w:type="pct"/>
                  <w:gridSpan w:val="2"/>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参数</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取值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6" w:type="pct"/>
                  <w:vMerge w:val="restar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城市农村选项</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城市/农村</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农村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6" w:type="pct"/>
                  <w:vMerge w:val="continue"/>
                  <w:vAlign w:val="center"/>
                </w:tcPr>
                <w:p>
                  <w:pPr>
                    <w:tabs>
                      <w:tab w:val="left" w:pos="1335"/>
                    </w:tabs>
                    <w:jc w:val="center"/>
                    <w:rPr>
                      <w:rFonts w:hint="default" w:ascii="Times New Roman" w:hAnsi="Times New Roman" w:cs="Times New Roman"/>
                      <w:color w:val="auto"/>
                      <w:spacing w:val="2"/>
                      <w:kern w:val="0"/>
                      <w:sz w:val="21"/>
                      <w:szCs w:val="21"/>
                    </w:rPr>
                  </w:pP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人口数（城市选项）</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333" w:type="pct"/>
                  <w:gridSpan w:val="2"/>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最高温度（℃）</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333" w:type="pct"/>
                  <w:gridSpan w:val="2"/>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最低温度（℃）</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333" w:type="pct"/>
                  <w:gridSpan w:val="2"/>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土地利用类型</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草地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333" w:type="pct"/>
                  <w:gridSpan w:val="2"/>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区域湿度条件</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中等湿度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6" w:type="pct"/>
                  <w:vMerge w:val="restar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是否考虑地形</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考虑地形</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6" w:type="pct"/>
                  <w:vMerge w:val="continue"/>
                  <w:vAlign w:val="center"/>
                </w:tcPr>
                <w:p>
                  <w:pPr>
                    <w:tabs>
                      <w:tab w:val="left" w:pos="1335"/>
                    </w:tabs>
                    <w:jc w:val="center"/>
                    <w:rPr>
                      <w:rFonts w:hint="default" w:ascii="Times New Roman" w:hAnsi="Times New Roman" w:cs="Times New Roman"/>
                      <w:color w:val="auto"/>
                      <w:spacing w:val="2"/>
                      <w:kern w:val="0"/>
                      <w:sz w:val="21"/>
                      <w:szCs w:val="21"/>
                    </w:rPr>
                  </w:pP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地形数据分辨率（m）</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6" w:type="pct"/>
                  <w:vMerge w:val="restar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是否考虑岸线熏烟</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考虑岸线熏烟</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6" w:type="pct"/>
                  <w:vMerge w:val="continue"/>
                  <w:vAlign w:val="center"/>
                </w:tcPr>
                <w:p>
                  <w:pPr>
                    <w:tabs>
                      <w:tab w:val="left" w:pos="1335"/>
                    </w:tabs>
                    <w:jc w:val="center"/>
                    <w:rPr>
                      <w:rFonts w:hint="default" w:ascii="Times New Roman" w:hAnsi="Times New Roman" w:cs="Times New Roman"/>
                      <w:color w:val="auto"/>
                      <w:spacing w:val="2"/>
                      <w:kern w:val="0"/>
                      <w:sz w:val="21"/>
                      <w:szCs w:val="21"/>
                    </w:rPr>
                  </w:pP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岸线距离（km）</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6" w:type="pct"/>
                  <w:vMerge w:val="continue"/>
                  <w:vAlign w:val="center"/>
                </w:tcPr>
                <w:p>
                  <w:pPr>
                    <w:tabs>
                      <w:tab w:val="left" w:pos="1335"/>
                    </w:tabs>
                    <w:jc w:val="center"/>
                    <w:rPr>
                      <w:rFonts w:hint="default" w:ascii="Times New Roman" w:hAnsi="Times New Roman" w:cs="Times New Roman"/>
                      <w:color w:val="auto"/>
                      <w:spacing w:val="2"/>
                      <w:kern w:val="0"/>
                      <w:sz w:val="21"/>
                      <w:szCs w:val="21"/>
                    </w:rPr>
                  </w:pP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岸线方向（°）</w:t>
                  </w:r>
                </w:p>
              </w:tc>
              <w:tc>
                <w:tcPr>
                  <w:tcW w:w="1667" w:type="pct"/>
                  <w:vAlign w:val="center"/>
                </w:tcPr>
                <w:p>
                  <w:pPr>
                    <w:tabs>
                      <w:tab w:val="left" w:pos="1335"/>
                    </w:tabs>
                    <w:jc w:val="center"/>
                    <w:rPr>
                      <w:rFonts w:hint="default" w:ascii="Times New Roman" w:hAnsi="Times New Roman" w:cs="Times New Roman"/>
                      <w:color w:val="auto"/>
                      <w:spacing w:val="2"/>
                      <w:kern w:val="0"/>
                      <w:sz w:val="21"/>
                      <w:szCs w:val="21"/>
                    </w:rPr>
                  </w:pPr>
                  <w:r>
                    <w:rPr>
                      <w:rFonts w:hint="default" w:ascii="Times New Roman" w:hAnsi="Times New Roman" w:cs="Times New Roman"/>
                      <w:color w:val="auto"/>
                      <w:spacing w:val="2"/>
                      <w:kern w:val="0"/>
                      <w:sz w:val="21"/>
                      <w:szCs w:val="21"/>
                    </w:rPr>
                    <w:t>/</w:t>
                  </w:r>
                </w:p>
              </w:tc>
            </w:tr>
          </w:tbl>
          <w:p>
            <w:pPr>
              <w:tabs>
                <w:tab w:val="left" w:pos="2479"/>
              </w:tabs>
              <w:spacing w:before="120" w:beforeLines="50"/>
              <w:ind w:firstLine="430" w:firstLineChars="200"/>
              <w:rPr>
                <w:rFonts w:ascii="宋体" w:hAnsi="宋体" w:cs="宋体"/>
                <w:b/>
                <w:color w:val="auto"/>
                <w:spacing w:val="2"/>
                <w:szCs w:val="21"/>
              </w:rPr>
            </w:pPr>
            <w:r>
              <w:rPr>
                <w:rFonts w:hint="eastAsia" w:ascii="宋体" w:hAnsi="宋体" w:cs="宋体"/>
                <w:b/>
                <w:color w:val="auto"/>
                <w:spacing w:val="2"/>
                <w:szCs w:val="21"/>
              </w:rPr>
              <w:t>表4-3                    预测结果一览表</w:t>
            </w:r>
          </w:p>
          <w:tbl>
            <w:tblPr>
              <w:tblStyle w:val="20"/>
              <w:tblW w:w="794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48"/>
              <w:gridCol w:w="2649"/>
              <w:gridCol w:w="26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8"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距源中心点距离（m）</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落地浓度（mg/m</w:t>
                  </w:r>
                  <w:r>
                    <w:rPr>
                      <w:rFonts w:hint="default" w:ascii="Times New Roman" w:hAnsi="Times New Roman" w:cs="Times New Roman"/>
                      <w:color w:val="auto"/>
                      <w:kern w:val="0"/>
                      <w:szCs w:val="21"/>
                      <w:vertAlign w:val="superscript"/>
                      <w:lang w:bidi="ar"/>
                    </w:rPr>
                    <w:t>3</w:t>
                  </w:r>
                  <w:r>
                    <w:rPr>
                      <w:rFonts w:hint="default" w:ascii="Times New Roman" w:hAnsi="Times New Roman" w:cs="Times New Roman"/>
                      <w:color w:val="auto"/>
                      <w:kern w:val="0"/>
                      <w:szCs w:val="21"/>
                      <w:lang w:bidi="ar"/>
                    </w:rPr>
                    <w:t>）</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占标率（%）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8"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10</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0.000993</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8"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25</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0.000599</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8"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50</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0.000503</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8"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75</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0.000431</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8"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100</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0.000385</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8"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200</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0.000265</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8"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300</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0.000196</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8"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1000</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0.000076</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48"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2000</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0.000040</w:t>
                  </w:r>
                </w:p>
              </w:tc>
              <w:tc>
                <w:tcPr>
                  <w:tcW w:w="2649" w:type="dxa"/>
                  <w:vAlign w:val="center"/>
                </w:tcPr>
                <w:p>
                  <w:pPr>
                    <w:widowControl/>
                    <w:jc w:val="center"/>
                    <w:rPr>
                      <w:rFonts w:hint="default" w:ascii="Times New Roman" w:hAnsi="Times New Roman" w:cs="Times New Roman"/>
                      <w:color w:val="auto"/>
                      <w:kern w:val="0"/>
                      <w:szCs w:val="21"/>
                      <w:lang w:bidi="ar"/>
                    </w:rPr>
                  </w:pPr>
                  <w:r>
                    <w:rPr>
                      <w:rFonts w:hint="default" w:ascii="Times New Roman" w:hAnsi="Times New Roman" w:cs="Times New Roman"/>
                      <w:color w:val="auto"/>
                      <w:kern w:val="0"/>
                      <w:szCs w:val="21"/>
                      <w:lang w:bidi="ar"/>
                    </w:rPr>
                    <w:t>0.00</w:t>
                  </w:r>
                </w:p>
              </w:tc>
            </w:tr>
          </w:tbl>
          <w:p>
            <w:pPr>
              <w:keepNext w:val="0"/>
              <w:keepLines w:val="0"/>
              <w:pageBreakBefore w:val="0"/>
              <w:widowControl/>
              <w:kinsoku/>
              <w:wordWrap/>
              <w:overflowPunct/>
              <w:topLinePunct w:val="0"/>
              <w:autoSpaceDE/>
              <w:autoSpaceDN/>
              <w:bidi w:val="0"/>
              <w:adjustRightInd/>
              <w:snapToGrid/>
              <w:spacing w:before="157" w:beforeLines="50" w:line="360" w:lineRule="auto"/>
              <w:ind w:firstLine="480" w:firstLineChars="200"/>
              <w:jc w:val="left"/>
              <w:textAlignment w:val="auto"/>
              <w:rPr>
                <w:rFonts w:ascii="宋体" w:hAnsi="宋体" w:cs="宋体"/>
                <w:b w:val="0"/>
                <w:bCs w:val="0"/>
                <w:color w:val="auto"/>
                <w:kern w:val="0"/>
                <w:sz w:val="24"/>
                <w:szCs w:val="24"/>
                <w:lang w:bidi="ar"/>
              </w:rPr>
            </w:pPr>
            <w:r>
              <w:rPr>
                <w:rFonts w:hint="eastAsia" w:ascii="宋体" w:hAnsi="宋体" w:cs="宋体"/>
                <w:color w:val="auto"/>
                <w:kern w:val="0"/>
                <w:sz w:val="24"/>
                <w:lang w:bidi="ar"/>
              </w:rPr>
              <w:t>由预测结果可知，项目无组织排放的非甲烷总经最大落地浓度0.00099mg/m</w:t>
            </w:r>
            <w:r>
              <w:rPr>
                <w:rFonts w:hint="eastAsia" w:ascii="宋体" w:hAnsi="宋体" w:cs="宋体"/>
                <w:color w:val="auto"/>
                <w:kern w:val="0"/>
                <w:sz w:val="24"/>
                <w:vertAlign w:val="superscript"/>
                <w:lang w:val="en-US" w:eastAsia="zh-CN" w:bidi="ar"/>
              </w:rPr>
              <w:t>3</w:t>
            </w:r>
            <w:r>
              <w:rPr>
                <w:rFonts w:hint="eastAsia" w:ascii="宋体" w:hAnsi="宋体" w:cs="宋体"/>
                <w:color w:val="auto"/>
                <w:kern w:val="0"/>
                <w:sz w:val="24"/>
                <w:lang w:bidi="ar"/>
              </w:rPr>
              <w:t>(距离面源中心点10m，占标率0.02%)，厂界排放浓度可满足《陆上石油天然气开采工业大气污染物综合排放标准》（GB39728-2020）中无组织排放监控浓度限值（4.0mg/m</w:t>
            </w:r>
            <w:r>
              <w:rPr>
                <w:rFonts w:hint="eastAsia" w:ascii="宋体" w:hAnsi="宋体" w:cs="宋体"/>
                <w:color w:val="auto"/>
                <w:kern w:val="0"/>
                <w:sz w:val="24"/>
                <w:vertAlign w:val="superscript"/>
                <w:lang w:bidi="ar"/>
              </w:rPr>
              <w:t>3</w:t>
            </w:r>
            <w:r>
              <w:rPr>
                <w:rFonts w:hint="eastAsia" w:ascii="宋体" w:hAnsi="宋体" w:cs="宋体"/>
                <w:color w:val="auto"/>
                <w:kern w:val="0"/>
                <w:sz w:val="24"/>
                <w:lang w:bidi="ar"/>
              </w:rPr>
              <w:t>）要求，项目运行期无组织挥发非甲烷总烃气体对周围环境空气影响较小。</w:t>
            </w:r>
          </w:p>
          <w:p>
            <w:pPr>
              <w:pStyle w:val="43"/>
              <w:ind w:firstLine="480"/>
              <w:rPr>
                <w:rFonts w:ascii="宋体" w:hAnsi="宋体" w:cs="宋体"/>
                <w:color w:val="auto"/>
                <w:sz w:val="24"/>
                <w:szCs w:val="32"/>
              </w:rPr>
            </w:pPr>
            <w:r>
              <w:rPr>
                <w:rFonts w:hint="eastAsia" w:ascii="宋体" w:hAnsi="宋体" w:cs="宋体"/>
                <w:color w:val="auto"/>
                <w:sz w:val="24"/>
                <w:szCs w:val="32"/>
              </w:rPr>
              <w:t>（3）大气环境质量监测计划</w:t>
            </w:r>
          </w:p>
          <w:p>
            <w:pPr>
              <w:pStyle w:val="43"/>
              <w:ind w:firstLine="480"/>
              <w:rPr>
                <w:rFonts w:ascii="宋体" w:hAnsi="宋体" w:cs="宋体"/>
                <w:color w:val="auto"/>
                <w:sz w:val="24"/>
                <w:szCs w:val="32"/>
              </w:rPr>
            </w:pPr>
            <w:r>
              <w:rPr>
                <w:rFonts w:ascii="宋体" w:hAnsi="宋体" w:cs="宋体"/>
                <w:color w:val="auto"/>
                <w:sz w:val="24"/>
                <w:szCs w:val="32"/>
              </w:rPr>
              <w:t>根据</w:t>
            </w:r>
            <w:r>
              <w:rPr>
                <w:color w:val="auto"/>
                <w:sz w:val="24"/>
                <w:szCs w:val="32"/>
              </w:rPr>
              <w:t>《排污单位自行监测技术指南 陆上石油天然气开采工业》（HJ 1248-2022）</w:t>
            </w:r>
            <w:r>
              <w:rPr>
                <w:rFonts w:hint="eastAsia" w:ascii="宋体" w:hAnsi="宋体" w:cs="宋体"/>
                <w:color w:val="auto"/>
                <w:sz w:val="24"/>
                <w:szCs w:val="32"/>
              </w:rPr>
              <w:t>，</w:t>
            </w:r>
            <w:r>
              <w:rPr>
                <w:rFonts w:ascii="宋体" w:hAnsi="宋体" w:cs="宋体"/>
                <w:color w:val="auto"/>
                <w:sz w:val="24"/>
                <w:szCs w:val="32"/>
              </w:rPr>
              <w:t>项目废气监测计划见表</w:t>
            </w:r>
            <w:r>
              <w:rPr>
                <w:rFonts w:hint="eastAsia" w:ascii="宋体" w:hAnsi="宋体" w:cs="宋体"/>
                <w:color w:val="auto"/>
                <w:sz w:val="24"/>
                <w:szCs w:val="32"/>
              </w:rPr>
              <w:t>4-4</w:t>
            </w:r>
            <w:r>
              <w:rPr>
                <w:rFonts w:ascii="宋体" w:hAnsi="宋体" w:cs="宋体"/>
                <w:color w:val="auto"/>
                <w:sz w:val="24"/>
                <w:szCs w:val="32"/>
              </w:rPr>
              <w:t>。</w:t>
            </w:r>
          </w:p>
          <w:p>
            <w:pPr>
              <w:pStyle w:val="43"/>
              <w:spacing w:line="240" w:lineRule="auto"/>
              <w:ind w:firstLine="422"/>
              <w:rPr>
                <w:rFonts w:ascii="宋体" w:hAnsi="宋体" w:cs="宋体"/>
                <w:b/>
                <w:bCs/>
                <w:color w:val="auto"/>
              </w:rPr>
            </w:pPr>
            <w:r>
              <w:rPr>
                <w:rFonts w:hint="eastAsia" w:ascii="宋体" w:hAnsi="宋体" w:cs="宋体"/>
                <w:b/>
                <w:bCs/>
                <w:color w:val="auto"/>
              </w:rPr>
              <w:t>表4-4                        运营期环境监测计划</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3"/>
              <w:gridCol w:w="859"/>
              <w:gridCol w:w="1511"/>
              <w:gridCol w:w="793"/>
              <w:gridCol w:w="737"/>
              <w:gridCol w:w="26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283" w:type="dxa"/>
                  <w:vAlign w:val="center"/>
                </w:tcPr>
                <w:p>
                  <w:pPr>
                    <w:pStyle w:val="43"/>
                    <w:spacing w:line="240" w:lineRule="auto"/>
                    <w:ind w:firstLine="0" w:firstLineChars="0"/>
                    <w:jc w:val="center"/>
                    <w:rPr>
                      <w:color w:val="auto"/>
                    </w:rPr>
                  </w:pPr>
                  <w:r>
                    <w:rPr>
                      <w:color w:val="auto"/>
                    </w:rPr>
                    <w:t>污染源</w:t>
                  </w:r>
                </w:p>
                <w:p>
                  <w:pPr>
                    <w:pStyle w:val="43"/>
                    <w:spacing w:line="240" w:lineRule="auto"/>
                    <w:ind w:firstLine="0" w:firstLineChars="0"/>
                    <w:jc w:val="center"/>
                    <w:rPr>
                      <w:color w:val="auto"/>
                    </w:rPr>
                  </w:pPr>
                  <w:r>
                    <w:rPr>
                      <w:color w:val="auto"/>
                    </w:rPr>
                    <w:t>名称</w:t>
                  </w:r>
                </w:p>
              </w:tc>
              <w:tc>
                <w:tcPr>
                  <w:tcW w:w="859" w:type="dxa"/>
                  <w:vAlign w:val="center"/>
                </w:tcPr>
                <w:p>
                  <w:pPr>
                    <w:pStyle w:val="43"/>
                    <w:spacing w:line="240" w:lineRule="auto"/>
                    <w:ind w:firstLine="0" w:firstLineChars="0"/>
                    <w:jc w:val="center"/>
                    <w:rPr>
                      <w:color w:val="auto"/>
                    </w:rPr>
                  </w:pPr>
                  <w:r>
                    <w:rPr>
                      <w:color w:val="auto"/>
                    </w:rPr>
                    <w:t>监测</w:t>
                  </w:r>
                </w:p>
                <w:p>
                  <w:pPr>
                    <w:pStyle w:val="43"/>
                    <w:spacing w:line="240" w:lineRule="auto"/>
                    <w:ind w:firstLine="0" w:firstLineChars="0"/>
                    <w:jc w:val="center"/>
                    <w:rPr>
                      <w:color w:val="auto"/>
                    </w:rPr>
                  </w:pPr>
                  <w:r>
                    <w:rPr>
                      <w:color w:val="auto"/>
                    </w:rPr>
                    <w:t>项目</w:t>
                  </w:r>
                </w:p>
              </w:tc>
              <w:tc>
                <w:tcPr>
                  <w:tcW w:w="1511" w:type="dxa"/>
                  <w:vAlign w:val="center"/>
                </w:tcPr>
                <w:p>
                  <w:pPr>
                    <w:pStyle w:val="43"/>
                    <w:spacing w:line="240" w:lineRule="auto"/>
                    <w:ind w:firstLine="0" w:firstLineChars="0"/>
                    <w:jc w:val="center"/>
                    <w:rPr>
                      <w:color w:val="auto"/>
                    </w:rPr>
                  </w:pPr>
                  <w:r>
                    <w:rPr>
                      <w:color w:val="auto"/>
                    </w:rPr>
                    <w:t>监测点位</w:t>
                  </w:r>
                </w:p>
              </w:tc>
              <w:tc>
                <w:tcPr>
                  <w:tcW w:w="793" w:type="dxa"/>
                  <w:vAlign w:val="center"/>
                </w:tcPr>
                <w:p>
                  <w:pPr>
                    <w:pStyle w:val="43"/>
                    <w:spacing w:line="240" w:lineRule="auto"/>
                    <w:ind w:firstLine="0" w:firstLineChars="0"/>
                    <w:jc w:val="center"/>
                    <w:rPr>
                      <w:color w:val="auto"/>
                    </w:rPr>
                  </w:pPr>
                  <w:r>
                    <w:rPr>
                      <w:color w:val="auto"/>
                    </w:rPr>
                    <w:t>监测点数</w:t>
                  </w:r>
                </w:p>
              </w:tc>
              <w:tc>
                <w:tcPr>
                  <w:tcW w:w="737" w:type="dxa"/>
                  <w:vAlign w:val="center"/>
                </w:tcPr>
                <w:p>
                  <w:pPr>
                    <w:pStyle w:val="43"/>
                    <w:spacing w:line="240" w:lineRule="auto"/>
                    <w:ind w:firstLine="0" w:firstLineChars="0"/>
                    <w:jc w:val="center"/>
                    <w:rPr>
                      <w:color w:val="auto"/>
                    </w:rPr>
                  </w:pPr>
                  <w:r>
                    <w:rPr>
                      <w:color w:val="auto"/>
                    </w:rPr>
                    <w:t>监测频率</w:t>
                  </w:r>
                </w:p>
              </w:tc>
              <w:tc>
                <w:tcPr>
                  <w:tcW w:w="2655" w:type="dxa"/>
                  <w:vAlign w:val="center"/>
                </w:tcPr>
                <w:p>
                  <w:pPr>
                    <w:pStyle w:val="43"/>
                    <w:spacing w:line="240" w:lineRule="auto"/>
                    <w:ind w:firstLine="0" w:firstLineChars="0"/>
                    <w:jc w:val="center"/>
                    <w:rPr>
                      <w:color w:val="auto"/>
                    </w:rPr>
                  </w:pPr>
                  <w:r>
                    <w:rPr>
                      <w:color w:val="auto"/>
                    </w:rPr>
                    <w:t>控制指标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1283" w:type="dxa"/>
                  <w:vMerge w:val="restart"/>
                  <w:vAlign w:val="center"/>
                </w:tcPr>
                <w:p>
                  <w:pPr>
                    <w:pStyle w:val="43"/>
                    <w:spacing w:line="240" w:lineRule="auto"/>
                    <w:ind w:firstLine="0" w:firstLineChars="0"/>
                    <w:jc w:val="center"/>
                    <w:rPr>
                      <w:color w:val="auto"/>
                    </w:rPr>
                  </w:pPr>
                  <w:r>
                    <w:rPr>
                      <w:color w:val="auto"/>
                    </w:rPr>
                    <w:t>厂区无组织排放废气</w:t>
                  </w:r>
                </w:p>
              </w:tc>
              <w:tc>
                <w:tcPr>
                  <w:tcW w:w="859" w:type="dxa"/>
                  <w:vMerge w:val="restart"/>
                  <w:vAlign w:val="center"/>
                </w:tcPr>
                <w:p>
                  <w:pPr>
                    <w:pStyle w:val="43"/>
                    <w:spacing w:line="240" w:lineRule="auto"/>
                    <w:ind w:firstLine="0" w:firstLineChars="0"/>
                    <w:jc w:val="center"/>
                    <w:rPr>
                      <w:color w:val="auto"/>
                    </w:rPr>
                  </w:pPr>
                  <w:r>
                    <w:rPr>
                      <w:rFonts w:hint="eastAsia"/>
                      <w:color w:val="auto"/>
                    </w:rPr>
                    <w:t>非甲烷</w:t>
                  </w:r>
                </w:p>
                <w:p>
                  <w:pPr>
                    <w:pStyle w:val="43"/>
                    <w:spacing w:line="240" w:lineRule="auto"/>
                    <w:ind w:firstLine="0" w:firstLineChars="0"/>
                    <w:jc w:val="center"/>
                    <w:rPr>
                      <w:color w:val="auto"/>
                    </w:rPr>
                  </w:pPr>
                  <w:r>
                    <w:rPr>
                      <w:rFonts w:hint="eastAsia"/>
                      <w:color w:val="auto"/>
                    </w:rPr>
                    <w:t>总烃</w:t>
                  </w:r>
                </w:p>
              </w:tc>
              <w:tc>
                <w:tcPr>
                  <w:tcW w:w="1511" w:type="dxa"/>
                  <w:vAlign w:val="center"/>
                </w:tcPr>
                <w:p>
                  <w:pPr>
                    <w:pStyle w:val="43"/>
                    <w:spacing w:line="240" w:lineRule="auto"/>
                    <w:ind w:firstLine="0" w:firstLineChars="0"/>
                    <w:jc w:val="center"/>
                    <w:rPr>
                      <w:color w:val="auto"/>
                    </w:rPr>
                  </w:pPr>
                  <w:r>
                    <w:rPr>
                      <w:rFonts w:hint="eastAsia"/>
                      <w:color w:val="auto"/>
                      <w:lang w:val="en-US" w:eastAsia="zh-CN"/>
                    </w:rPr>
                    <w:t>井场</w:t>
                  </w:r>
                  <w:r>
                    <w:rPr>
                      <w:rFonts w:hint="eastAsia"/>
                      <w:color w:val="auto"/>
                    </w:rPr>
                    <w:t>上风向</w:t>
                  </w:r>
                </w:p>
              </w:tc>
              <w:tc>
                <w:tcPr>
                  <w:tcW w:w="793" w:type="dxa"/>
                  <w:vAlign w:val="center"/>
                </w:tcPr>
                <w:p>
                  <w:pPr>
                    <w:pStyle w:val="43"/>
                    <w:spacing w:line="240" w:lineRule="auto"/>
                    <w:ind w:firstLine="0" w:firstLineChars="0"/>
                    <w:jc w:val="center"/>
                    <w:rPr>
                      <w:color w:val="auto"/>
                    </w:rPr>
                  </w:pPr>
                  <w:r>
                    <w:rPr>
                      <w:rFonts w:hint="eastAsia"/>
                      <w:color w:val="auto"/>
                    </w:rPr>
                    <w:t>1</w:t>
                  </w:r>
                </w:p>
              </w:tc>
              <w:tc>
                <w:tcPr>
                  <w:tcW w:w="737" w:type="dxa"/>
                  <w:vMerge w:val="restart"/>
                  <w:vAlign w:val="center"/>
                </w:tcPr>
                <w:p>
                  <w:pPr>
                    <w:pStyle w:val="43"/>
                    <w:spacing w:line="240" w:lineRule="auto"/>
                    <w:ind w:firstLine="0" w:firstLineChars="0"/>
                    <w:jc w:val="center"/>
                    <w:rPr>
                      <w:color w:val="auto"/>
                    </w:rPr>
                  </w:pPr>
                  <w:r>
                    <w:rPr>
                      <w:rFonts w:hint="eastAsia"/>
                      <w:color w:val="auto"/>
                    </w:rPr>
                    <w:t>每季度</w:t>
                  </w:r>
                </w:p>
                <w:p>
                  <w:pPr>
                    <w:pStyle w:val="43"/>
                    <w:spacing w:line="240" w:lineRule="auto"/>
                    <w:ind w:firstLine="0" w:firstLineChars="0"/>
                    <w:jc w:val="center"/>
                    <w:rPr>
                      <w:color w:val="auto"/>
                    </w:rPr>
                  </w:pPr>
                  <w:r>
                    <w:rPr>
                      <w:rFonts w:hint="eastAsia"/>
                      <w:color w:val="auto"/>
                    </w:rPr>
                    <w:t>1次</w:t>
                  </w:r>
                </w:p>
              </w:tc>
              <w:tc>
                <w:tcPr>
                  <w:tcW w:w="2655" w:type="dxa"/>
                  <w:vMerge w:val="restart"/>
                  <w:vAlign w:val="center"/>
                </w:tcPr>
                <w:p>
                  <w:pPr>
                    <w:pStyle w:val="43"/>
                    <w:spacing w:line="240" w:lineRule="auto"/>
                    <w:ind w:firstLine="0" w:firstLineChars="0"/>
                    <w:jc w:val="center"/>
                    <w:rPr>
                      <w:color w:val="auto"/>
                    </w:rPr>
                  </w:pPr>
                  <w:r>
                    <w:rPr>
                      <w:color w:val="auto"/>
                    </w:rPr>
                    <w:t>《陆上石油天然气开采工业大气污染物排放标准》（GB39728-2020）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1283" w:type="dxa"/>
                  <w:vMerge w:val="continue"/>
                  <w:vAlign w:val="center"/>
                </w:tcPr>
                <w:p>
                  <w:pPr>
                    <w:pStyle w:val="43"/>
                    <w:spacing w:line="240" w:lineRule="auto"/>
                    <w:ind w:firstLine="0" w:firstLineChars="0"/>
                    <w:jc w:val="center"/>
                    <w:rPr>
                      <w:color w:val="auto"/>
                    </w:rPr>
                  </w:pPr>
                </w:p>
              </w:tc>
              <w:tc>
                <w:tcPr>
                  <w:tcW w:w="859" w:type="dxa"/>
                  <w:vMerge w:val="continue"/>
                  <w:vAlign w:val="center"/>
                </w:tcPr>
                <w:p>
                  <w:pPr>
                    <w:pStyle w:val="43"/>
                    <w:spacing w:line="240" w:lineRule="auto"/>
                    <w:ind w:firstLine="0" w:firstLineChars="0"/>
                    <w:jc w:val="center"/>
                    <w:rPr>
                      <w:color w:val="auto"/>
                    </w:rPr>
                  </w:pPr>
                </w:p>
              </w:tc>
              <w:tc>
                <w:tcPr>
                  <w:tcW w:w="1511" w:type="dxa"/>
                  <w:vAlign w:val="center"/>
                </w:tcPr>
                <w:p>
                  <w:pPr>
                    <w:pStyle w:val="43"/>
                    <w:spacing w:line="240" w:lineRule="auto"/>
                    <w:ind w:firstLine="0" w:firstLineChars="0"/>
                    <w:jc w:val="center"/>
                    <w:rPr>
                      <w:color w:val="auto"/>
                    </w:rPr>
                  </w:pPr>
                  <w:r>
                    <w:rPr>
                      <w:rFonts w:hint="eastAsia"/>
                      <w:color w:val="auto"/>
                      <w:lang w:val="en-US" w:eastAsia="zh-CN"/>
                    </w:rPr>
                    <w:t>井场</w:t>
                  </w:r>
                  <w:r>
                    <w:rPr>
                      <w:rFonts w:hint="eastAsia"/>
                      <w:color w:val="auto"/>
                    </w:rPr>
                    <w:t>下风向</w:t>
                  </w:r>
                </w:p>
              </w:tc>
              <w:tc>
                <w:tcPr>
                  <w:tcW w:w="793" w:type="dxa"/>
                  <w:vAlign w:val="center"/>
                </w:tcPr>
                <w:p>
                  <w:pPr>
                    <w:pStyle w:val="43"/>
                    <w:spacing w:line="240" w:lineRule="auto"/>
                    <w:ind w:firstLine="0" w:firstLineChars="0"/>
                    <w:jc w:val="center"/>
                    <w:rPr>
                      <w:color w:val="auto"/>
                    </w:rPr>
                  </w:pPr>
                  <w:r>
                    <w:rPr>
                      <w:rFonts w:hint="eastAsia"/>
                      <w:color w:val="auto"/>
                    </w:rPr>
                    <w:t>3</w:t>
                  </w:r>
                </w:p>
              </w:tc>
              <w:tc>
                <w:tcPr>
                  <w:tcW w:w="737" w:type="dxa"/>
                  <w:vMerge w:val="continue"/>
                  <w:vAlign w:val="center"/>
                </w:tcPr>
                <w:p>
                  <w:pPr>
                    <w:pStyle w:val="43"/>
                    <w:spacing w:line="240" w:lineRule="auto"/>
                    <w:ind w:firstLine="0" w:firstLineChars="0"/>
                    <w:jc w:val="center"/>
                    <w:rPr>
                      <w:color w:val="auto"/>
                    </w:rPr>
                  </w:pPr>
                </w:p>
              </w:tc>
              <w:tc>
                <w:tcPr>
                  <w:tcW w:w="2655" w:type="dxa"/>
                  <w:vMerge w:val="continue"/>
                  <w:vAlign w:val="center"/>
                </w:tcPr>
                <w:p>
                  <w:pPr>
                    <w:pStyle w:val="43"/>
                    <w:spacing w:line="240" w:lineRule="auto"/>
                    <w:ind w:firstLine="0" w:firstLineChars="0"/>
                    <w:jc w:val="center"/>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7838" w:type="dxa"/>
                  <w:gridSpan w:val="6"/>
                  <w:vAlign w:val="center"/>
                </w:tcPr>
                <w:p>
                  <w:pPr>
                    <w:pStyle w:val="43"/>
                    <w:spacing w:line="240" w:lineRule="auto"/>
                    <w:ind w:firstLine="0" w:firstLineChars="0"/>
                    <w:rPr>
                      <w:color w:val="auto"/>
                    </w:rPr>
                  </w:pPr>
                  <w:r>
                    <w:rPr>
                      <w:rFonts w:hint="eastAsia"/>
                      <w:color w:val="auto"/>
                    </w:rPr>
                    <w:t>备注：可将本项目纳入</w:t>
                  </w:r>
                  <w:r>
                    <w:rPr>
                      <w:rFonts w:hint="eastAsia"/>
                      <w:color w:val="auto"/>
                      <w:lang w:eastAsia="zh-CN"/>
                    </w:rPr>
                    <w:t>小河</w:t>
                  </w:r>
                  <w:r>
                    <w:rPr>
                      <w:rFonts w:hint="eastAsia"/>
                      <w:color w:val="auto"/>
                    </w:rPr>
                    <w:t>作业区自行监测计划。</w:t>
                  </w:r>
                </w:p>
              </w:tc>
            </w:tr>
          </w:tbl>
          <w:p>
            <w:pPr>
              <w:adjustRightInd w:val="0"/>
              <w:snapToGrid w:val="0"/>
              <w:spacing w:before="120" w:beforeLines="50" w:line="360" w:lineRule="auto"/>
              <w:rPr>
                <w:color w:val="auto"/>
                <w:sz w:val="24"/>
              </w:rPr>
            </w:pPr>
            <w:r>
              <w:rPr>
                <w:rFonts w:hint="eastAsia"/>
                <w:color w:val="auto"/>
                <w:sz w:val="24"/>
              </w:rPr>
              <w:t>2、地表水环境影响</w:t>
            </w:r>
          </w:p>
          <w:p>
            <w:pPr>
              <w:pStyle w:val="43"/>
              <w:ind w:firstLine="480"/>
              <w:rPr>
                <w:rFonts w:hint="default" w:ascii="宋体" w:hAnsi="宋体" w:eastAsia="宋体" w:cs="宋体"/>
                <w:color w:val="auto"/>
                <w:sz w:val="24"/>
                <w:szCs w:val="32"/>
                <w:lang w:val="en-US" w:eastAsia="zh-CN"/>
              </w:rPr>
            </w:pPr>
            <w:r>
              <w:rPr>
                <w:rFonts w:hint="eastAsia" w:ascii="宋体" w:hAnsi="宋体" w:cs="宋体"/>
                <w:color w:val="auto"/>
                <w:sz w:val="24"/>
                <w:szCs w:val="32"/>
              </w:rPr>
              <w:t>本项目正常情况下无废水产生，</w:t>
            </w:r>
            <w:r>
              <w:rPr>
                <w:rFonts w:hint="eastAsia" w:ascii="宋体" w:hAnsi="宋体" w:cs="宋体"/>
                <w:color w:val="auto"/>
                <w:sz w:val="24"/>
                <w:szCs w:val="32"/>
                <w:lang w:val="en-US" w:eastAsia="zh-CN"/>
              </w:rPr>
              <w:t>落地油</w:t>
            </w:r>
            <w:r>
              <w:rPr>
                <w:rFonts w:hint="eastAsia" w:ascii="宋体" w:hAnsi="宋体" w:cs="宋体"/>
                <w:color w:val="auto"/>
                <w:sz w:val="24"/>
                <w:szCs w:val="32"/>
              </w:rPr>
              <w:t>泥采用密封袋收集</w:t>
            </w:r>
            <w:r>
              <w:rPr>
                <w:rFonts w:hint="eastAsia" w:ascii="宋体" w:hAnsi="宋体" w:cs="宋体"/>
                <w:color w:val="auto"/>
                <w:sz w:val="24"/>
                <w:szCs w:val="32"/>
                <w:lang w:eastAsia="zh-CN"/>
              </w:rPr>
              <w:t>。</w:t>
            </w:r>
            <w:r>
              <w:rPr>
                <w:rFonts w:hint="eastAsia" w:ascii="宋体" w:hAnsi="宋体" w:cs="宋体"/>
                <w:color w:val="auto"/>
                <w:sz w:val="24"/>
                <w:szCs w:val="32"/>
                <w:lang w:val="en-US" w:eastAsia="zh-CN"/>
              </w:rPr>
              <w:t>由于落地油泥含水量低，</w:t>
            </w:r>
            <w:r>
              <w:rPr>
                <w:rFonts w:hint="eastAsia" w:ascii="宋体" w:hAnsi="宋体" w:cs="宋体"/>
                <w:color w:val="auto"/>
                <w:sz w:val="24"/>
                <w:szCs w:val="32"/>
              </w:rPr>
              <w:t>仅在密封袋破损时析出</w:t>
            </w:r>
            <w:r>
              <w:rPr>
                <w:rFonts w:hint="eastAsia" w:ascii="宋体" w:hAnsi="宋体" w:cs="宋体"/>
                <w:color w:val="auto"/>
                <w:sz w:val="24"/>
                <w:szCs w:val="32"/>
                <w:lang w:val="en-US" w:eastAsia="zh-CN"/>
              </w:rPr>
              <w:t>极</w:t>
            </w:r>
            <w:r>
              <w:rPr>
                <w:rFonts w:hint="eastAsia" w:ascii="宋体" w:hAnsi="宋体" w:cs="宋体"/>
                <w:color w:val="auto"/>
                <w:sz w:val="24"/>
                <w:szCs w:val="32"/>
              </w:rPr>
              <w:t>少量渗滤液，收集池内渗滤液与</w:t>
            </w:r>
            <w:r>
              <w:rPr>
                <w:rFonts w:hint="eastAsia" w:ascii="宋体" w:hAnsi="宋体" w:cs="宋体"/>
                <w:color w:val="auto"/>
                <w:sz w:val="24"/>
                <w:szCs w:val="32"/>
                <w:lang w:val="en-US" w:eastAsia="zh-CN"/>
              </w:rPr>
              <w:t>落地油泥</w:t>
            </w:r>
            <w:r>
              <w:rPr>
                <w:rFonts w:hint="eastAsia" w:ascii="宋体" w:hAnsi="宋体" w:cs="宋体"/>
                <w:color w:val="auto"/>
                <w:sz w:val="24"/>
                <w:szCs w:val="32"/>
              </w:rPr>
              <w:t>交由有资质单位统一处理。评价要求暂存间周围设置雨水导排系统，将暂存点周边的雨水导排至井场内的雨水蒸发池。</w:t>
            </w:r>
          </w:p>
          <w:p>
            <w:pPr>
              <w:pStyle w:val="43"/>
              <w:ind w:firstLine="480"/>
              <w:rPr>
                <w:rFonts w:hint="eastAsia" w:ascii="宋体" w:hAnsi="宋体" w:cs="宋体"/>
                <w:color w:val="auto"/>
                <w:sz w:val="24"/>
                <w:szCs w:val="32"/>
                <w:lang w:val="en-US" w:eastAsia="zh-CN"/>
              </w:rPr>
            </w:pPr>
            <w:r>
              <w:rPr>
                <w:rFonts w:hint="eastAsia" w:ascii="宋体" w:hAnsi="宋体" w:cs="宋体"/>
                <w:color w:val="auto"/>
                <w:sz w:val="24"/>
                <w:szCs w:val="32"/>
                <w:lang w:val="en-US" w:eastAsia="zh-CN"/>
              </w:rPr>
              <w:t>由于本项目设计墙体顶部与屋檐高度差过大，可能存在雨水流进屋内的情况，评价要求将加宽屋檐并将墙体加高1.5m，减少雨水被吹进暂存间内的情况发生。</w:t>
            </w:r>
          </w:p>
          <w:p>
            <w:pPr>
              <w:pStyle w:val="43"/>
              <w:ind w:firstLine="480"/>
              <w:rPr>
                <w:rFonts w:hint="eastAsia" w:ascii="宋体" w:hAnsi="宋体" w:cs="宋体"/>
                <w:color w:val="auto"/>
                <w:sz w:val="24"/>
                <w:szCs w:val="32"/>
                <w:lang w:val="en-US" w:eastAsia="zh-CN"/>
              </w:rPr>
            </w:pPr>
            <w:r>
              <w:rPr>
                <w:rFonts w:hint="eastAsia" w:ascii="宋体" w:hAnsi="宋体" w:cs="宋体"/>
                <w:color w:val="auto"/>
                <w:sz w:val="24"/>
                <w:szCs w:val="32"/>
                <w:lang w:val="en-US" w:eastAsia="zh-CN"/>
              </w:rPr>
              <w:t>采取以上措施后，本项目运行过程中对地表水环境无影响。</w:t>
            </w:r>
          </w:p>
          <w:p>
            <w:pPr>
              <w:adjustRightInd w:val="0"/>
              <w:snapToGrid w:val="0"/>
              <w:spacing w:line="360" w:lineRule="auto"/>
              <w:rPr>
                <w:color w:val="auto"/>
                <w:sz w:val="24"/>
              </w:rPr>
            </w:pPr>
            <w:r>
              <w:rPr>
                <w:rFonts w:hint="eastAsia"/>
                <w:color w:val="auto"/>
                <w:sz w:val="24"/>
              </w:rPr>
              <w:t>3、声环境影响</w:t>
            </w:r>
          </w:p>
          <w:p>
            <w:pPr>
              <w:adjustRightInd w:val="0"/>
              <w:snapToGrid w:val="0"/>
              <w:spacing w:line="360" w:lineRule="auto"/>
              <w:ind w:firstLine="480" w:firstLineChars="200"/>
              <w:rPr>
                <w:color w:val="auto"/>
                <w:sz w:val="24"/>
              </w:rPr>
            </w:pPr>
            <w:bookmarkStart w:id="3" w:name="_Toc301355212"/>
            <w:bookmarkStart w:id="4" w:name="_Toc300585373"/>
            <w:bookmarkStart w:id="5" w:name="_Toc301355428"/>
            <w:bookmarkStart w:id="6" w:name="_Toc204834801"/>
            <w:bookmarkStart w:id="7" w:name="_Toc189129011"/>
            <w:r>
              <w:rPr>
                <w:rFonts w:hint="eastAsia"/>
                <w:color w:val="auto"/>
                <w:sz w:val="24"/>
              </w:rPr>
              <w:t>本项目运营期噪声主要来源于运输车辆等产生的噪声，声源一般为65~75dB（A）。落地油泥运输主要采用汽车运输的方式，由各井场、站点运至油泥暂存点的运输时间具有随机性，运输车辆进场时间较分散，且项目区周围环境空旷，因此不会对某一方向或区域产生较大噪声影响。可见，本项目运输车辆产生的噪声影响在可接受范围内。</w:t>
            </w:r>
          </w:p>
          <w:p>
            <w:pPr>
              <w:adjustRightInd w:val="0"/>
              <w:snapToGrid w:val="0"/>
              <w:spacing w:line="360" w:lineRule="auto"/>
              <w:ind w:firstLine="480" w:firstLineChars="200"/>
              <w:rPr>
                <w:color w:val="auto"/>
                <w:sz w:val="24"/>
              </w:rPr>
            </w:pPr>
            <w:r>
              <w:rPr>
                <w:rFonts w:hint="eastAsia"/>
                <w:color w:val="auto"/>
                <w:sz w:val="24"/>
              </w:rPr>
              <w:t>评价要求项目合理安排落地油泥转运时间，禁止夜间运输，同时要求运输单位对车辆进行定期维修保养，降低噪声源强，在邻近村庄处行驶时减速慢行，合理安排运输时间，减缓车辆噪声产生的不良影响。本项目无新增噪声源，根据本次的厂界噪声监测结果可知，厂界噪声能够满足《工业企业厂界环境噪声排放标准》（GB12348-2008）中2类标准。</w:t>
            </w:r>
          </w:p>
          <w:p>
            <w:pPr>
              <w:adjustRightInd w:val="0"/>
              <w:snapToGrid w:val="0"/>
              <w:spacing w:line="360" w:lineRule="auto"/>
              <w:ind w:firstLine="480" w:firstLineChars="200"/>
              <w:rPr>
                <w:color w:val="auto"/>
                <w:sz w:val="24"/>
                <w:szCs w:val="32"/>
              </w:rPr>
            </w:pPr>
            <w:r>
              <w:rPr>
                <w:rFonts w:hint="eastAsia"/>
                <w:color w:val="auto"/>
                <w:sz w:val="24"/>
                <w:szCs w:val="32"/>
              </w:rPr>
              <w:t>根据《排污单位自行监测技术指南 陆上石油天然气开采工业》（HJ 1248-2022），</w:t>
            </w:r>
            <w:r>
              <w:rPr>
                <w:color w:val="auto"/>
                <w:sz w:val="24"/>
                <w:szCs w:val="32"/>
              </w:rPr>
              <w:t>项目营运期噪声监测计划见表4-</w:t>
            </w:r>
            <w:r>
              <w:rPr>
                <w:rFonts w:hint="eastAsia"/>
                <w:color w:val="auto"/>
                <w:sz w:val="24"/>
                <w:szCs w:val="32"/>
              </w:rPr>
              <w:t>5</w:t>
            </w:r>
            <w:r>
              <w:rPr>
                <w:color w:val="auto"/>
                <w:sz w:val="24"/>
                <w:szCs w:val="32"/>
              </w:rPr>
              <w:t>。</w:t>
            </w:r>
          </w:p>
          <w:p>
            <w:pPr>
              <w:adjustRightInd w:val="0"/>
              <w:snapToGrid w:val="0"/>
              <w:ind w:firstLine="422" w:firstLineChars="200"/>
              <w:rPr>
                <w:rFonts w:ascii="宋体" w:hAnsi="宋体" w:cs="宋体"/>
                <w:b/>
                <w:bCs/>
                <w:color w:val="auto"/>
                <w:szCs w:val="21"/>
              </w:rPr>
            </w:pPr>
            <w:r>
              <w:rPr>
                <w:b/>
                <w:bCs/>
                <w:color w:val="auto"/>
                <w:szCs w:val="21"/>
              </w:rPr>
              <w:t>表4-</w:t>
            </w:r>
            <w:r>
              <w:rPr>
                <w:rFonts w:hint="eastAsia"/>
                <w:b/>
                <w:bCs/>
                <w:color w:val="auto"/>
                <w:szCs w:val="21"/>
              </w:rPr>
              <w:t>5</w:t>
            </w:r>
            <w:r>
              <w:rPr>
                <w:b/>
                <w:bCs/>
                <w:color w:val="auto"/>
                <w:szCs w:val="21"/>
              </w:rPr>
              <w:t xml:space="preserve">                </w:t>
            </w:r>
            <w:r>
              <w:rPr>
                <w:rFonts w:hint="eastAsia" w:ascii="宋体" w:hAnsi="宋体" w:cs="宋体"/>
                <w:b/>
                <w:bCs/>
                <w:color w:val="auto"/>
                <w:szCs w:val="21"/>
              </w:rPr>
              <w:t xml:space="preserve">     项目噪声污染源监测计划</w:t>
            </w:r>
          </w:p>
          <w:tbl>
            <w:tblPr>
              <w:tblStyle w:val="19"/>
              <w:tblW w:w="775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2"/>
              <w:gridCol w:w="970"/>
              <w:gridCol w:w="1193"/>
              <w:gridCol w:w="970"/>
              <w:gridCol w:w="1313"/>
              <w:gridCol w:w="26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400" w:type="pct"/>
                  <w:noWrap/>
                  <w:vAlign w:val="center"/>
                </w:tcPr>
                <w:p>
                  <w:pPr>
                    <w:spacing w:line="240" w:lineRule="exact"/>
                    <w:jc w:val="center"/>
                    <w:rPr>
                      <w:color w:val="auto"/>
                      <w:szCs w:val="21"/>
                    </w:rPr>
                  </w:pPr>
                  <w:r>
                    <w:rPr>
                      <w:color w:val="auto"/>
                      <w:szCs w:val="21"/>
                    </w:rPr>
                    <w:t>项目</w:t>
                  </w:r>
                </w:p>
              </w:tc>
              <w:tc>
                <w:tcPr>
                  <w:tcW w:w="625" w:type="pct"/>
                  <w:noWrap/>
                  <w:vAlign w:val="center"/>
                </w:tcPr>
                <w:p>
                  <w:pPr>
                    <w:spacing w:line="240" w:lineRule="exact"/>
                    <w:jc w:val="center"/>
                    <w:rPr>
                      <w:color w:val="auto"/>
                      <w:szCs w:val="21"/>
                    </w:rPr>
                  </w:pPr>
                  <w:r>
                    <w:rPr>
                      <w:color w:val="auto"/>
                      <w:szCs w:val="21"/>
                    </w:rPr>
                    <w:t>监测项目</w:t>
                  </w:r>
                </w:p>
              </w:tc>
              <w:tc>
                <w:tcPr>
                  <w:tcW w:w="769" w:type="pct"/>
                  <w:noWrap/>
                  <w:vAlign w:val="center"/>
                </w:tcPr>
                <w:p>
                  <w:pPr>
                    <w:spacing w:line="240" w:lineRule="exact"/>
                    <w:jc w:val="center"/>
                    <w:rPr>
                      <w:color w:val="auto"/>
                      <w:szCs w:val="21"/>
                    </w:rPr>
                  </w:pPr>
                  <w:r>
                    <w:rPr>
                      <w:color w:val="auto"/>
                      <w:szCs w:val="21"/>
                    </w:rPr>
                    <w:t>监测点位置</w:t>
                  </w:r>
                </w:p>
              </w:tc>
              <w:tc>
                <w:tcPr>
                  <w:tcW w:w="625" w:type="pct"/>
                  <w:noWrap/>
                  <w:vAlign w:val="center"/>
                </w:tcPr>
                <w:p>
                  <w:pPr>
                    <w:spacing w:line="240" w:lineRule="exact"/>
                    <w:jc w:val="center"/>
                    <w:rPr>
                      <w:color w:val="auto"/>
                      <w:szCs w:val="21"/>
                    </w:rPr>
                  </w:pPr>
                  <w:r>
                    <w:rPr>
                      <w:color w:val="auto"/>
                      <w:szCs w:val="21"/>
                    </w:rPr>
                    <w:t>监测点数</w:t>
                  </w:r>
                </w:p>
              </w:tc>
              <w:tc>
                <w:tcPr>
                  <w:tcW w:w="845" w:type="pct"/>
                  <w:noWrap/>
                  <w:vAlign w:val="center"/>
                </w:tcPr>
                <w:p>
                  <w:pPr>
                    <w:spacing w:line="240" w:lineRule="exact"/>
                    <w:jc w:val="center"/>
                    <w:rPr>
                      <w:color w:val="auto"/>
                      <w:szCs w:val="21"/>
                    </w:rPr>
                  </w:pPr>
                  <w:r>
                    <w:rPr>
                      <w:color w:val="auto"/>
                      <w:szCs w:val="21"/>
                    </w:rPr>
                    <w:t>监测频率</w:t>
                  </w:r>
                </w:p>
              </w:tc>
              <w:tc>
                <w:tcPr>
                  <w:tcW w:w="1733" w:type="pct"/>
                  <w:noWrap/>
                  <w:vAlign w:val="center"/>
                </w:tcPr>
                <w:p>
                  <w:pPr>
                    <w:spacing w:line="240" w:lineRule="exact"/>
                    <w:jc w:val="center"/>
                    <w:rPr>
                      <w:color w:val="auto"/>
                      <w:szCs w:val="21"/>
                    </w:rPr>
                  </w:pPr>
                  <w:r>
                    <w:rPr>
                      <w:color w:val="auto"/>
                      <w:szCs w:val="21"/>
                    </w:rPr>
                    <w:t>控制标准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6" w:hRule="atLeast"/>
                <w:jc w:val="center"/>
              </w:trPr>
              <w:tc>
                <w:tcPr>
                  <w:tcW w:w="400" w:type="pct"/>
                  <w:noWrap/>
                  <w:vAlign w:val="center"/>
                </w:tcPr>
                <w:p>
                  <w:pPr>
                    <w:spacing w:line="240" w:lineRule="exact"/>
                    <w:jc w:val="center"/>
                    <w:rPr>
                      <w:color w:val="auto"/>
                      <w:szCs w:val="21"/>
                    </w:rPr>
                  </w:pPr>
                  <w:r>
                    <w:rPr>
                      <w:color w:val="auto"/>
                      <w:szCs w:val="21"/>
                    </w:rPr>
                    <w:t>噪声</w:t>
                  </w:r>
                </w:p>
              </w:tc>
              <w:tc>
                <w:tcPr>
                  <w:tcW w:w="625" w:type="pct"/>
                  <w:noWrap/>
                  <w:vAlign w:val="center"/>
                </w:tcPr>
                <w:p>
                  <w:pPr>
                    <w:widowControl/>
                    <w:spacing w:line="240" w:lineRule="exact"/>
                    <w:jc w:val="center"/>
                    <w:rPr>
                      <w:color w:val="auto"/>
                      <w:kern w:val="0"/>
                      <w:szCs w:val="21"/>
                    </w:rPr>
                  </w:pPr>
                  <w:r>
                    <w:rPr>
                      <w:color w:val="auto"/>
                      <w:kern w:val="0"/>
                      <w:szCs w:val="21"/>
                    </w:rPr>
                    <w:t>Leq(A)</w:t>
                  </w:r>
                </w:p>
              </w:tc>
              <w:tc>
                <w:tcPr>
                  <w:tcW w:w="769" w:type="pct"/>
                  <w:noWrap/>
                  <w:vAlign w:val="center"/>
                </w:tcPr>
                <w:p>
                  <w:pPr>
                    <w:widowControl/>
                    <w:spacing w:line="240" w:lineRule="exact"/>
                    <w:jc w:val="center"/>
                    <w:rPr>
                      <w:color w:val="auto"/>
                      <w:szCs w:val="21"/>
                    </w:rPr>
                  </w:pPr>
                  <w:r>
                    <w:rPr>
                      <w:rFonts w:hint="eastAsia"/>
                      <w:color w:val="auto"/>
                      <w:szCs w:val="21"/>
                      <w:lang w:val="en-US" w:eastAsia="zh-CN"/>
                    </w:rPr>
                    <w:t>井场</w:t>
                  </w:r>
                  <w:r>
                    <w:rPr>
                      <w:color w:val="auto"/>
                      <w:szCs w:val="21"/>
                    </w:rPr>
                    <w:t>四周</w:t>
                  </w:r>
                </w:p>
              </w:tc>
              <w:tc>
                <w:tcPr>
                  <w:tcW w:w="625" w:type="pct"/>
                  <w:noWrap/>
                  <w:vAlign w:val="center"/>
                </w:tcPr>
                <w:p>
                  <w:pPr>
                    <w:spacing w:line="240" w:lineRule="exact"/>
                    <w:jc w:val="center"/>
                    <w:rPr>
                      <w:color w:val="auto"/>
                      <w:szCs w:val="21"/>
                    </w:rPr>
                  </w:pPr>
                  <w:r>
                    <w:rPr>
                      <w:color w:val="auto"/>
                      <w:szCs w:val="21"/>
                    </w:rPr>
                    <w:t>4个</w:t>
                  </w:r>
                </w:p>
              </w:tc>
              <w:tc>
                <w:tcPr>
                  <w:tcW w:w="845" w:type="pct"/>
                  <w:noWrap/>
                  <w:vAlign w:val="center"/>
                </w:tcPr>
                <w:p>
                  <w:pPr>
                    <w:spacing w:line="240" w:lineRule="exact"/>
                    <w:jc w:val="center"/>
                    <w:rPr>
                      <w:color w:val="auto"/>
                      <w:szCs w:val="21"/>
                    </w:rPr>
                  </w:pPr>
                  <w:r>
                    <w:rPr>
                      <w:color w:val="auto"/>
                      <w:szCs w:val="21"/>
                    </w:rPr>
                    <w:t>每季度1次</w:t>
                  </w:r>
                </w:p>
              </w:tc>
              <w:tc>
                <w:tcPr>
                  <w:tcW w:w="1733" w:type="pct"/>
                  <w:noWrap/>
                  <w:vAlign w:val="center"/>
                </w:tcPr>
                <w:p>
                  <w:pPr>
                    <w:spacing w:line="240" w:lineRule="exact"/>
                    <w:jc w:val="center"/>
                    <w:rPr>
                      <w:color w:val="auto"/>
                      <w:szCs w:val="21"/>
                    </w:rPr>
                  </w:pPr>
                  <w:r>
                    <w:rPr>
                      <w:color w:val="auto"/>
                      <w:szCs w:val="21"/>
                    </w:rPr>
                    <w:t>《工业企业厂界环境噪声排放标准》（GB12348-2008）</w:t>
                  </w:r>
                </w:p>
                <w:p>
                  <w:pPr>
                    <w:spacing w:line="240" w:lineRule="exact"/>
                    <w:jc w:val="center"/>
                    <w:rPr>
                      <w:color w:val="auto"/>
                      <w:szCs w:val="21"/>
                    </w:rPr>
                  </w:pPr>
                  <w:r>
                    <w:rPr>
                      <w:color w:val="auto"/>
                      <w:szCs w:val="21"/>
                    </w:rPr>
                    <w:t>中的2类标准</w:t>
                  </w:r>
                </w:p>
              </w:tc>
            </w:tr>
            <w:bookmarkEnd w:id="3"/>
            <w:bookmarkEnd w:id="4"/>
            <w:bookmarkEnd w:id="5"/>
            <w:bookmarkEnd w:id="6"/>
            <w:bookmarkEnd w:id="7"/>
          </w:tbl>
          <w:p>
            <w:pPr>
              <w:pStyle w:val="43"/>
              <w:keepNext w:val="0"/>
              <w:keepLines w:val="0"/>
              <w:pageBreakBefore w:val="0"/>
              <w:widowControl w:val="0"/>
              <w:kinsoku/>
              <w:wordWrap/>
              <w:overflowPunct/>
              <w:topLinePunct w:val="0"/>
              <w:autoSpaceDE/>
              <w:autoSpaceDN/>
              <w:bidi w:val="0"/>
              <w:adjustRightInd w:val="0"/>
              <w:snapToGrid w:val="0"/>
              <w:spacing w:before="157" w:beforeLines="50"/>
              <w:ind w:firstLine="0" w:firstLineChars="0"/>
              <w:textAlignment w:val="auto"/>
              <w:rPr>
                <w:rFonts w:ascii="宋体" w:hAnsi="宋体" w:cs="宋体"/>
                <w:color w:val="auto"/>
                <w:sz w:val="24"/>
                <w:szCs w:val="32"/>
              </w:rPr>
            </w:pPr>
            <w:r>
              <w:rPr>
                <w:rFonts w:hint="eastAsia" w:ascii="宋体" w:hAnsi="宋体" w:cs="宋体"/>
                <w:color w:val="auto"/>
                <w:sz w:val="24"/>
                <w:szCs w:val="32"/>
              </w:rPr>
              <w:t>4、固体废物</w:t>
            </w:r>
          </w:p>
          <w:p>
            <w:pPr>
              <w:pStyle w:val="43"/>
              <w:ind w:firstLine="480"/>
              <w:rPr>
                <w:rFonts w:ascii="宋体" w:hAnsi="宋体" w:cs="宋体"/>
                <w:color w:val="auto"/>
                <w:sz w:val="24"/>
                <w:szCs w:val="32"/>
              </w:rPr>
            </w:pPr>
            <w:r>
              <w:rPr>
                <w:rFonts w:hint="eastAsia" w:ascii="宋体" w:hAnsi="宋体" w:cs="宋体"/>
                <w:color w:val="auto"/>
                <w:sz w:val="24"/>
                <w:szCs w:val="32"/>
              </w:rPr>
              <w:t>本项目油泥暂存过程中不产生固体废物，暂存的落地油泥全部由有资质单位外运处置，不存在遗留。</w:t>
            </w:r>
          </w:p>
          <w:p>
            <w:pPr>
              <w:pStyle w:val="43"/>
              <w:ind w:firstLine="480"/>
              <w:rPr>
                <w:rFonts w:ascii="宋体" w:hAnsi="宋体" w:cs="宋体"/>
                <w:color w:val="auto"/>
                <w:sz w:val="24"/>
                <w:szCs w:val="32"/>
              </w:rPr>
            </w:pPr>
            <w:r>
              <w:rPr>
                <w:rFonts w:hint="eastAsia" w:ascii="宋体" w:hAnsi="宋体" w:cs="宋体"/>
                <w:color w:val="auto"/>
                <w:sz w:val="24"/>
                <w:szCs w:val="32"/>
              </w:rPr>
              <w:t>项目落地油泥储存设施应采取以下环保措施：</w:t>
            </w:r>
          </w:p>
          <w:p>
            <w:pPr>
              <w:pStyle w:val="43"/>
              <w:ind w:firstLine="480"/>
              <w:rPr>
                <w:rFonts w:ascii="宋体" w:hAnsi="宋体" w:cs="宋体"/>
                <w:color w:val="auto"/>
                <w:sz w:val="24"/>
                <w:szCs w:val="32"/>
              </w:rPr>
            </w:pPr>
            <w:r>
              <w:rPr>
                <w:rFonts w:hint="eastAsia" w:ascii="宋体" w:hAnsi="宋体" w:cs="宋体"/>
                <w:color w:val="auto"/>
                <w:sz w:val="24"/>
                <w:szCs w:val="32"/>
              </w:rPr>
              <w:t>① 项目建设方要建立危险废物管理台账，对危险废物如实申报，危险废物转移实施“转移联单制管理”，记录危险废物的转移量、转移去向；</w:t>
            </w:r>
          </w:p>
          <w:p>
            <w:pPr>
              <w:pStyle w:val="43"/>
              <w:ind w:firstLine="480"/>
              <w:rPr>
                <w:rFonts w:ascii="宋体" w:hAnsi="宋体" w:cs="宋体"/>
                <w:color w:val="auto"/>
                <w:sz w:val="24"/>
                <w:szCs w:val="32"/>
              </w:rPr>
            </w:pPr>
            <w:r>
              <w:rPr>
                <w:rFonts w:hint="eastAsia" w:ascii="宋体" w:hAnsi="宋体" w:cs="宋体"/>
                <w:color w:val="auto"/>
                <w:sz w:val="24"/>
                <w:szCs w:val="32"/>
              </w:rPr>
              <w:t>② 应对暂存间地面采取防渗措施，本项目按照《危险废物贮存污染控制标准》(GB18597-2023)中的相关要求进行防渗处理,符合要求；</w:t>
            </w:r>
          </w:p>
          <w:p>
            <w:pPr>
              <w:pStyle w:val="43"/>
              <w:ind w:firstLine="480"/>
              <w:rPr>
                <w:rFonts w:ascii="宋体" w:hAnsi="宋体" w:cs="宋体"/>
                <w:color w:val="auto"/>
                <w:sz w:val="24"/>
                <w:szCs w:val="32"/>
              </w:rPr>
            </w:pPr>
            <w:r>
              <w:rPr>
                <w:rFonts w:hint="eastAsia" w:ascii="宋体" w:hAnsi="宋体" w:cs="宋体"/>
                <w:color w:val="auto"/>
                <w:sz w:val="24"/>
                <w:szCs w:val="32"/>
              </w:rPr>
              <w:t>③ 落实危险废物识别标志制度，按照</w:t>
            </w:r>
            <w:r>
              <w:rPr>
                <w:rFonts w:hint="eastAsia" w:ascii="宋体" w:hAnsi="宋体" w:cs="Calibri"/>
                <w:color w:val="auto"/>
                <w:sz w:val="24"/>
              </w:rPr>
              <w:t>《危险废物识别标志设置技术规范》(HJ 1276</w:t>
            </w:r>
            <w:r>
              <w:rPr>
                <w:rFonts w:hint="eastAsia" w:ascii="宋体" w:hAnsi="宋体" w:cs="Calibri"/>
                <w:color w:val="auto"/>
                <w:sz w:val="24"/>
                <w:lang w:val="en-US" w:eastAsia="zh-CN"/>
              </w:rPr>
              <w:t>-</w:t>
            </w:r>
            <w:r>
              <w:rPr>
                <w:rFonts w:hint="eastAsia" w:ascii="宋体" w:hAnsi="宋体" w:cs="Calibri"/>
                <w:color w:val="auto"/>
                <w:sz w:val="24"/>
              </w:rPr>
              <w:t>2022)</w:t>
            </w:r>
            <w:r>
              <w:rPr>
                <w:rFonts w:hint="eastAsia" w:ascii="宋体" w:hAnsi="宋体" w:cs="宋体"/>
                <w:color w:val="auto"/>
                <w:sz w:val="24"/>
                <w:szCs w:val="32"/>
              </w:rPr>
              <w:t>等有关规定，对油泥包装物以及暂存间设置危险废物识别标志；</w:t>
            </w:r>
          </w:p>
          <w:p>
            <w:pPr>
              <w:pStyle w:val="43"/>
              <w:ind w:firstLine="480"/>
              <w:rPr>
                <w:rFonts w:ascii="宋体" w:hAnsi="宋体" w:cs="宋体"/>
                <w:color w:val="auto"/>
                <w:sz w:val="24"/>
                <w:szCs w:val="32"/>
              </w:rPr>
            </w:pPr>
            <w:r>
              <w:rPr>
                <w:rFonts w:hint="eastAsia" w:ascii="宋体" w:hAnsi="宋体" w:cs="宋体"/>
                <w:color w:val="auto"/>
                <w:sz w:val="24"/>
                <w:szCs w:val="32"/>
              </w:rPr>
              <w:t>④ 按照国家污染源管理要求，对油泥暂存间进行监测，发现问题及时采取应急处置措施，避免对环境造成污染影响；</w:t>
            </w:r>
          </w:p>
          <w:p>
            <w:pPr>
              <w:pStyle w:val="43"/>
              <w:ind w:firstLine="480"/>
              <w:rPr>
                <w:rFonts w:ascii="宋体" w:hAnsi="宋体" w:cs="宋体"/>
                <w:color w:val="auto"/>
                <w:sz w:val="24"/>
                <w:szCs w:val="32"/>
              </w:rPr>
            </w:pPr>
            <w:r>
              <w:rPr>
                <w:rFonts w:hint="eastAsia" w:ascii="宋体" w:hAnsi="宋体" w:cs="宋体"/>
                <w:color w:val="auto"/>
                <w:sz w:val="24"/>
                <w:szCs w:val="32"/>
              </w:rPr>
              <w:t>⑤ 制定意外事故的防范措施和环境应急预案，并向所在地生态环境主管部门和其他负有固体废物污染环境防治监督管理职责的部门备案。</w:t>
            </w:r>
          </w:p>
          <w:p>
            <w:pPr>
              <w:pStyle w:val="43"/>
              <w:ind w:firstLine="0" w:firstLineChars="0"/>
              <w:rPr>
                <w:rFonts w:ascii="宋体" w:hAnsi="宋体" w:cs="宋体"/>
                <w:color w:val="auto"/>
                <w:sz w:val="24"/>
                <w:szCs w:val="32"/>
              </w:rPr>
            </w:pPr>
            <w:r>
              <w:rPr>
                <w:rFonts w:hint="eastAsia" w:ascii="宋体" w:hAnsi="宋体" w:cs="宋体"/>
                <w:color w:val="auto"/>
                <w:sz w:val="24"/>
                <w:szCs w:val="32"/>
              </w:rPr>
              <w:t>5、</w:t>
            </w:r>
            <w:r>
              <w:rPr>
                <w:color w:val="auto"/>
                <w:sz w:val="24"/>
              </w:rPr>
              <w:t>地下水环境影响分析</w:t>
            </w:r>
          </w:p>
          <w:p>
            <w:pPr>
              <w:adjustRightInd w:val="0"/>
              <w:snapToGrid w:val="0"/>
              <w:spacing w:line="360" w:lineRule="auto"/>
              <w:ind w:firstLine="480" w:firstLineChars="200"/>
              <w:rPr>
                <w:rFonts w:ascii="宋体" w:hAnsi="宋体" w:cs="宋体"/>
                <w:color w:val="auto"/>
                <w:sz w:val="24"/>
              </w:rPr>
            </w:pPr>
            <w:r>
              <w:rPr>
                <w:rFonts w:hint="eastAsia" w:ascii="宋体" w:hAnsi="宋体" w:cs="宋体"/>
                <w:color w:val="auto"/>
                <w:sz w:val="24"/>
              </w:rPr>
              <w:t xml:space="preserve">（1）地下水污染源及途径分析 </w:t>
            </w:r>
          </w:p>
          <w:p>
            <w:pPr>
              <w:pStyle w:val="43"/>
              <w:ind w:firstLine="480"/>
              <w:rPr>
                <w:rFonts w:ascii="宋体" w:hAnsi="宋体" w:cs="宋体"/>
                <w:color w:val="auto"/>
                <w:sz w:val="24"/>
                <w:szCs w:val="32"/>
              </w:rPr>
            </w:pPr>
            <w:r>
              <w:rPr>
                <w:rFonts w:hint="eastAsia" w:ascii="宋体" w:hAnsi="宋体" w:cs="宋体"/>
                <w:color w:val="auto"/>
                <w:sz w:val="24"/>
                <w:szCs w:val="32"/>
              </w:rPr>
              <w:t>根据现场调查，本项目暂存的落地油泥含水率低，渗滤液析出量较小，含油污水泄漏下渗可能导致地下水污染风险的发生，同时渗漏会污染土壤。根据类比资料分析可知，发生石油类物质渗漏事故后其污染物主要聚集在土壤剖面1m以内，很难下渗到2m以下，对地下水体的影响概率不大。</w:t>
            </w:r>
          </w:p>
          <w:p>
            <w:pPr>
              <w:adjustRightInd w:val="0"/>
              <w:snapToGrid w:val="0"/>
              <w:spacing w:line="360" w:lineRule="auto"/>
              <w:ind w:firstLine="480" w:firstLineChars="200"/>
              <w:rPr>
                <w:color w:val="auto"/>
                <w:sz w:val="24"/>
              </w:rPr>
            </w:pPr>
            <w:r>
              <w:rPr>
                <w:rFonts w:hint="eastAsia"/>
                <w:color w:val="auto"/>
                <w:sz w:val="24"/>
              </w:rPr>
              <w:t>（2）分区防渗措施</w:t>
            </w:r>
          </w:p>
          <w:p>
            <w:pPr>
              <w:pStyle w:val="43"/>
              <w:ind w:firstLine="480"/>
              <w:rPr>
                <w:rFonts w:ascii="宋体" w:hAnsi="宋体" w:cs="宋体"/>
                <w:color w:val="auto"/>
                <w:sz w:val="24"/>
                <w:szCs w:val="32"/>
              </w:rPr>
            </w:pPr>
            <w:r>
              <w:rPr>
                <w:rFonts w:hint="eastAsia"/>
                <w:color w:val="auto"/>
                <w:sz w:val="24"/>
              </w:rPr>
              <w:t>根据《环境影响评价技术导则 地下水环境》（HJ 610-2016），分区防渗以水平防渗为主，导则要求：“已颁布污染控制国家标准或防渗技术规范的行业，水平防渗技术要求按照相应标准或规范执行，如GB 16889、GB 18597、GB 18598、GB 18599、GB/T50934等”，因此本次评价按照《石油化工工程防渗技术规范》（GB/T 50934-2013）执行。</w:t>
            </w:r>
          </w:p>
          <w:p>
            <w:pPr>
              <w:pStyle w:val="43"/>
              <w:ind w:firstLine="480"/>
              <w:rPr>
                <w:rFonts w:ascii="宋体" w:hAnsi="宋体" w:cs="宋体"/>
                <w:color w:val="auto"/>
                <w:sz w:val="24"/>
                <w:szCs w:val="32"/>
              </w:rPr>
            </w:pPr>
            <w:r>
              <w:rPr>
                <w:rFonts w:hint="eastAsia" w:ascii="宋体" w:hAnsi="宋体" w:cs="宋体"/>
                <w:color w:val="auto"/>
                <w:sz w:val="24"/>
                <w:szCs w:val="32"/>
              </w:rPr>
              <w:t>根据设计资料，本项目落地油泥储存池拟采取防渗措施，并设置渗滤液收集池用于收集油泥贮存产生的渗滤液。为了保护油泥暂存间地面的防渗性能，评价要求项目建设单位加强油泥暂存间防渗地面的日常维护保养，强化监控手段，定期检查，降低地面破损概率，一旦发现地面破损必须及时补救，以防止油泥渗滤液渗漏，对地下水造成污染。</w:t>
            </w:r>
          </w:p>
          <w:p>
            <w:pPr>
              <w:pStyle w:val="43"/>
              <w:ind w:firstLine="480"/>
              <w:rPr>
                <w:rFonts w:ascii="宋体" w:hAnsi="宋体" w:cs="宋体"/>
                <w:color w:val="auto"/>
                <w:sz w:val="24"/>
                <w:szCs w:val="32"/>
              </w:rPr>
            </w:pPr>
            <w:r>
              <w:rPr>
                <w:rFonts w:hint="eastAsia" w:ascii="宋体" w:hAnsi="宋体" w:cs="宋体"/>
                <w:color w:val="auto"/>
                <w:sz w:val="24"/>
                <w:szCs w:val="32"/>
              </w:rPr>
              <w:t>本次评价要求运输、转运过程严格执行危险废物转移联单制度；在项目对可能产生地下水影响的各项途径均进行有效预防，确保各项防渗措施得以落实，并加强维护和厂区环境管理的前提下，可有效控制厂区内的废水污染物下渗现象，避免污染地下水，不会对区域地下水环境产生明显影响。</w:t>
            </w:r>
          </w:p>
          <w:p>
            <w:pPr>
              <w:adjustRightInd w:val="0"/>
              <w:snapToGrid w:val="0"/>
              <w:spacing w:line="360" w:lineRule="auto"/>
              <w:ind w:firstLine="480" w:firstLineChars="200"/>
              <w:rPr>
                <w:rFonts w:hint="eastAsia"/>
                <w:color w:val="auto"/>
                <w:sz w:val="24"/>
              </w:rPr>
            </w:pPr>
            <w:r>
              <w:rPr>
                <w:rFonts w:hint="eastAsia"/>
                <w:color w:val="auto"/>
                <w:sz w:val="24"/>
              </w:rPr>
              <w:t>按照《环境影响评价技术导则 地下水环境》（HJ 610-2016）表 7 地下水污染防渗分区参照表，本次评价确定项目油泥暂存间为重点防渗区，防渗技术要求见表4-6。</w:t>
            </w:r>
          </w:p>
          <w:p>
            <w:pPr>
              <w:pStyle w:val="18"/>
              <w:spacing w:after="0"/>
              <w:ind w:firstLine="422"/>
              <w:rPr>
                <w:color w:val="auto"/>
                <w:sz w:val="21"/>
                <w:szCs w:val="16"/>
              </w:rPr>
            </w:pPr>
            <w:r>
              <w:rPr>
                <w:b/>
                <w:bCs/>
                <w:color w:val="auto"/>
                <w:sz w:val="21"/>
                <w:szCs w:val="18"/>
              </w:rPr>
              <w:t>表4-</w:t>
            </w:r>
            <w:r>
              <w:rPr>
                <w:rFonts w:hint="eastAsia"/>
                <w:b/>
                <w:bCs/>
                <w:color w:val="auto"/>
                <w:sz w:val="21"/>
                <w:szCs w:val="18"/>
              </w:rPr>
              <w:t>6</w:t>
            </w:r>
            <w:r>
              <w:rPr>
                <w:b/>
                <w:bCs/>
                <w:color w:val="auto"/>
                <w:sz w:val="21"/>
                <w:szCs w:val="18"/>
              </w:rPr>
              <w:t xml:space="preserve">                </w:t>
            </w:r>
            <w:r>
              <w:rPr>
                <w:rFonts w:hint="eastAsia" w:ascii="宋体" w:hAnsi="宋体" w:cs="宋体"/>
                <w:b/>
                <w:bCs/>
                <w:color w:val="auto"/>
                <w:sz w:val="21"/>
                <w:szCs w:val="18"/>
              </w:rPr>
              <w:t xml:space="preserve">     项目分区防渗一览表</w:t>
            </w:r>
          </w:p>
          <w:tbl>
            <w:tblPr>
              <w:tblStyle w:val="20"/>
              <w:tblW w:w="794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45"/>
              <w:gridCol w:w="1105"/>
              <w:gridCol w:w="1786"/>
              <w:gridCol w:w="3123"/>
              <w:gridCol w:w="8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5" w:type="dxa"/>
                  <w:vAlign w:val="center"/>
                </w:tcPr>
                <w:p>
                  <w:pPr>
                    <w:jc w:val="center"/>
                    <w:rPr>
                      <w:color w:val="auto"/>
                      <w:szCs w:val="21"/>
                    </w:rPr>
                  </w:pPr>
                  <w:r>
                    <w:rPr>
                      <w:rFonts w:hint="eastAsia"/>
                      <w:color w:val="auto"/>
                      <w:szCs w:val="21"/>
                    </w:rPr>
                    <w:t>防渗</w:t>
                  </w:r>
                </w:p>
                <w:p>
                  <w:pPr>
                    <w:jc w:val="center"/>
                    <w:rPr>
                      <w:color w:val="auto"/>
                      <w:szCs w:val="21"/>
                    </w:rPr>
                  </w:pPr>
                  <w:r>
                    <w:rPr>
                      <w:rFonts w:hint="eastAsia"/>
                      <w:color w:val="auto"/>
                      <w:szCs w:val="21"/>
                    </w:rPr>
                    <w:t>分区</w:t>
                  </w:r>
                </w:p>
              </w:tc>
              <w:tc>
                <w:tcPr>
                  <w:tcW w:w="1105" w:type="dxa"/>
                  <w:vAlign w:val="center"/>
                </w:tcPr>
                <w:p>
                  <w:pPr>
                    <w:jc w:val="center"/>
                    <w:rPr>
                      <w:color w:val="auto"/>
                      <w:szCs w:val="21"/>
                    </w:rPr>
                  </w:pPr>
                  <w:r>
                    <w:rPr>
                      <w:rFonts w:hint="eastAsia"/>
                      <w:color w:val="auto"/>
                      <w:szCs w:val="21"/>
                    </w:rPr>
                    <w:t>区域或构筑物名称</w:t>
                  </w:r>
                </w:p>
              </w:tc>
              <w:tc>
                <w:tcPr>
                  <w:tcW w:w="1786" w:type="dxa"/>
                  <w:vAlign w:val="center"/>
                </w:tcPr>
                <w:p>
                  <w:pPr>
                    <w:jc w:val="center"/>
                    <w:rPr>
                      <w:color w:val="auto"/>
                      <w:szCs w:val="21"/>
                    </w:rPr>
                  </w:pPr>
                  <w:r>
                    <w:rPr>
                      <w:rFonts w:hint="eastAsia"/>
                      <w:color w:val="auto"/>
                      <w:szCs w:val="21"/>
                    </w:rPr>
                    <w:t>防渗技术要求</w:t>
                  </w:r>
                </w:p>
              </w:tc>
              <w:tc>
                <w:tcPr>
                  <w:tcW w:w="3123" w:type="dxa"/>
                  <w:vAlign w:val="center"/>
                </w:tcPr>
                <w:p>
                  <w:pPr>
                    <w:jc w:val="center"/>
                    <w:rPr>
                      <w:color w:val="auto"/>
                      <w:szCs w:val="21"/>
                    </w:rPr>
                  </w:pPr>
                  <w:r>
                    <w:rPr>
                      <w:rFonts w:hint="eastAsia"/>
                      <w:color w:val="auto"/>
                      <w:szCs w:val="21"/>
                    </w:rPr>
                    <w:t>本项目防渗结构</w:t>
                  </w:r>
                </w:p>
              </w:tc>
              <w:tc>
                <w:tcPr>
                  <w:tcW w:w="887" w:type="dxa"/>
                  <w:vAlign w:val="center"/>
                </w:tcPr>
                <w:p>
                  <w:pPr>
                    <w:jc w:val="center"/>
                    <w:rPr>
                      <w:color w:val="auto"/>
                      <w:szCs w:val="21"/>
                    </w:rPr>
                  </w:pPr>
                  <w:r>
                    <w:rPr>
                      <w:rFonts w:hint="eastAsia"/>
                      <w:color w:val="auto"/>
                      <w:szCs w:val="21"/>
                    </w:rPr>
                    <w:t>是否符合要求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5" w:type="dxa"/>
                  <w:vAlign w:val="center"/>
                </w:tcPr>
                <w:p>
                  <w:pPr>
                    <w:jc w:val="center"/>
                    <w:rPr>
                      <w:color w:val="auto"/>
                      <w:szCs w:val="21"/>
                    </w:rPr>
                  </w:pPr>
                  <w:r>
                    <w:rPr>
                      <w:rFonts w:hint="eastAsia"/>
                      <w:color w:val="auto"/>
                      <w:szCs w:val="21"/>
                    </w:rPr>
                    <w:t>重点防渗区</w:t>
                  </w:r>
                </w:p>
              </w:tc>
              <w:tc>
                <w:tcPr>
                  <w:tcW w:w="1105" w:type="dxa"/>
                  <w:vAlign w:val="center"/>
                </w:tcPr>
                <w:p>
                  <w:pPr>
                    <w:jc w:val="center"/>
                    <w:rPr>
                      <w:color w:val="auto"/>
                      <w:szCs w:val="21"/>
                    </w:rPr>
                  </w:pPr>
                  <w:r>
                    <w:rPr>
                      <w:rFonts w:hint="eastAsia"/>
                      <w:color w:val="auto"/>
                      <w:szCs w:val="21"/>
                    </w:rPr>
                    <w:t>油泥</w:t>
                  </w:r>
                </w:p>
                <w:p>
                  <w:pPr>
                    <w:jc w:val="center"/>
                    <w:rPr>
                      <w:color w:val="auto"/>
                      <w:szCs w:val="21"/>
                    </w:rPr>
                  </w:pPr>
                  <w:r>
                    <w:rPr>
                      <w:rFonts w:hint="eastAsia"/>
                      <w:color w:val="auto"/>
                      <w:szCs w:val="21"/>
                    </w:rPr>
                    <w:t>暂存间</w:t>
                  </w:r>
                </w:p>
              </w:tc>
              <w:tc>
                <w:tcPr>
                  <w:tcW w:w="1786" w:type="dxa"/>
                  <w:vAlign w:val="center"/>
                </w:tcPr>
                <w:p>
                  <w:pPr>
                    <w:jc w:val="center"/>
                    <w:rPr>
                      <w:color w:val="auto"/>
                      <w:szCs w:val="21"/>
                    </w:rPr>
                  </w:pPr>
                  <w:r>
                    <w:rPr>
                      <w:color w:val="auto"/>
                      <w:kern w:val="0"/>
                      <w:szCs w:val="21"/>
                    </w:rPr>
                    <w:t>等效黏土防渗层Mb≥6.0m，K≤1×10</w:t>
                  </w:r>
                  <w:r>
                    <w:rPr>
                      <w:color w:val="auto"/>
                      <w:kern w:val="0"/>
                      <w:szCs w:val="21"/>
                      <w:vertAlign w:val="superscript"/>
                    </w:rPr>
                    <w:t>-7</w:t>
                  </w:r>
                  <w:r>
                    <w:rPr>
                      <w:color w:val="auto"/>
                      <w:kern w:val="0"/>
                      <w:szCs w:val="21"/>
                    </w:rPr>
                    <w:t>cm/s；或参照GB18598执行</w:t>
                  </w:r>
                </w:p>
              </w:tc>
              <w:tc>
                <w:tcPr>
                  <w:tcW w:w="3123" w:type="dxa"/>
                  <w:vAlign w:val="center"/>
                </w:tcPr>
                <w:p>
                  <w:pPr>
                    <w:jc w:val="center"/>
                    <w:rPr>
                      <w:color w:val="auto"/>
                      <w:szCs w:val="21"/>
                    </w:rPr>
                  </w:pPr>
                  <w:r>
                    <w:rPr>
                      <w:rFonts w:hint="eastAsia"/>
                      <w:color w:val="auto"/>
                      <w:szCs w:val="21"/>
                    </w:rPr>
                    <w:t>基础防渗结构从下到上分别是：素土夯实+非织造长丝无纺土工布+2.0厚高密度聚乙烯（HDPE）防渗膜+非织造长丝无纺土工布+最薄处220mm厚C3</w:t>
                  </w:r>
                  <w:r>
                    <w:rPr>
                      <w:rFonts w:hint="eastAsia"/>
                      <w:color w:val="auto"/>
                      <w:szCs w:val="21"/>
                      <w:lang w:val="en-US" w:eastAsia="zh-CN"/>
                    </w:rPr>
                    <w:t>0</w:t>
                  </w:r>
                  <w:r>
                    <w:rPr>
                      <w:rFonts w:hint="eastAsia"/>
                      <w:color w:val="auto"/>
                      <w:szCs w:val="21"/>
                    </w:rPr>
                    <w:t>抗渗细石混凝土找披层抹平+40mm厚C25细石混凝土</w:t>
                  </w:r>
                </w:p>
              </w:tc>
              <w:tc>
                <w:tcPr>
                  <w:tcW w:w="887" w:type="dxa"/>
                  <w:vAlign w:val="center"/>
                </w:tcPr>
                <w:p>
                  <w:pPr>
                    <w:jc w:val="center"/>
                    <w:rPr>
                      <w:rFonts w:hint="eastAsia" w:eastAsia="宋体"/>
                      <w:color w:val="auto"/>
                      <w:szCs w:val="21"/>
                      <w:lang w:eastAsia="zh-CN"/>
                    </w:rPr>
                  </w:pPr>
                  <w:r>
                    <w:rPr>
                      <w:rFonts w:hint="eastAsia"/>
                      <w:color w:val="auto"/>
                      <w:szCs w:val="21"/>
                      <w:lang w:val="en-US" w:eastAsia="zh-CN"/>
                    </w:rPr>
                    <w:t>符合</w:t>
                  </w:r>
                </w:p>
              </w:tc>
            </w:tr>
          </w:tbl>
          <w:p>
            <w:pPr>
              <w:pStyle w:val="18"/>
              <w:keepNext w:val="0"/>
              <w:keepLines w:val="0"/>
              <w:pageBreakBefore w:val="0"/>
              <w:widowControl w:val="0"/>
              <w:kinsoku/>
              <w:wordWrap/>
              <w:overflowPunct/>
              <w:topLinePunct w:val="0"/>
              <w:autoSpaceDE/>
              <w:autoSpaceDN/>
              <w:bidi w:val="0"/>
              <w:adjustRightInd/>
              <w:snapToGrid/>
              <w:spacing w:before="157" w:beforeLines="50" w:after="0" w:line="360" w:lineRule="auto"/>
              <w:ind w:left="0" w:leftChars="0" w:firstLine="480"/>
              <w:textAlignment w:val="auto"/>
              <w:rPr>
                <w:color w:val="auto"/>
              </w:rPr>
            </w:pPr>
            <w:r>
              <w:rPr>
                <w:rFonts w:hint="eastAsia"/>
                <w:color w:val="auto"/>
              </w:rPr>
              <w:t>本项目基础防渗主要使用高密度聚乙烯防渗膜和混凝土防渗，聚乙烯防渗膜是以高分子聚合物为基础原料生产的防水阻隔型材料，根据相关资料（《土工膜渗透系数试验影响因素研究分析》等）土工膜的渗透系数&lt;10</w:t>
            </w:r>
            <w:r>
              <w:rPr>
                <w:rFonts w:hint="eastAsia"/>
                <w:color w:val="auto"/>
                <w:vertAlign w:val="superscript"/>
              </w:rPr>
              <w:t>-10</w:t>
            </w:r>
            <w:r>
              <w:rPr>
                <w:rFonts w:hint="eastAsia"/>
                <w:color w:val="auto"/>
              </w:rPr>
              <w:t>cm/s，根据《危险废物贮存污染控制标准》(GB18597-2023）规定，危险废物的堆放基础必须防渗，防渗层至少为1m厚粘土层(渗透系数&lt;10</w:t>
            </w:r>
            <w:r>
              <w:rPr>
                <w:rFonts w:hint="eastAsia"/>
                <w:color w:val="auto"/>
                <w:vertAlign w:val="superscript"/>
              </w:rPr>
              <w:t xml:space="preserve"> -7</w:t>
            </w:r>
            <w:r>
              <w:rPr>
                <w:rFonts w:hint="eastAsia"/>
                <w:color w:val="auto"/>
              </w:rPr>
              <w:t>cm/s)，或至少2 mm厚高密度聚乙烯膜等人工防渗材料（渗透系数不大于10</w:t>
            </w:r>
            <w:r>
              <w:rPr>
                <w:rFonts w:hint="eastAsia"/>
                <w:color w:val="auto"/>
                <w:vertAlign w:val="superscript"/>
              </w:rPr>
              <w:t>-10</w:t>
            </w:r>
            <w:r>
              <w:rPr>
                <w:rFonts w:hint="eastAsia"/>
                <w:color w:val="auto"/>
              </w:rPr>
              <w:t xml:space="preserve"> cm/s），或其他防渗性能等效的材料。因此本项目油泥暂存间防渗结构可满足标准要求。</w:t>
            </w:r>
          </w:p>
          <w:p>
            <w:pPr>
              <w:spacing w:line="360" w:lineRule="auto"/>
              <w:ind w:firstLine="480" w:firstLineChars="200"/>
              <w:rPr>
                <w:color w:val="auto"/>
                <w:kern w:val="0"/>
                <w:sz w:val="24"/>
                <w:szCs w:val="20"/>
              </w:rPr>
            </w:pPr>
            <w:r>
              <w:rPr>
                <w:rFonts w:hint="eastAsia"/>
                <w:color w:val="auto"/>
                <w:kern w:val="0"/>
                <w:sz w:val="24"/>
                <w:szCs w:val="20"/>
              </w:rPr>
              <w:t>由分析可知，在采取有效防范措施，加强维护和站址环境管理的前提下，可有效控制暂存间内的油类污染物下渗现象，避免油泥污染地下水，对区域地下水环境影响较小。</w:t>
            </w:r>
          </w:p>
          <w:p>
            <w:pPr>
              <w:adjustRightInd w:val="0"/>
              <w:snapToGrid w:val="0"/>
              <w:spacing w:before="120" w:beforeLines="50" w:line="360" w:lineRule="auto"/>
              <w:rPr>
                <w:color w:val="auto"/>
                <w:sz w:val="24"/>
              </w:rPr>
            </w:pPr>
            <w:r>
              <w:rPr>
                <w:rFonts w:hint="eastAsia"/>
                <w:color w:val="auto"/>
                <w:sz w:val="24"/>
              </w:rPr>
              <w:t>6、土壤</w:t>
            </w:r>
            <w:r>
              <w:rPr>
                <w:color w:val="auto"/>
                <w:sz w:val="24"/>
              </w:rPr>
              <w:t>环境影响分析</w:t>
            </w:r>
          </w:p>
          <w:p>
            <w:pPr>
              <w:adjustRightInd w:val="0"/>
              <w:snapToGrid w:val="0"/>
              <w:spacing w:line="360" w:lineRule="auto"/>
              <w:ind w:firstLine="480" w:firstLineChars="200"/>
              <w:rPr>
                <w:color w:val="auto"/>
                <w:sz w:val="24"/>
              </w:rPr>
            </w:pPr>
            <w:r>
              <w:rPr>
                <w:rFonts w:hint="eastAsia"/>
                <w:color w:val="auto"/>
                <w:sz w:val="24"/>
              </w:rPr>
              <w:t>（1）土壤污染源及污染途径</w:t>
            </w:r>
          </w:p>
          <w:p>
            <w:pPr>
              <w:pStyle w:val="43"/>
              <w:ind w:firstLine="480"/>
              <w:rPr>
                <w:color w:val="auto"/>
                <w:sz w:val="24"/>
              </w:rPr>
            </w:pPr>
            <w:r>
              <w:rPr>
                <w:rFonts w:hint="eastAsia" w:ascii="宋体" w:hAnsi="宋体" w:cs="宋体"/>
                <w:color w:val="auto"/>
                <w:sz w:val="24"/>
                <w:szCs w:val="32"/>
              </w:rPr>
              <w:t>落地油泥及其中少量渗滤液一旦发生泄漏，</w:t>
            </w:r>
            <w:r>
              <w:rPr>
                <w:rFonts w:hint="eastAsia"/>
                <w:color w:val="auto"/>
                <w:sz w:val="24"/>
              </w:rPr>
              <w:t>会对土壤造成污染。正常情况下，由于工作人员定期巡查以及暂存间内设置渗滤液收集池，发生泄漏事故时容易发现且得到控制，泄漏于地表的石油类污染物数量有限，若处理及时得当，对周围环境影响可得到有效的控制，对土壤影响较小。</w:t>
            </w:r>
          </w:p>
          <w:p>
            <w:pPr>
              <w:pStyle w:val="43"/>
              <w:ind w:firstLine="480"/>
              <w:rPr>
                <w:rFonts w:ascii="宋体" w:hAnsi="宋体" w:cs="宋体"/>
                <w:color w:val="auto"/>
                <w:sz w:val="24"/>
                <w:szCs w:val="32"/>
              </w:rPr>
            </w:pPr>
            <w:r>
              <w:rPr>
                <w:rFonts w:hint="eastAsia"/>
                <w:color w:val="auto"/>
                <w:sz w:val="24"/>
              </w:rPr>
              <w:t>根据史红星等人《黄土地区土壤对石油类污染物吸附特性的实验研究》通过实验，研究了石油类污染物在黄土地区土壤中的吸附符合Henry吸附模式，黄土对石油类的吸附速度很快。根据黄廷林等人《石油类污染物在黄土地区土壤中竖向迁移特性试验研究》模拟了石油类污染物在饱水条件下在黄土地区土壤中竖向迁移的过程，表明黄土对石油类有很强的截留能力，石油类很难向土壤深层迁移，土壤中可检出的石油类最大迁移深度为30cm。项目场地分为黄土坡地区域，其中表层土壤为黄绵土，厚2.7m，分布连续稳定。根据以上研究结果，石油类很难向土壤深层迁移，对土壤环境影响非常有限，不会发生较大范围土壤污染情况。</w:t>
            </w:r>
          </w:p>
          <w:p>
            <w:pPr>
              <w:pStyle w:val="43"/>
              <w:ind w:firstLine="480"/>
              <w:rPr>
                <w:rFonts w:ascii="宋体" w:hAnsi="宋体" w:cs="宋体"/>
                <w:color w:val="auto"/>
                <w:sz w:val="24"/>
                <w:szCs w:val="32"/>
              </w:rPr>
            </w:pPr>
            <w:r>
              <w:rPr>
                <w:rFonts w:hint="eastAsia" w:ascii="宋体" w:hAnsi="宋体" w:cs="宋体"/>
                <w:color w:val="auto"/>
                <w:sz w:val="24"/>
                <w:szCs w:val="32"/>
              </w:rPr>
              <w:t>（2）</w:t>
            </w:r>
            <w:r>
              <w:rPr>
                <w:rFonts w:hint="eastAsia"/>
                <w:color w:val="auto"/>
                <w:sz w:val="24"/>
              </w:rPr>
              <w:t>污染防治措施</w:t>
            </w:r>
          </w:p>
          <w:p>
            <w:pPr>
              <w:pStyle w:val="43"/>
              <w:ind w:firstLine="480"/>
              <w:rPr>
                <w:rFonts w:ascii="宋体" w:hAnsi="宋体" w:cs="宋体"/>
                <w:color w:val="auto"/>
                <w:sz w:val="24"/>
                <w:szCs w:val="32"/>
              </w:rPr>
            </w:pPr>
            <w:r>
              <w:rPr>
                <w:rFonts w:hint="eastAsia" w:ascii="宋体" w:hAnsi="宋体" w:cs="宋体"/>
                <w:color w:val="auto"/>
                <w:sz w:val="24"/>
                <w:szCs w:val="32"/>
              </w:rPr>
              <w:t>根据设计资料，建设单位拟对油泥暂存间地面进行防渗，防渗系数≤10</w:t>
            </w:r>
            <w:r>
              <w:rPr>
                <w:rFonts w:hint="eastAsia" w:ascii="宋体" w:hAnsi="宋体" w:cs="宋体"/>
                <w:color w:val="auto"/>
                <w:sz w:val="24"/>
                <w:szCs w:val="32"/>
                <w:vertAlign w:val="superscript"/>
              </w:rPr>
              <w:t>-10</w:t>
            </w:r>
            <w:r>
              <w:rPr>
                <w:rFonts w:hint="eastAsia" w:ascii="宋体" w:hAnsi="宋体" w:cs="宋体"/>
                <w:color w:val="auto"/>
                <w:sz w:val="24"/>
                <w:szCs w:val="32"/>
              </w:rPr>
              <w:t>cm/s,满足《危险废物贮存污染控制标准》（GB18597-2023）中防渗要求。但为了保护油泥暂存间地面的防渗性能，本次评价要求建设单位加强油泥暂存间防渗地面的日常维护保养，强化监控手段并定期检查，降低地面破损概率，一旦发现地面破损必须及时补救。</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color w:val="auto"/>
                <w:sz w:val="24"/>
              </w:rPr>
            </w:pPr>
            <w:r>
              <w:rPr>
                <w:rFonts w:hint="eastAsia"/>
                <w:color w:val="auto"/>
                <w:sz w:val="24"/>
              </w:rPr>
              <w:t>7、</w:t>
            </w:r>
            <w:r>
              <w:rPr>
                <w:color w:val="auto"/>
                <w:sz w:val="24"/>
              </w:rPr>
              <w:t>环境</w:t>
            </w:r>
            <w:r>
              <w:rPr>
                <w:rFonts w:hint="eastAsia"/>
                <w:color w:val="auto"/>
                <w:sz w:val="24"/>
              </w:rPr>
              <w:t>风险分析</w:t>
            </w:r>
          </w:p>
          <w:p>
            <w:pPr>
              <w:spacing w:line="360" w:lineRule="auto"/>
              <w:ind w:firstLine="482"/>
              <w:jc w:val="left"/>
              <w:rPr>
                <w:rFonts w:ascii="宋体" w:hAnsi="宋体" w:cs="宋体"/>
                <w:color w:val="auto"/>
                <w:sz w:val="24"/>
                <w:szCs w:val="32"/>
              </w:rPr>
            </w:pPr>
            <w:r>
              <w:rPr>
                <w:rFonts w:hint="eastAsia" w:ascii="宋体" w:hAnsi="宋体" w:cs="宋体"/>
                <w:color w:val="auto"/>
                <w:sz w:val="24"/>
                <w:szCs w:val="32"/>
              </w:rPr>
              <w:t>（1）环境风险源调查</w:t>
            </w:r>
          </w:p>
          <w:p>
            <w:pPr>
              <w:pStyle w:val="43"/>
              <w:ind w:firstLine="480"/>
              <w:rPr>
                <w:rFonts w:ascii="宋体" w:hAnsi="宋体" w:cs="宋体"/>
                <w:color w:val="auto"/>
                <w:sz w:val="24"/>
                <w:szCs w:val="32"/>
              </w:rPr>
            </w:pPr>
            <w:r>
              <w:rPr>
                <w:rFonts w:hint="eastAsia" w:ascii="宋体" w:hAnsi="宋体" w:cs="宋体"/>
                <w:color w:val="auto"/>
                <w:sz w:val="24"/>
                <w:szCs w:val="32"/>
              </w:rPr>
              <w:t>本项目涉及的主要危险物质为落地油泥，通过重大危险源辨识，项目不属于重大危险源，主要事故类型为落地油泥渗漏以及引发的火灾爆炸事故。</w:t>
            </w:r>
          </w:p>
          <w:p>
            <w:pPr>
              <w:spacing w:line="360" w:lineRule="auto"/>
              <w:ind w:firstLine="480"/>
              <w:jc w:val="left"/>
              <w:rPr>
                <w:color w:val="auto"/>
                <w:sz w:val="24"/>
                <w:szCs w:val="32"/>
              </w:rPr>
            </w:pPr>
            <w:r>
              <w:rPr>
                <w:rFonts w:hint="eastAsia"/>
                <w:color w:val="auto"/>
                <w:sz w:val="24"/>
                <w:szCs w:val="32"/>
              </w:rPr>
              <w:t>（2）</w:t>
            </w:r>
            <w:r>
              <w:rPr>
                <w:rFonts w:hint="eastAsia" w:ascii="宋体" w:hAnsi="宋体" w:cs="宋体"/>
                <w:color w:val="auto"/>
                <w:sz w:val="24"/>
                <w:szCs w:val="32"/>
              </w:rPr>
              <w:t>环境风险潜势判定</w:t>
            </w:r>
          </w:p>
          <w:p>
            <w:pPr>
              <w:spacing w:line="360" w:lineRule="auto"/>
              <w:ind w:firstLine="480"/>
              <w:jc w:val="left"/>
              <w:rPr>
                <w:color w:val="auto"/>
                <w:sz w:val="24"/>
                <w:szCs w:val="32"/>
              </w:rPr>
            </w:pPr>
            <w:r>
              <w:rPr>
                <w:rFonts w:hint="eastAsia" w:ascii="宋体" w:hAnsi="宋体" w:cs="宋体"/>
                <w:color w:val="auto"/>
                <w:sz w:val="24"/>
                <w:szCs w:val="32"/>
              </w:rPr>
              <w:t>根据《建设项目环境风险评价技术导则》（</w:t>
            </w:r>
            <w:r>
              <w:rPr>
                <w:color w:val="auto"/>
                <w:sz w:val="24"/>
                <w:szCs w:val="32"/>
              </w:rPr>
              <w:t>HJ169-2018</w:t>
            </w:r>
            <w:r>
              <w:rPr>
                <w:rFonts w:hint="eastAsia" w:ascii="宋体" w:hAnsi="宋体" w:cs="宋体"/>
                <w:color w:val="auto"/>
                <w:sz w:val="24"/>
                <w:szCs w:val="32"/>
              </w:rPr>
              <w:t>），根据下列公式算出本项目环境风险潜势，</w:t>
            </w:r>
            <w:r>
              <w:rPr>
                <w:rFonts w:hint="eastAsia"/>
                <w:color w:val="auto"/>
                <w:sz w:val="24"/>
                <w:szCs w:val="32"/>
              </w:rPr>
              <w:t>本项目涉及的危险物质与临界量比值</w:t>
            </w:r>
            <w:r>
              <w:rPr>
                <w:color w:val="auto"/>
                <w:sz w:val="24"/>
                <w:szCs w:val="32"/>
              </w:rPr>
              <w:t>Q</w:t>
            </w:r>
            <w:r>
              <w:rPr>
                <w:rFonts w:hint="eastAsia"/>
                <w:color w:val="auto"/>
                <w:sz w:val="24"/>
                <w:szCs w:val="32"/>
              </w:rPr>
              <w:t>见表4-8。</w:t>
            </w:r>
          </w:p>
          <w:p>
            <w:pPr>
              <w:spacing w:line="360" w:lineRule="auto"/>
              <w:ind w:firstLine="480"/>
              <w:jc w:val="left"/>
              <w:rPr>
                <w:color w:val="auto"/>
                <w:sz w:val="24"/>
                <w:szCs w:val="32"/>
              </w:rPr>
            </w:pPr>
            <w:r>
              <w:rPr>
                <w:rFonts w:hint="eastAsia"/>
                <w:color w:val="auto"/>
                <w:sz w:val="24"/>
                <w:szCs w:val="32"/>
              </w:rPr>
              <w:t>当只涉及一种危险物质时，计算该物质的总量与其临界量比值，即</w:t>
            </w:r>
            <w:r>
              <w:rPr>
                <w:color w:val="auto"/>
                <w:sz w:val="24"/>
                <w:szCs w:val="32"/>
              </w:rPr>
              <w:t>Q</w:t>
            </w:r>
            <w:r>
              <w:rPr>
                <w:rFonts w:hint="eastAsia"/>
                <w:color w:val="auto"/>
                <w:sz w:val="24"/>
                <w:szCs w:val="32"/>
              </w:rPr>
              <w:t>；</w:t>
            </w:r>
          </w:p>
          <w:p>
            <w:pPr>
              <w:spacing w:line="360" w:lineRule="auto"/>
              <w:ind w:firstLine="480"/>
              <w:rPr>
                <w:color w:val="auto"/>
                <w:sz w:val="24"/>
                <w:szCs w:val="32"/>
              </w:rPr>
            </w:pPr>
            <w:r>
              <w:rPr>
                <w:rFonts w:hint="eastAsia"/>
                <w:color w:val="auto"/>
                <w:sz w:val="24"/>
                <w:szCs w:val="32"/>
              </w:rPr>
              <w:t>当存在多种危险物质时，则按照下式计算物质的总量与其临界量比值（</w:t>
            </w:r>
            <w:r>
              <w:rPr>
                <w:color w:val="auto"/>
                <w:sz w:val="24"/>
                <w:szCs w:val="32"/>
              </w:rPr>
              <w:t>Q</w:t>
            </w:r>
            <w:r>
              <w:rPr>
                <w:rFonts w:hint="eastAsia"/>
                <w:color w:val="auto"/>
                <w:sz w:val="24"/>
                <w:szCs w:val="32"/>
              </w:rPr>
              <w:t>）：</w:t>
            </w:r>
          </w:p>
          <w:p>
            <w:pPr>
              <w:spacing w:line="360" w:lineRule="auto"/>
              <w:jc w:val="center"/>
              <w:rPr>
                <w:color w:val="auto"/>
                <w:sz w:val="24"/>
                <w:szCs w:val="32"/>
              </w:rPr>
            </w:pPr>
            <w:r>
              <w:rPr>
                <w:rFonts w:hint="eastAsia" w:ascii="宋体" w:hAnsi="宋体" w:cs="宋体"/>
                <w:color w:val="auto"/>
              </w:rPr>
              <w:drawing>
                <wp:inline distT="0" distB="0" distL="114300" distR="114300">
                  <wp:extent cx="1420495" cy="483870"/>
                  <wp:effectExtent l="0" t="0" r="8255" b="11430"/>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17"/>
                          <a:stretch>
                            <a:fillRect/>
                          </a:stretch>
                        </pic:blipFill>
                        <pic:spPr>
                          <a:xfrm>
                            <a:off x="0" y="0"/>
                            <a:ext cx="1420495" cy="483870"/>
                          </a:xfrm>
                          <a:prstGeom prst="rect">
                            <a:avLst/>
                          </a:prstGeom>
                          <a:noFill/>
                          <a:ln>
                            <a:noFill/>
                          </a:ln>
                        </pic:spPr>
                      </pic:pic>
                    </a:graphicData>
                  </a:graphic>
                </wp:inline>
              </w:drawing>
            </w:r>
          </w:p>
          <w:p>
            <w:pPr>
              <w:spacing w:line="360" w:lineRule="auto"/>
              <w:ind w:firstLine="480"/>
              <w:jc w:val="left"/>
              <w:rPr>
                <w:color w:val="auto"/>
                <w:sz w:val="24"/>
                <w:szCs w:val="32"/>
              </w:rPr>
            </w:pPr>
            <w:r>
              <w:rPr>
                <w:rFonts w:hint="eastAsia"/>
                <w:color w:val="auto"/>
                <w:sz w:val="24"/>
                <w:szCs w:val="32"/>
              </w:rPr>
              <w:t>式中：</w:t>
            </w:r>
            <w:r>
              <w:rPr>
                <w:color w:val="auto"/>
                <w:sz w:val="24"/>
                <w:szCs w:val="32"/>
              </w:rPr>
              <w:t>q</w:t>
            </w:r>
            <w:r>
              <w:rPr>
                <w:rFonts w:hint="eastAsia"/>
                <w:color w:val="auto"/>
                <w:sz w:val="24"/>
                <w:szCs w:val="32"/>
                <w:vertAlign w:val="subscript"/>
              </w:rPr>
              <w:t>1</w:t>
            </w:r>
            <w:r>
              <w:rPr>
                <w:rFonts w:hint="eastAsia"/>
                <w:color w:val="auto"/>
                <w:sz w:val="24"/>
                <w:szCs w:val="32"/>
              </w:rPr>
              <w:t>，q</w:t>
            </w:r>
            <w:r>
              <w:rPr>
                <w:color w:val="auto"/>
                <w:sz w:val="24"/>
                <w:szCs w:val="32"/>
                <w:vertAlign w:val="subscript"/>
              </w:rPr>
              <w:t>2</w:t>
            </w:r>
            <w:r>
              <w:rPr>
                <w:rFonts w:hint="eastAsia"/>
                <w:color w:val="auto"/>
                <w:sz w:val="24"/>
                <w:szCs w:val="32"/>
              </w:rPr>
              <w:t>，q</w:t>
            </w:r>
            <w:r>
              <w:rPr>
                <w:rFonts w:hint="eastAsia"/>
                <w:color w:val="auto"/>
                <w:sz w:val="24"/>
                <w:szCs w:val="32"/>
                <w:vertAlign w:val="subscript"/>
              </w:rPr>
              <w:t>3</w:t>
            </w:r>
            <w:r>
              <w:rPr>
                <w:rFonts w:hint="eastAsia" w:ascii="宋体" w:hAnsi="宋体"/>
                <w:color w:val="auto"/>
                <w:sz w:val="24"/>
                <w:szCs w:val="32"/>
              </w:rPr>
              <w:t>……</w:t>
            </w:r>
            <w:r>
              <w:rPr>
                <w:rFonts w:hint="eastAsia"/>
                <w:color w:val="auto"/>
                <w:sz w:val="24"/>
                <w:szCs w:val="32"/>
              </w:rPr>
              <w:t>q</w:t>
            </w:r>
            <w:r>
              <w:rPr>
                <w:color w:val="auto"/>
                <w:sz w:val="24"/>
                <w:szCs w:val="32"/>
                <w:vertAlign w:val="subscript"/>
              </w:rPr>
              <w:t>n</w:t>
            </w:r>
            <w:r>
              <w:rPr>
                <w:color w:val="auto"/>
                <w:sz w:val="24"/>
                <w:szCs w:val="32"/>
              </w:rPr>
              <w:fldChar w:fldCharType="begin"/>
            </w:r>
            <w:r>
              <w:rPr>
                <w:color w:val="auto"/>
                <w:sz w:val="24"/>
                <w:szCs w:val="32"/>
              </w:rPr>
              <w:instrText xml:space="preserve"> QUOTE </w:instrText>
            </w:r>
            <w:r>
              <w:rPr>
                <w:color w:val="auto"/>
                <w:position w:val="-6"/>
              </w:rPr>
              <w:pict>
                <v:shape id="_x0000_i1025" o:spt="75" type="#_x0000_t75" style="height:14.4pt;width:45.6pt;" filled="f" o:preferrelative="t" stroked="f" coordsize="21600,21600" equationxml="&lt;?xml version=&quot;1.0&quot; encoding=&quot;UTF-8&quot; standalone=&quot;yes&quot;?&gt;&#10;&#10;&lt;?mso-application progid=&quot;Word.Document&quot;?&gt;&#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40&quot;/&gt;&lt;w:doNotEmbedSystemFonts/&gt;&lt;w:stylePaneFormatFilter w:val=&quot;3F01&quot;/&gt;&lt;w:documentProtection w:edit=&quot;tracked-changes&quot; w:enforcement=&quot;off&quot;/&gt;&lt;w:defaultTabStop w:val=&quot;420&quot;/&gt;&lt;w:doNotHyphenateCaps/&gt;&lt;w:drawingGridVerticalSpacing w:val=&quot;156&quot;/&gt;&lt;w:characterSpacingControl w:val=&quot;CompressPunctuation&quot;/&gt;&lt;w:webPageEncoding w:val=&quot;x-cp20936&quot;/&gt;&lt;w:optimizeForBrowser/&gt;&lt;w:allowPNG/&gt;&lt;w:validateAgainstSchema w:val=&quot;off&quot;/&gt;&lt;w:saveInvalidXML w:val=&quot;off&quot;/&gt;&lt;w:ignoreMixedContent w:val=&quot;off&quot;/&gt;&lt;w:alwaysShowPlaceholderText w:val=&quot;off&quot;/&gt;&lt;w:doNotUnderlineInvalidXML/&gt;&lt;w:compat&gt;&lt;w:spaceForUL/&gt;&lt;w:balanceSingleByteDoubleByteWidth/&gt;&lt;w:doNotLeaveBackslashAlone/&gt;&lt;w:ulTrailSpace/&gt;&lt;w:doNotExpandShiftReturn/&gt;&lt;w:adjustLineHeightInTable/&gt;&lt;w:breakWrappedTables/&gt;&lt;w:snapToGridInCell/&gt;&lt;w:dontGrowAutofit/&gt;&lt;w:useFELayout/&gt;&lt;/w:compat&gt;&lt;w:docVars&gt;&lt;w:docVar w:name=&quot;commondata&quot; w:val=&quot;eyJoZGlkIjoiY2E0ZWU3NDI2YjNkMGM1NDkxNTQ4MTc2Nzk2NTkwZjQifQ==&quot;/&gt;&lt;/w:docVars&gt;&lt;wsp:rsids&gt;&lt;wsp:rsidRoot wsp:val=&quot;00172A27&quot;/&gt;&lt;wsp:rsid wsp:val=&quot;000006B1&quot;/&gt;&lt;wsp:rsid wsp:val=&quot;000060B3&quot;/&gt;&lt;wsp:rsid wsp:val=&quot;00011A08&quot;/&gt;&lt;wsp:rsid wsp:val=&quot;000145D4&quot;/&gt;&lt;wsp:rsid wsp:val=&quot;000213CE&quot;/&gt;&lt;wsp:rsid wsp:val=&quot;00021A18&quot;/&gt;&lt;wsp:rsid wsp:val=&quot;0002452F&quot;/&gt;&lt;wsp:rsid wsp:val=&quot;000341C1&quot;/&gt;&lt;wsp:rsid wsp:val=&quot;00035665&quot;/&gt;&lt;wsp:rsid wsp:val=&quot;00041872&quot;/&gt;&lt;wsp:rsid wsp:val=&quot;0004263A&quot;/&gt;&lt;wsp:rsid wsp:val=&quot;0004364B&quot;/&gt;&lt;wsp:rsid wsp:val=&quot;000441F0&quot;/&gt;&lt;wsp:rsid wsp:val=&quot;0004543E&quot;/&gt;&lt;wsp:rsid wsp:val=&quot;000458DF&quot;/&gt;&lt;wsp:rsid wsp:val=&quot;00045B1D&quot;/&gt;&lt;wsp:rsid wsp:val=&quot;000475DA&quot;/&gt;&lt;wsp:rsid wsp:val=&quot;00050ADD&quot;/&gt;&lt;wsp:rsid wsp:val=&quot;0005121B&quot;/&gt;&lt;wsp:rsid wsp:val=&quot;00057C48&quot;/&gt;&lt;wsp:rsid wsp:val=&quot;00057C9E&quot;/&gt;&lt;wsp:rsid wsp:val=&quot;00061B1F&quot;/&gt;&lt;wsp:rsid wsp:val=&quot;00061C8B&quot;/&gt;&lt;wsp:rsid wsp:val=&quot;00063C11&quot;/&gt;&lt;wsp:rsid wsp:val=&quot;00067A46&quot;/&gt;&lt;wsp:rsid wsp:val=&quot;00070E60&quot;/&gt;&lt;wsp:rsid wsp:val=&quot;000733C4&quot;/&gt;&lt;wsp:rsid wsp:val=&quot;00073BCE&quot;/&gt;&lt;wsp:rsid wsp:val=&quot;0007475F&quot;/&gt;&lt;wsp:rsid wsp:val=&quot;00074783&quot;/&gt;&lt;wsp:rsid wsp:val=&quot;00075254&quot;/&gt;&lt;wsp:rsid wsp:val=&quot;0008070B&quot;/&gt;&lt;wsp:rsid wsp:val=&quot;000810AC&quot;/&gt;&lt;wsp:rsid wsp:val=&quot;00081A02&quot;/&gt;&lt;wsp:rsid wsp:val=&quot;00082231&quot;/&gt;&lt;wsp:rsid wsp:val=&quot;00085431&quot;/&gt;&lt;wsp:rsid wsp:val=&quot;000900C1&quot;/&gt;&lt;wsp:rsid wsp:val=&quot;00092AE4&quot;/&gt;&lt;wsp:rsid wsp:val=&quot;00092D38&quot;/&gt;&lt;wsp:rsid wsp:val=&quot;0009377B&quot;/&gt;&lt;wsp:rsid wsp:val=&quot;00095F0F&quot;/&gt;&lt;wsp:rsid wsp:val=&quot;00096B67&quot;/&gt;&lt;wsp:rsid wsp:val=&quot;000A0768&quot;/&gt;&lt;wsp:rsid wsp:val=&quot;000A20C9&quot;/&gt;&lt;wsp:rsid wsp:val=&quot;000A224A&quot;/&gt;&lt;wsp:rsid wsp:val=&quot;000A2AD2&quot;/&gt;&lt;wsp:rsid wsp:val=&quot;000A443B&quot;/&gt;&lt;wsp:rsid wsp:val=&quot;000A4446&quot;/&gt;&lt;wsp:rsid wsp:val=&quot;000A4590&quot;/&gt;&lt;wsp:rsid wsp:val=&quot;000A463B&quot;/&gt;&lt;wsp:rsid wsp:val=&quot;000A605C&quot;/&gt;&lt;wsp:rsid wsp:val=&quot;000A6A1E&quot;/&gt;&lt;wsp:rsid wsp:val=&quot;000A79A9&quot;/&gt;&lt;wsp:rsid wsp:val=&quot;000B058F&quot;/&gt;&lt;wsp:rsid wsp:val=&quot;000B289D&quot;/&gt;&lt;wsp:rsid wsp:val=&quot;000B3087&quot;/&gt;&lt;wsp:rsid wsp:val=&quot;000B3119&quot;/&gt;&lt;wsp:rsid wsp:val=&quot;000B3BB3&quot;/&gt;&lt;wsp:rsid wsp:val=&quot;000B4467&quot;/&gt;&lt;wsp:rsid wsp:val=&quot;000B4DB9&quot;/&gt;&lt;wsp:rsid wsp:val=&quot;000C09AC&quot;/&gt;&lt;wsp:rsid wsp:val=&quot;000C767F&quot;/&gt;&lt;wsp:rsid wsp:val=&quot;000D14B2&quot;/&gt;&lt;wsp:rsid wsp:val=&quot;000D1BDE&quot;/&gt;&lt;wsp:rsid wsp:val=&quot;000D3547&quot;/&gt;&lt;wsp:rsid wsp:val=&quot;000D55FF&quot;/&gt;&lt;wsp:rsid wsp:val=&quot;000D5A44&quot;/&gt;&lt;wsp:rsid wsp:val=&quot;000D7AB5&quot;/&gt;&lt;wsp:rsid wsp:val=&quot;000E17D6&quot;/&gt;&lt;wsp:rsid wsp:val=&quot;000E2108&quot;/&gt;&lt;wsp:rsid wsp:val=&quot;000E2E65&quot;/&gt;&lt;wsp:rsid wsp:val=&quot;000E2F80&quot;/&gt;&lt;wsp:rsid wsp:val=&quot;000E3ED2&quot;/&gt;&lt;wsp:rsid wsp:val=&quot;000E47D4&quot;/&gt;&lt;wsp:rsid wsp:val=&quot;000E4DB6&quot;/&gt;&lt;wsp:rsid wsp:val=&quot;000E6D7C&quot;/&gt;&lt;wsp:rsid wsp:val=&quot;000F0595&quot;/&gt;&lt;wsp:rsid wsp:val=&quot;000F2FA5&quot;/&gt;&lt;wsp:rsid wsp:val=&quot;000F4491&quot;/&gt;&lt;wsp:rsid wsp:val=&quot;000F6EE3&quot;/&gt;&lt;wsp:rsid wsp:val=&quot;00102B8F&quot;/&gt;&lt;wsp:rsid wsp:val=&quot;0010543B&quot;/&gt;&lt;wsp:rsid wsp:val=&quot;00105BDE&quot;/&gt;&lt;wsp:rsid wsp:val=&quot;00115759&quot;/&gt;&lt;wsp:rsid wsp:val=&quot;0012339D&quot;/&gt;&lt;wsp:rsid wsp:val=&quot;001257C0&quot;/&gt;&lt;wsp:rsid wsp:val=&quot;00125A99&quot;/&gt;&lt;wsp:rsid wsp:val=&quot;0013032D&quot;/&gt;&lt;wsp:rsid wsp:val=&quot;00131F42&quot;/&gt;&lt;wsp:rsid wsp:val=&quot;00133707&quot;/&gt;&lt;wsp:rsid wsp:val=&quot;0013388A&quot;/&gt;&lt;wsp:rsid wsp:val=&quot;00134B5D&quot;/&gt;&lt;wsp:rsid wsp:val=&quot;001357F1&quot;/&gt;&lt;wsp:rsid wsp:val=&quot;00140FA8&quot;/&gt;&lt;wsp:rsid wsp:val=&quot;001429C8&quot;/&gt;&lt;wsp:rsid wsp:val=&quot;00142FEB&quot;/&gt;&lt;wsp:rsid wsp:val=&quot;00143A2D&quot;/&gt;&lt;wsp:rsid wsp:val=&quot;00143CA1&quot;/&gt;&lt;wsp:rsid wsp:val=&quot;00144F25&quot;/&gt;&lt;wsp:rsid wsp:val=&quot;001457BF&quot;/&gt;&lt;wsp:rsid wsp:val=&quot;00145A41&quot;/&gt;&lt;wsp:rsid wsp:val=&quot;00147A45&quot;/&gt;&lt;wsp:rsid wsp:val=&quot;0015064D&quot;/&gt;&lt;wsp:rsid wsp:val=&quot;00151675&quot;/&gt;&lt;wsp:rsid wsp:val=&quot;001534A0&quot;/&gt;&lt;wsp:rsid wsp:val=&quot;00155951&quot;/&gt;&lt;wsp:rsid wsp:val=&quot;00157435&quot;/&gt;&lt;wsp:rsid wsp:val=&quot;001601F4&quot;/&gt;&lt;wsp:rsid wsp:val=&quot;00161984&quot;/&gt;&lt;wsp:rsid wsp:val=&quot;00163CD9&quot;/&gt;&lt;wsp:rsid wsp:val=&quot;00165725&quot;/&gt;&lt;wsp:rsid wsp:val=&quot;00167616&quot;/&gt;&lt;wsp:rsid wsp:val=&quot;00167F76&quot;/&gt;&lt;wsp:rsid wsp:val=&quot;001728A9&quot;/&gt;&lt;wsp:rsid wsp:val=&quot;0017504D&quot;/&gt;&lt;wsp:rsid wsp:val=&quot;0017671A&quot;/&gt;&lt;wsp:rsid wsp:val=&quot;00177422&quot;/&gt;&lt;wsp:rsid wsp:val=&quot;00177EF7&quot;/&gt;&lt;wsp:rsid wsp:val=&quot;001806B6&quot;/&gt;&lt;wsp:rsid wsp:val=&quot;00180B9D&quot;/&gt;&lt;wsp:rsid wsp:val=&quot;00182286&quot;/&gt;&lt;wsp:rsid wsp:val=&quot;00182AC5&quot;/&gt;&lt;wsp:rsid wsp:val=&quot;00184590&quot;/&gt;&lt;wsp:rsid wsp:val=&quot;001870D1&quot;/&gt;&lt;wsp:rsid wsp:val=&quot;0018780F&quot;/&gt;&lt;wsp:rsid wsp:val=&quot;0018781E&quot;/&gt;&lt;wsp:rsid wsp:val=&quot;0019262D&quot;/&gt;&lt;wsp:rsid wsp:val=&quot;001948ED&quot;/&gt;&lt;wsp:rsid wsp:val=&quot;00194C12&quot;/&gt;&lt;wsp:rsid wsp:val=&quot;00194FDD&quot;/&gt;&lt;wsp:rsid wsp:val=&quot;0019602C&quot;/&gt;&lt;wsp:rsid wsp:val=&quot;00196290&quot;/&gt;&lt;wsp:rsid wsp:val=&quot;00196B02&quot;/&gt;&lt;wsp:rsid wsp:val=&quot;00197455&quot;/&gt;&lt;wsp:rsid wsp:val=&quot;00197995&quot;/&gt;&lt;wsp:rsid wsp:val=&quot;001A1B35&quot;/&gt;&lt;wsp:rsid wsp:val=&quot;001A20DF&quot;/&gt;&lt;wsp:rsid wsp:val=&quot;001A2B7D&quot;/&gt;&lt;wsp:rsid wsp:val=&quot;001A3996&quot;/&gt;&lt;wsp:rsid wsp:val=&quot;001A48A2&quot;/&gt;&lt;wsp:rsid wsp:val=&quot;001A6F61&quot;/&gt;&lt;wsp:rsid wsp:val=&quot;001B0A0A&quot;/&gt;&lt;wsp:rsid wsp:val=&quot;001B0B73&quot;/&gt;&lt;wsp:rsid wsp:val=&quot;001B291A&quot;/&gt;&lt;wsp:rsid wsp:val=&quot;001B4D9E&quot;/&gt;&lt;wsp:rsid wsp:val=&quot;001B6972&quot;/&gt;&lt;wsp:rsid wsp:val=&quot;001B72B8&quot;/&gt;&lt;wsp:rsid wsp:val=&quot;001B772D&quot;/&gt;&lt;wsp:rsid wsp:val=&quot;001C199D&quot;/&gt;&lt;wsp:rsid wsp:val=&quot;001C378B&quot;/&gt;&lt;wsp:rsid wsp:val=&quot;001C5666&quot;/&gt;&lt;wsp:rsid wsp:val=&quot;001C612A&quot;/&gt;&lt;wsp:rsid wsp:val=&quot;001C69B3&quot;/&gt;&lt;wsp:rsid wsp:val=&quot;001D1D22&quot;/&gt;&lt;wsp:rsid wsp:val=&quot;001D292C&quot;/&gt;&lt;wsp:rsid wsp:val=&quot;001D5595&quot;/&gt;&lt;wsp:rsid wsp:val=&quot;001D7874&quot;/&gt;&lt;wsp:rsid wsp:val=&quot;001D7F22&quot;/&gt;&lt;wsp:rsid wsp:val=&quot;001E2CB5&quot;/&gt;&lt;wsp:rsid wsp:val=&quot;001E303D&quot;/&gt;&lt;wsp:rsid wsp:val=&quot;001E52CF&quot;/&gt;&lt;wsp:rsid wsp:val=&quot;001E76C4&quot;/&gt;&lt;wsp:rsid wsp:val=&quot;001F04D9&quot;/&gt;&lt;wsp:rsid wsp:val=&quot;001F0A8C&quot;/&gt;&lt;wsp:rsid wsp:val=&quot;001F0F17&quot;/&gt;&lt;wsp:rsid wsp:val=&quot;001F2855&quot;/&gt;&lt;wsp:rsid wsp:val=&quot;001F3347&quot;/&gt;&lt;wsp:rsid wsp:val=&quot;001F69E4&quot;/&gt;&lt;wsp:rsid wsp:val=&quot;00200132&quot;/&gt;&lt;wsp:rsid wsp:val=&quot;00200429&quot;/&gt;&lt;wsp:rsid wsp:val=&quot;00201013&quot;/&gt;&lt;wsp:rsid wsp:val=&quot;00204F81&quot;/&gt;&lt;wsp:rsid wsp:val=&quot;00205E17&quot;/&gt;&lt;wsp:rsid wsp:val=&quot;002077B6&quot;/&gt;&lt;wsp:rsid wsp:val=&quot;002125B4&quot;/&gt;&lt;wsp:rsid wsp:val=&quot;00212BB8&quot;/&gt;&lt;wsp:rsid wsp:val=&quot;00213623&quot;/&gt;&lt;wsp:rsid wsp:val=&quot;00213FFC&quot;/&gt;&lt;wsp:rsid wsp:val=&quot;002155B8&quot;/&gt;&lt;wsp:rsid wsp:val=&quot;0021608D&quot;/&gt;&lt;wsp:rsid wsp:val=&quot;002170B2&quot;/&gt;&lt;wsp:rsid wsp:val=&quot;00220545&quot;/&gt;&lt;wsp:rsid wsp:val=&quot;002208C9&quot;/&gt;&lt;wsp:rsid wsp:val=&quot;00221EE9&quot;/&gt;&lt;wsp:rsid wsp:val=&quot;0022213D&quot;/&gt;&lt;wsp:rsid wsp:val=&quot;00224839&quot;/&gt;&lt;wsp:rsid wsp:val=&quot;002249B2&quot;/&gt;&lt;wsp:rsid wsp:val=&quot;00226574&quot;/&gt;&lt;wsp:rsid wsp:val=&quot;002271C9&quot;/&gt;&lt;wsp:rsid wsp:val=&quot;002278EC&quot;/&gt;&lt;wsp:rsid wsp:val=&quot;0023280E&quot;/&gt;&lt;wsp:rsid wsp:val=&quot;00237053&quot;/&gt;&lt;wsp:rsid wsp:val=&quot;002377D1&quot;/&gt;&lt;wsp:rsid wsp:val=&quot;00237C7E&quot;/&gt;&lt;wsp:rsid wsp:val=&quot;00240B0C&quot;/&gt;&lt;wsp:rsid wsp:val=&quot;0024336F&quot;/&gt;&lt;wsp:rsid wsp:val=&quot;002455FF&quot;/&gt;&lt;wsp:rsid wsp:val=&quot;002464BE&quot;/&gt;&lt;wsp:rsid wsp:val=&quot;002506BC&quot;/&gt;&lt;wsp:rsid wsp:val=&quot;00251E46&quot;/&gt;&lt;wsp:rsid wsp:val=&quot;00252BD4&quot;/&gt;&lt;wsp:rsid wsp:val=&quot;0025340A&quot;/&gt;&lt;wsp:rsid wsp:val=&quot;002534EF&quot;/&gt;&lt;wsp:rsid wsp:val=&quot;00253522&quot;/&gt;&lt;wsp:rsid wsp:val=&quot;00253CF8&quot;/&gt;&lt;wsp:rsid wsp:val=&quot;00254345&quot;/&gt;&lt;wsp:rsid wsp:val=&quot;00255556&quot;/&gt;&lt;wsp:rsid wsp:val=&quot;00257184&quot;/&gt;&lt;wsp:rsid wsp:val=&quot;00261A53&quot;/&gt;&lt;wsp:rsid wsp:val=&quot;00262BD2&quot;/&gt;&lt;wsp:rsid wsp:val=&quot;00264557&quot;/&gt;&lt;wsp:rsid wsp:val=&quot;002654F6&quot;/&gt;&lt;wsp:rsid wsp:val=&quot;0026597D&quot;/&gt;&lt;wsp:rsid wsp:val=&quot;00266946&quot;/&gt;&lt;wsp:rsid wsp:val=&quot;00270BA0&quot;/&gt;&lt;wsp:rsid wsp:val=&quot;00274C14&quot;/&gt;&lt;wsp:rsid wsp:val=&quot;00275CA7&quot;/&gt;&lt;wsp:rsid wsp:val=&quot;00277A8F&quot;/&gt;&lt;wsp:rsid wsp:val=&quot;002805AB&quot;/&gt;&lt;wsp:rsid wsp:val=&quot;002809C1&quot;/&gt;&lt;wsp:rsid wsp:val=&quot;00280DCB&quot;/&gt;&lt;wsp:rsid wsp:val=&quot;00284171&quot;/&gt;&lt;wsp:rsid wsp:val=&quot;00284204&quot;/&gt;&lt;wsp:rsid wsp:val=&quot;0028694B&quot;/&gt;&lt;wsp:rsid wsp:val=&quot;00286EB6&quot;/&gt;&lt;wsp:rsid wsp:val=&quot;00291773&quot;/&gt;&lt;wsp:rsid wsp:val=&quot;002931EC&quot;/&gt;&lt;wsp:rsid wsp:val=&quot;00294421&quot;/&gt;&lt;wsp:rsid wsp:val=&quot;00296697&quot;/&gt;&lt;wsp:rsid wsp:val=&quot;00296FA8&quot;/&gt;&lt;wsp:rsid wsp:val=&quot;002A08F4&quot;/&gt;&lt;wsp:rsid wsp:val=&quot;002A168C&quot;/&gt;&lt;wsp:rsid wsp:val=&quot;002A2FC3&quot;/&gt;&lt;wsp:rsid wsp:val=&quot;002A38F4&quot;/&gt;&lt;wsp:rsid wsp:val=&quot;002A3DC7&quot;/&gt;&lt;wsp:rsid wsp:val=&quot;002A4B5A&quot;/&gt;&lt;wsp:rsid wsp:val=&quot;002A532B&quot;/&gt;&lt;wsp:rsid wsp:val=&quot;002A5FD3&quot;/&gt;&lt;wsp:rsid wsp:val=&quot;002A7FC1&quot;/&gt;&lt;wsp:rsid wsp:val=&quot;002B2476&quot;/&gt;&lt;wsp:rsid wsp:val=&quot;002B2654&quot;/&gt;&lt;wsp:rsid wsp:val=&quot;002B49E2&quot;/&gt;&lt;wsp:rsid wsp:val=&quot;002B60AD&quot;/&gt;&lt;wsp:rsid wsp:val=&quot;002B7816&quot;/&gt;&lt;wsp:rsid wsp:val=&quot;002B7B00&quot;/&gt;&lt;wsp:rsid wsp:val=&quot;002B7C44&quot;/&gt;&lt;wsp:rsid wsp:val=&quot;002C2413&quot;/&gt;&lt;wsp:rsid wsp:val=&quot;002C2B17&quot;/&gt;&lt;wsp:rsid wsp:val=&quot;002C2FEC&quot;/&gt;&lt;wsp:rsid wsp:val=&quot;002C4B16&quot;/&gt;&lt;wsp:rsid wsp:val=&quot;002C6986&quot;/&gt;&lt;wsp:rsid wsp:val=&quot;002C6B4E&quot;/&gt;&lt;wsp:rsid wsp:val=&quot;002D0705&quot;/&gt;&lt;wsp:rsid wsp:val=&quot;002D0A23&quot;/&gt;&lt;wsp:rsid wsp:val=&quot;002D3DD0&quot;/&gt;&lt;wsp:rsid wsp:val=&quot;002D3FEE&quot;/&gt;&lt;wsp:rsid wsp:val=&quot;002E1B9C&quot;/&gt;&lt;wsp:rsid wsp:val=&quot;002E1F3A&quot;/&gt;&lt;wsp:rsid wsp:val=&quot;002E2928&quot;/&gt;&lt;wsp:rsid wsp:val=&quot;002E298A&quot;/&gt;&lt;wsp:rsid wsp:val=&quot;002E4019&quot;/&gt;&lt;wsp:rsid wsp:val=&quot;002E6743&quot;/&gt;&lt;wsp:rsid wsp:val=&quot;002E7084&quot;/&gt;&lt;wsp:rsid wsp:val=&quot;002F08F8&quot;/&gt;&lt;wsp:rsid wsp:val=&quot;002F170C&quot;/&gt;&lt;wsp:rsid wsp:val=&quot;002F3543&quot;/&gt;&lt;wsp:rsid wsp:val=&quot;002F4AD4&quot;/&gt;&lt;wsp:rsid wsp:val=&quot;002F4E3E&quot;/&gt;&lt;wsp:rsid wsp:val=&quot;002F6A0A&quot;/&gt;&lt;wsp:rsid wsp:val=&quot;002F7F23&quot;/&gt;&lt;wsp:rsid wsp:val=&quot;00300324&quot;/&gt;&lt;wsp:rsid wsp:val=&quot;00300CB2&quot;/&gt;&lt;wsp:rsid wsp:val=&quot;00301978&quot;/&gt;&lt;wsp:rsid wsp:val=&quot;00302B3D&quot;/&gt;&lt;wsp:rsid wsp:val=&quot;0030332C&quot;/&gt;&lt;wsp:rsid wsp:val=&quot;003039BB&quot;/&gt;&lt;wsp:rsid wsp:val=&quot;003051C2&quot;/&gt;&lt;wsp:rsid wsp:val=&quot;00311404&quot;/&gt;&lt;wsp:rsid wsp:val=&quot;00312296&quot;/&gt;&lt;wsp:rsid wsp:val=&quot;0031250B&quot;/&gt;&lt;wsp:rsid wsp:val=&quot;00313AD9&quot;/&gt;&lt;wsp:rsid wsp:val=&quot;00313D25&quot;/&gt;&lt;wsp:rsid wsp:val=&quot;00314640&quot;/&gt;&lt;wsp:rsid wsp:val=&quot;00314F0E&quot;/&gt;&lt;wsp:rsid wsp:val=&quot;0031589D&quot;/&gt;&lt;wsp:rsid wsp:val=&quot;00316043&quot;/&gt;&lt;wsp:rsid wsp:val=&quot;0032184A&quot;/&gt;&lt;wsp:rsid wsp:val=&quot;00321D8E&quot;/&gt;&lt;wsp:rsid wsp:val=&quot;00325928&quot;/&gt;&lt;wsp:rsid wsp:val=&quot;003264F4&quot;/&gt;&lt;wsp:rsid wsp:val=&quot;0032715D&quot;/&gt;&lt;wsp:rsid wsp:val=&quot;003274ED&quot;/&gt;&lt;wsp:rsid wsp:val=&quot;00331BF3&quot;/&gt;&lt;wsp:rsid wsp:val=&quot;00332863&quot;/&gt;&lt;wsp:rsid wsp:val=&quot;00334EC7&quot;/&gt;&lt;wsp:rsid wsp:val=&quot;00335177&quot;/&gt;&lt;wsp:rsid wsp:val=&quot;00336747&quot;/&gt;&lt;wsp:rsid wsp:val=&quot;0033684D&quot;/&gt;&lt;wsp:rsid wsp:val=&quot;00337890&quot;/&gt;&lt;wsp:rsid wsp:val=&quot;00337B42&quot;/&gt;&lt;wsp:rsid wsp:val=&quot;00341B42&quot;/&gt;&lt;wsp:rsid wsp:val=&quot;00342405&quot;/&gt;&lt;wsp:rsid wsp:val=&quot;0034348F&quot;/&gt;&lt;wsp:rsid wsp:val=&quot;00347A71&quot;/&gt;&lt;wsp:rsid wsp:val=&quot;00350313&quot;/&gt;&lt;wsp:rsid wsp:val=&quot;003516E0&quot;/&gt;&lt;wsp:rsid wsp:val=&quot;00354B16&quot;/&gt;&lt;wsp:rsid wsp:val=&quot;00356574&quot;/&gt;&lt;wsp:rsid wsp:val=&quot;00356653&quot;/&gt;&lt;wsp:rsid wsp:val=&quot;0035727D&quot;/&gt;&lt;wsp:rsid wsp:val=&quot;0035743F&quot;/&gt;&lt;wsp:rsid wsp:val=&quot;00357BE2&quot;/&gt;&lt;wsp:rsid wsp:val=&quot;00360E24&quot;/&gt;&lt;wsp:rsid wsp:val=&quot;0036170C&quot;/&gt;&lt;wsp:rsid wsp:val=&quot;00362203&quot;/&gt;&lt;wsp:rsid wsp:val=&quot;00362ADC&quot;/&gt;&lt;wsp:rsid wsp:val=&quot;0036329A&quot;/&gt;&lt;wsp:rsid wsp:val=&quot;00363A16&quot;/&gt;&lt;wsp:rsid wsp:val=&quot;00366E0F&quot;/&gt;&lt;wsp:rsid wsp:val=&quot;0037125E&quot;/&gt;&lt;wsp:rsid wsp:val=&quot;00371CD1&quot;/&gt;&lt;wsp:rsid wsp:val=&quot;00375CD7&quot;/&gt;&lt;wsp:rsid wsp:val=&quot;00376D2F&quot;/&gt;&lt;wsp:rsid wsp:val=&quot;003779FF&quot;/&gt;&lt;wsp:rsid wsp:val=&quot;00380263&quot;/&gt;&lt;wsp:rsid wsp:val=&quot;00380274&quot;/&gt;&lt;wsp:rsid wsp:val=&quot;003819BF&quot;/&gt;&lt;wsp:rsid wsp:val=&quot;00381A72&quot;/&gt;&lt;wsp:rsid wsp:val=&quot;00382EC1&quot;/&gt;&lt;wsp:rsid wsp:val=&quot;00384676&quot;/&gt;&lt;wsp:rsid wsp:val=&quot;003865CE&quot;/&gt;&lt;wsp:rsid wsp:val=&quot;00390857&quot;/&gt;&lt;wsp:rsid wsp:val=&quot;00391557&quot;/&gt;&lt;wsp:rsid wsp:val=&quot;003935E0&quot;/&gt;&lt;wsp:rsid wsp:val=&quot;00393E84&quot;/&gt;&lt;wsp:rsid wsp:val=&quot;003941FA&quot;/&gt;&lt;wsp:rsid wsp:val=&quot;00394C98&quot;/&gt;&lt;wsp:rsid wsp:val=&quot;00395784&quot;/&gt;&lt;wsp:rsid wsp:val=&quot;0039656D&quot;/&gt;&lt;wsp:rsid wsp:val=&quot;00397E0C&quot;/&gt;&lt;wsp:rsid wsp:val=&quot;003A0216&quot;/&gt;&lt;wsp:rsid wsp:val=&quot;003A1A2A&quot;/&gt;&lt;wsp:rsid wsp:val=&quot;003A295A&quot;/&gt;&lt;wsp:rsid wsp:val=&quot;003A36E5&quot;/&gt;&lt;wsp:rsid wsp:val=&quot;003A4BF3&quot;/&gt;&lt;wsp:rsid wsp:val=&quot;003B127A&quot;/&gt;&lt;wsp:rsid wsp:val=&quot;003B3B4F&quot;/&gt;&lt;wsp:rsid wsp:val=&quot;003B420D&quot;/&gt;&lt;wsp:rsid wsp:val=&quot;003B4A70&quot;/&gt;&lt;wsp:rsid wsp:val=&quot;003B6001&quot;/&gt;&lt;wsp:rsid wsp:val=&quot;003C1401&quot;/&gt;&lt;wsp:rsid wsp:val=&quot;003C6C16&quot;/&gt;&lt;wsp:rsid wsp:val=&quot;003C6F56&quot;/&gt;&lt;wsp:rsid wsp:val=&quot;003D0E2E&quot;/&gt;&lt;wsp:rsid wsp:val=&quot;003D236E&quot;/&gt;&lt;wsp:rsid wsp:val=&quot;003D4FDE&quot;/&gt;&lt;wsp:rsid wsp:val=&quot;003D5016&quot;/&gt;&lt;wsp:rsid wsp:val=&quot;003D5B8C&quot;/&gt;&lt;wsp:rsid wsp:val=&quot;003D6987&quot;/&gt;&lt;wsp:rsid wsp:val=&quot;003D794D&quot;/&gt;&lt;wsp:rsid wsp:val=&quot;003D7B6E&quot;/&gt;&lt;wsp:rsid wsp:val=&quot;003E2102&quot;/&gt;&lt;wsp:rsid wsp:val=&quot;003E3058&quot;/&gt;&lt;wsp:rsid wsp:val=&quot;003E462F&quot;/&gt;&lt;wsp:rsid wsp:val=&quot;003E667F&quot;/&gt;&lt;wsp:rsid wsp:val=&quot;003E76A9&quot;/&gt;&lt;wsp:rsid wsp:val=&quot;003F0809&quot;/&gt;&lt;wsp:rsid wsp:val=&quot;003F1355&quot;/&gt;&lt;wsp:rsid wsp:val=&quot;003F1AD3&quot;/&gt;&lt;wsp:rsid wsp:val=&quot;003F2727&quot;/&gt;&lt;wsp:rsid wsp:val=&quot;003F3C57&quot;/&gt;&lt;wsp:rsid wsp:val=&quot;003F5919&quot;/&gt;&lt;wsp:rsid wsp:val=&quot;003F5C29&quot;/&gt;&lt;wsp:rsid wsp:val=&quot;003F6A8C&quot;/&gt;&lt;wsp:rsid wsp:val=&quot;003F748E&quot;/&gt;&lt;wsp:rsid wsp:val=&quot;003F755C&quot;/&gt;&lt;wsp:rsid wsp:val=&quot;00404768&quot;/&gt;&lt;wsp:rsid wsp:val=&quot;00405F39&quot;/&gt;&lt;wsp:rsid wsp:val=&quot;00406F01&quot;/&gt;&lt;wsp:rsid wsp:val=&quot;004167C8&quot;/&gt;&lt;wsp:rsid wsp:val=&quot;00416D50&quot;/&gt;&lt;wsp:rsid wsp:val=&quot;00416FD5&quot;/&gt;&lt;wsp:rsid wsp:val=&quot;00417772&quot;/&gt;&lt;wsp:rsid wsp:val=&quot;00420A10&quot;/&gt;&lt;wsp:rsid wsp:val=&quot;00420E6A&quot;/&gt;&lt;wsp:rsid wsp:val=&quot;004218C3&quot;/&gt;&lt;wsp:rsid wsp:val=&quot;0042346A&quot;/&gt;&lt;wsp:rsid wsp:val=&quot;00425A9E&quot;/&gt;&lt;wsp:rsid wsp:val=&quot;00426D6B&quot;/&gt;&lt;wsp:rsid wsp:val=&quot;00426FEB&quot;/&gt;&lt;wsp:rsid wsp:val=&quot;00427CF4&quot;/&gt;&lt;wsp:rsid wsp:val=&quot;00430045&quot;/&gt;&lt;wsp:rsid wsp:val=&quot;004309B3&quot;/&gt;&lt;wsp:rsid wsp:val=&quot;00431E6C&quot;/&gt;&lt;wsp:rsid wsp:val=&quot;0043322B&quot;/&gt;&lt;wsp:rsid wsp:val=&quot;00433CE7&quot;/&gt;&lt;wsp:rsid wsp:val=&quot;0043563A&quot;/&gt;&lt;wsp:rsid wsp:val=&quot;004416BB&quot;/&gt;&lt;wsp:rsid wsp:val=&quot;00441B28&quot;/&gt;&lt;wsp:rsid wsp:val=&quot;00443BEA&quot;/&gt;&lt;wsp:rsid wsp:val=&quot;0044430D&quot;/&gt;&lt;wsp:rsid wsp:val=&quot;0045032C&quot;/&gt;&lt;wsp:rsid wsp:val=&quot;00452738&quot;/&gt;&lt;wsp:rsid wsp:val=&quot;004541B5&quot;/&gt;&lt;wsp:rsid wsp:val=&quot;00454300&quot;/&gt;&lt;wsp:rsid wsp:val=&quot;004547CC&quot;/&gt;&lt;wsp:rsid wsp:val=&quot;00454BB9&quot;/&gt;&lt;wsp:rsid wsp:val=&quot;00455CA4&quot;/&gt;&lt;wsp:rsid wsp:val=&quot;00456091&quot;/&gt;&lt;wsp:rsid wsp:val=&quot;00457215&quot;/&gt;&lt;wsp:rsid wsp:val=&quot;0046319D&quot;/&gt;&lt;wsp:rsid wsp:val=&quot;00464F5D&quot;/&gt;&lt;wsp:rsid wsp:val=&quot;00466321&quot;/&gt;&lt;wsp:rsid wsp:val=&quot;0047088C&quot;/&gt;&lt;wsp:rsid wsp:val=&quot;0047089A&quot;/&gt;&lt;wsp:rsid wsp:val=&quot;0047144C&quot;/&gt;&lt;wsp:rsid wsp:val=&quot;00471C09&quot;/&gt;&lt;wsp:rsid wsp:val=&quot;00473DBE&quot;/&gt;&lt;wsp:rsid wsp:val=&quot;00484196&quot;/&gt;&lt;wsp:rsid wsp:val=&quot;00484881&quot;/&gt;&lt;wsp:rsid wsp:val=&quot;00484B9B&quot;/&gt;&lt;wsp:rsid wsp:val=&quot;004855F6&quot;/&gt;&lt;wsp:rsid wsp:val=&quot;0048661E&quot;/&gt;&lt;wsp:rsid wsp:val=&quot;00487869&quot;/&gt;&lt;wsp:rsid wsp:val=&quot;00490A56&quot;/&gt;&lt;wsp:rsid wsp:val=&quot;00491838&quot;/&gt;&lt;wsp:rsid wsp:val=&quot;00491ADC&quot;/&gt;&lt;wsp:rsid wsp:val=&quot;0049258F&quot;/&gt;&lt;wsp:rsid wsp:val=&quot;00494670&quot;/&gt;&lt;wsp:rsid wsp:val=&quot;004947B2&quot;/&gt;&lt;wsp:rsid wsp:val=&quot;00496E96&quot;/&gt;&lt;wsp:rsid wsp:val=&quot;00497FC3&quot;/&gt;&lt;wsp:rsid wsp:val=&quot;004A017D&quot;/&gt;&lt;wsp:rsid wsp:val=&quot;004A1C1C&quot;/&gt;&lt;wsp:rsid wsp:val=&quot;004A3823&quot;/&gt;&lt;wsp:rsid wsp:val=&quot;004A622D&quot;/&gt;&lt;wsp:rsid wsp:val=&quot;004B1760&quot;/&gt;&lt;wsp:rsid wsp:val=&quot;004B4868&quot;/&gt;&lt;wsp:rsid wsp:val=&quot;004B61A2&quot;/&gt;&lt;wsp:rsid wsp:val=&quot;004B6654&quot;/&gt;&lt;wsp:rsid wsp:val=&quot;004C0B74&quot;/&gt;&lt;wsp:rsid wsp:val=&quot;004C0C19&quot;/&gt;&lt;wsp:rsid wsp:val=&quot;004C34CC&quot;/&gt;&lt;wsp:rsid wsp:val=&quot;004C678A&quot;/&gt;&lt;wsp:rsid wsp:val=&quot;004D0C39&quot;/&gt;&lt;wsp:rsid wsp:val=&quot;004D14EC&quot;/&gt;&lt;wsp:rsid wsp:val=&quot;004D221E&quot;/&gt;&lt;wsp:rsid wsp:val=&quot;004D2C5A&quot;/&gt;&lt;wsp:rsid wsp:val=&quot;004D50C1&quot;/&gt;&lt;wsp:rsid wsp:val=&quot;004D5CD9&quot;/&gt;&lt;wsp:rsid wsp:val=&quot;004D6C6D&quot;/&gt;&lt;wsp:rsid wsp:val=&quot;004D71FF&quot;/&gt;&lt;wsp:rsid wsp:val=&quot;004E526C&quot;/&gt;&lt;wsp:rsid wsp:val=&quot;004E5A4D&quot;/&gt;&lt;wsp:rsid wsp:val=&quot;004E5FE4&quot;/&gt;&lt;wsp:rsid wsp:val=&quot;004E6946&quot;/&gt;&lt;wsp:rsid wsp:val=&quot;004F1AD8&quot;/&gt;&lt;wsp:rsid wsp:val=&quot;004F2C69&quot;/&gt;&lt;wsp:rsid wsp:val=&quot;004F5122&quot;/&gt;&lt;wsp:rsid wsp:val=&quot;004F554C&quot;/&gt;&lt;wsp:rsid wsp:val=&quot;005011FC&quot;/&gt;&lt;wsp:rsid wsp:val=&quot;00501AAD&quot;/&gt;&lt;wsp:rsid wsp:val=&quot;00501FF7&quot;/&gt;&lt;wsp:rsid wsp:val=&quot;005039CB&quot;/&gt;&lt;wsp:rsid wsp:val=&quot;005049B7&quot;/&gt;&lt;wsp:rsid wsp:val=&quot;0050558F&quot;/&gt;&lt;wsp:rsid wsp:val=&quot;00505C19&quot;/&gt;&lt;wsp:rsid wsp:val=&quot;00506286&quot;/&gt;&lt;wsp:rsid wsp:val=&quot;00510813&quot;/&gt;&lt;wsp:rsid wsp:val=&quot;00511990&quot;/&gt;&lt;wsp:rsid wsp:val=&quot;00511DE0&quot;/&gt;&lt;wsp:rsid wsp:val=&quot;00513946&quot;/&gt;&lt;wsp:rsid wsp:val=&quot;00513ED0&quot;/&gt;&lt;wsp:rsid wsp:val=&quot;00514870&quot;/&gt;&lt;wsp:rsid wsp:val=&quot;00514B9B&quot;/&gt;&lt;wsp:rsid wsp:val=&quot;00515E22&quot;/&gt;&lt;wsp:rsid wsp:val=&quot;00516DCA&quot;/&gt;&lt;wsp:rsid wsp:val=&quot;00517F02&quot;/&gt;&lt;wsp:rsid wsp:val=&quot;00521738&quot;/&gt;&lt;wsp:rsid wsp:val=&quot;00524303&quot;/&gt;&lt;wsp:rsid wsp:val=&quot;005258A2&quot;/&gt;&lt;wsp:rsid wsp:val=&quot;00526FAE&quot;/&gt;&lt;wsp:rsid wsp:val=&quot;005302AE&quot;/&gt;&lt;wsp:rsid wsp:val=&quot;00535733&quot;/&gt;&lt;wsp:rsid wsp:val=&quot;005401AE&quot;/&gt;&lt;wsp:rsid wsp:val=&quot;00540B44&quot;/&gt;&lt;wsp:rsid wsp:val=&quot;0054160C&quot;/&gt;&lt;wsp:rsid wsp:val=&quot;00541961&quot;/&gt;&lt;wsp:rsid wsp:val=&quot;00541E90&quot;/&gt;&lt;wsp:rsid wsp:val=&quot;00542C1F&quot;/&gt;&lt;wsp:rsid wsp:val=&quot;00542E07&quot;/&gt;&lt;wsp:rsid wsp:val=&quot;00545424&quot;/&gt;&lt;wsp:rsid wsp:val=&quot;00546833&quot;/&gt;&lt;wsp:rsid wsp:val=&quot;00546BFC&quot;/&gt;&lt;wsp:rsid wsp:val=&quot;00551B82&quot;/&gt;&lt;wsp:rsid wsp:val=&quot;00551F06&quot;/&gt;&lt;wsp:rsid wsp:val=&quot;0055284F&quot;/&gt;&lt;wsp:rsid wsp:val=&quot;0055397D&quot;/&gt;&lt;wsp:rsid wsp:val=&quot;00554A7B&quot;/&gt;&lt;wsp:rsid wsp:val=&quot;0055572C&quot;/&gt;&lt;wsp:rsid wsp:val=&quot;00560049&quot;/&gt;&lt;wsp:rsid wsp:val=&quot;0056106A&quot;/&gt;&lt;wsp:rsid wsp:val=&quot;00562875&quot;/&gt;&lt;wsp:rsid wsp:val=&quot;00563597&quot;/&gt;&lt;wsp:rsid wsp:val=&quot;00566038&quot;/&gt;&lt;wsp:rsid wsp:val=&quot;0056682A&quot;/&gt;&lt;wsp:rsid wsp:val=&quot;005710F2&quot;/&gt;&lt;wsp:rsid wsp:val=&quot;00571EA7&quot;/&gt;&lt;wsp:rsid wsp:val=&quot;005720AE&quot;/&gt;&lt;wsp:rsid wsp:val=&quot;005765B1&quot;/&gt;&lt;wsp:rsid wsp:val=&quot;005766D6&quot;/&gt;&lt;wsp:rsid wsp:val=&quot;00584B3F&quot;/&gt;&lt;wsp:rsid wsp:val=&quot;00585006&quot;/&gt;&lt;wsp:rsid wsp:val=&quot;00587EB2&quot;/&gt;&lt;wsp:rsid wsp:val=&quot;00590DD4&quot;/&gt;&lt;wsp:rsid wsp:val=&quot;00590E91&quot;/&gt;&lt;wsp:rsid wsp:val=&quot;00594D77&quot;/&gt;&lt;wsp:rsid wsp:val=&quot;00595100&quot;/&gt;&lt;wsp:rsid wsp:val=&quot;005951AC&quot;/&gt;&lt;wsp:rsid wsp:val=&quot;00595AF4&quot;/&gt;&lt;wsp:rsid wsp:val=&quot;005969E4&quot;/&gt;&lt;wsp:rsid wsp:val=&quot;00596C22&quot;/&gt;&lt;wsp:rsid wsp:val=&quot;00596F2E&quot;/&gt;&lt;wsp:rsid wsp:val=&quot;005978CB&quot;/&gt;&lt;wsp:rsid wsp:val=&quot;005A06B7&quot;/&gt;&lt;wsp:rsid wsp:val=&quot;005A1759&quot;/&gt;&lt;wsp:rsid wsp:val=&quot;005A1B1C&quot;/&gt;&lt;wsp:rsid wsp:val=&quot;005A2C70&quot;/&gt;&lt;wsp:rsid wsp:val=&quot;005A5183&quot;/&gt;&lt;wsp:rsid wsp:val=&quot;005A68A7&quot;/&gt;&lt;wsp:rsid wsp:val=&quot;005A6F40&quot;/&gt;&lt;wsp:rsid wsp:val=&quot;005B10D3&quot;/&gt;&lt;wsp:rsid wsp:val=&quot;005B16A3&quot;/&gt;&lt;wsp:rsid wsp:val=&quot;005B6C11&quot;/&gt;&lt;wsp:rsid wsp:val=&quot;005C04EB&quot;/&gt;&lt;wsp:rsid wsp:val=&quot;005C51D4&quot;/&gt;&lt;wsp:rsid wsp:val=&quot;005C6591&quot;/&gt;&lt;wsp:rsid wsp:val=&quot;005C6874&quot;/&gt;&lt;wsp:rsid wsp:val=&quot;005C7D58&quot;/&gt;&lt;wsp:rsid wsp:val=&quot;005D26E3&quot;/&gt;&lt;wsp:rsid wsp:val=&quot;005D2D18&quot;/&gt;&lt;wsp:rsid wsp:val=&quot;005D36AB&quot;/&gt;&lt;wsp:rsid wsp:val=&quot;005D664F&quot;/&gt;&lt;wsp:rsid wsp:val=&quot;005D73B9&quot;/&gt;&lt;wsp:rsid wsp:val=&quot;005D7583&quot;/&gt;&lt;wsp:rsid wsp:val=&quot;005D7706&quot;/&gt;&lt;wsp:rsid wsp:val=&quot;005E30E1&quot;/&gt;&lt;wsp:rsid wsp:val=&quot;005E65F1&quot;/&gt;&lt;wsp:rsid wsp:val=&quot;005F0465&quot;/&gt;&lt;wsp:rsid wsp:val=&quot;005F0D01&quot;/&gt;&lt;wsp:rsid wsp:val=&quot;005F15F2&quot;/&gt;&lt;wsp:rsid wsp:val=&quot;005F29A9&quot;/&gt;&lt;wsp:rsid wsp:val=&quot;005F2D75&quot;/&gt;&lt;wsp:rsid wsp:val=&quot;005F3491&quot;/&gt;&lt;wsp:rsid wsp:val=&quot;005F67E8&quot;/&gt;&lt;wsp:rsid wsp:val=&quot;005F6CEE&quot;/&gt;&lt;wsp:rsid wsp:val=&quot;005F7EC4&quot;/&gt;&lt;wsp:rsid wsp:val=&quot;0060040D&quot;/&gt;&lt;wsp:rsid wsp:val=&quot;00601707&quot;/&gt;&lt;wsp:rsid wsp:val=&quot;0060205D&quot;/&gt;&lt;wsp:rsid wsp:val=&quot;0060254A&quot;/&gt;&lt;wsp:rsid wsp:val=&quot;00606AB2&quot;/&gt;&lt;wsp:rsid wsp:val=&quot;00607AA4&quot;/&gt;&lt;wsp:rsid wsp:val=&quot;006101B3&quot;/&gt;&lt;wsp:rsid wsp:val=&quot;00610536&quot;/&gt;&lt;wsp:rsid wsp:val=&quot;00610672&quot;/&gt;&lt;wsp:rsid wsp:val=&quot;00613846&quot;/&gt;&lt;wsp:rsid wsp:val=&quot;00617A41&quot;/&gt;&lt;wsp:rsid wsp:val=&quot;00617CC3&quot;/&gt;&lt;wsp:rsid wsp:val=&quot;006215EB&quot;/&gt;&lt;wsp:rsid wsp:val=&quot;00627E1B&quot;/&gt;&lt;wsp:rsid wsp:val=&quot;00630177&quot;/&gt;&lt;wsp:rsid wsp:val=&quot;00632805&quot;/&gt;&lt;wsp:rsid wsp:val=&quot;0063438A&quot;/&gt;&lt;wsp:rsid wsp:val=&quot;006354BE&quot;/&gt;&lt;wsp:rsid wsp:val=&quot;006359BE&quot;/&gt;&lt;wsp:rsid wsp:val=&quot;006377A6&quot;/&gt;&lt;wsp:rsid wsp:val=&quot;00637A3D&quot;/&gt;&lt;wsp:rsid wsp:val=&quot;0064054A&quot;/&gt;&lt;wsp:rsid wsp:val=&quot;006411EF&quot;/&gt;&lt;wsp:rsid wsp:val=&quot;0064616E&quot;/&gt;&lt;wsp:rsid wsp:val=&quot;00646A3C&quot;/&gt;&lt;wsp:rsid wsp:val=&quot;00646C1C&quot;/&gt;&lt;wsp:rsid wsp:val=&quot;00647D12&quot;/&gt;&lt;wsp:rsid wsp:val=&quot;00653C76&quot;/&gt;&lt;wsp:rsid wsp:val=&quot;00655107&quot;/&gt;&lt;wsp:rsid wsp:val=&quot;006556F1&quot;/&gt;&lt;wsp:rsid wsp:val=&quot;006578CB&quot;/&gt;&lt;wsp:rsid wsp:val=&quot;00662547&quot;/&gt;&lt;wsp:rsid wsp:val=&quot;00663E47&quot;/&gt;&lt;wsp:rsid wsp:val=&quot;00664EFE&quot;/&gt;&lt;wsp:rsid wsp:val=&quot;00671F7D&quot;/&gt;&lt;wsp:rsid wsp:val=&quot;00672026&quot;/&gt;&lt;wsp:rsid wsp:val=&quot;006737AA&quot;/&gt;&lt;wsp:rsid wsp:val=&quot;006748B8&quot;/&gt;&lt;wsp:rsid wsp:val=&quot;006775C3&quot;/&gt;&lt;wsp:rsid wsp:val=&quot;00680C24&quot;/&gt;&lt;wsp:rsid wsp:val=&quot;006825C5&quot;/&gt;&lt;wsp:rsid wsp:val=&quot;00683E1D&quot;/&gt;&lt;wsp:rsid wsp:val=&quot;0068592A&quot;/&gt;&lt;wsp:rsid wsp:val=&quot;00690BAE&quot;/&gt;&lt;wsp:rsid wsp:val=&quot;00691829&quot;/&gt;&lt;wsp:rsid wsp:val=&quot;0069290A&quot;/&gt;&lt;wsp:rsid wsp:val=&quot;00693672&quot;/&gt;&lt;wsp:rsid wsp:val=&quot;0069630B&quot;/&gt;&lt;wsp:rsid wsp:val=&quot;0069775A&quot;/&gt;&lt;wsp:rsid wsp:val=&quot;00697813&quot;/&gt;&lt;wsp:rsid wsp:val=&quot;006A27C4&quot;/&gt;&lt;wsp:rsid wsp:val=&quot;006A3EE8&quot;/&gt;&lt;wsp:rsid wsp:val=&quot;006A4B23&quot;/&gt;&lt;wsp:rsid wsp:val=&quot;006A72BF&quot;/&gt;&lt;wsp:rsid wsp:val=&quot;006B03F2&quot;/&gt;&lt;wsp:rsid wsp:val=&quot;006B10E4&quot;/&gt;&lt;wsp:rsid wsp:val=&quot;006B37DC&quot;/&gt;&lt;wsp:rsid wsp:val=&quot;006B3C0B&quot;/&gt;&lt;wsp:rsid wsp:val=&quot;006B4F68&quot;/&gt;&lt;wsp:rsid wsp:val=&quot;006B4FA4&quot;/&gt;&lt;wsp:rsid wsp:val=&quot;006C0592&quot;/&gt;&lt;wsp:rsid wsp:val=&quot;006C272E&quot;/&gt;&lt;wsp:rsid wsp:val=&quot;006C5479&quot;/&gt;&lt;wsp:rsid wsp:val=&quot;006C7981&quot;/&gt;&lt;wsp:rsid wsp:val=&quot;006D07FC&quot;/&gt;&lt;wsp:rsid wsp:val=&quot;006D08DB&quot;/&gt;&lt;wsp:rsid wsp:val=&quot;006D13B5&quot;/&gt;&lt;wsp:rsid wsp:val=&quot;006D1E90&quot;/&gt;&lt;wsp:rsid wsp:val=&quot;006D411A&quot;/&gt;&lt;wsp:rsid wsp:val=&quot;006D6637&quot;/&gt;&lt;wsp:rsid wsp:val=&quot;006D6BAA&quot;/&gt;&lt;wsp:rsid wsp:val=&quot;006D7721&quot;/&gt;&lt;wsp:rsid wsp:val=&quot;006E05C7&quot;/&gt;&lt;wsp:rsid wsp:val=&quot;006E12FF&quot;/&gt;&lt;wsp:rsid wsp:val=&quot;006E1FA9&quot;/&gt;&lt;wsp:rsid wsp:val=&quot;006E369B&quot;/&gt;&lt;wsp:rsid wsp:val=&quot;006E48DE&quot;/&gt;&lt;wsp:rsid wsp:val=&quot;006E607E&quot;/&gt;&lt;wsp:rsid wsp:val=&quot;006E7387&quot;/&gt;&lt;wsp:rsid wsp:val=&quot;006F2EB8&quot;/&gt;&lt;wsp:rsid wsp:val=&quot;006F72A9&quot;/&gt;&lt;wsp:rsid wsp:val=&quot;006F7D4C&quot;/&gt;&lt;wsp:rsid wsp:val=&quot;007001C1&quot;/&gt;&lt;wsp:rsid wsp:val=&quot;007025B8&quot;/&gt;&lt;wsp:rsid wsp:val=&quot;00703D4B&quot;/&gt;&lt;wsp:rsid wsp:val=&quot;00706C5D&quot;/&gt;&lt;wsp:rsid wsp:val=&quot;007102DC&quot;/&gt;&lt;wsp:rsid wsp:val=&quot;00715A20&quot;/&gt;&lt;wsp:rsid wsp:val=&quot;007163B4&quot;/&gt;&lt;wsp:rsid wsp:val=&quot;00723402&quot;/&gt;&lt;wsp:rsid wsp:val=&quot;00730C23&quot;/&gt;&lt;wsp:rsid wsp:val=&quot;00731A0C&quot;/&gt;&lt;wsp:rsid wsp:val=&quot;007325A1&quot;/&gt;&lt;wsp:rsid wsp:val=&quot;00732922&quot;/&gt;&lt;wsp:rsid wsp:val=&quot;00742EB9&quot;/&gt;&lt;wsp:rsid wsp:val=&quot;0074454A&quot;/&gt;&lt;wsp:rsid wsp:val=&quot;007448F1&quot;/&gt;&lt;wsp:rsid wsp:val=&quot;007475B4&quot;/&gt;&lt;wsp:rsid wsp:val=&quot;0075162E&quot;/&gt;&lt;wsp:rsid wsp:val=&quot;007521C1&quot;/&gt;&lt;wsp:rsid wsp:val=&quot;00754034&quot;/&gt;&lt;wsp:rsid wsp:val=&quot;00754BF6&quot;/&gt;&lt;wsp:rsid wsp:val=&quot;00754C67&quot;/&gt;&lt;wsp:rsid wsp:val=&quot;007564DA&quot;/&gt;&lt;wsp:rsid wsp:val=&quot;00756556&quot;/&gt;&lt;wsp:rsid wsp:val=&quot;0075748A&quot;/&gt;&lt;wsp:rsid wsp:val=&quot;0075760D&quot;/&gt;&lt;wsp:rsid wsp:val=&quot;00757F30&quot;/&gt;&lt;wsp:rsid wsp:val=&quot;00761828&quot;/&gt;&lt;wsp:rsid wsp:val=&quot;007618C4&quot;/&gt;&lt;wsp:rsid wsp:val=&quot;00766D97&quot;/&gt;&lt;wsp:rsid wsp:val=&quot;00767980&quot;/&gt;&lt;wsp:rsid wsp:val=&quot;00770B19&quot;/&gt;&lt;wsp:rsid wsp:val=&quot;0077187E&quot;/&gt;&lt;wsp:rsid wsp:val=&quot;00771CDD&quot;/&gt;&lt;wsp:rsid wsp:val=&quot;007739D3&quot;/&gt;&lt;wsp:rsid wsp:val=&quot;0077463F&quot;/&gt;&lt;wsp:rsid wsp:val=&quot;00774E6A&quot;/&gt;&lt;wsp:rsid wsp:val=&quot;00775C88&quot;/&gt;&lt;wsp:rsid wsp:val=&quot;00776F8A&quot;/&gt;&lt;wsp:rsid wsp:val=&quot;00782CA9&quot;/&gt;&lt;wsp:rsid wsp:val=&quot;007836EA&quot;/&gt;&lt;wsp:rsid wsp:val=&quot;00784CDA&quot;/&gt;&lt;wsp:rsid wsp:val=&quot;00785A8C&quot;/&gt;&lt;wsp:rsid wsp:val=&quot;0078788C&quot;/&gt;&lt;wsp:rsid wsp:val=&quot;007906C4&quot;/&gt;&lt;wsp:rsid wsp:val=&quot;00792B73&quot;/&gt;&lt;wsp:rsid wsp:val=&quot;00793186&quot;/&gt;&lt;wsp:rsid wsp:val=&quot;007940EA&quot;/&gt;&lt;wsp:rsid wsp:val=&quot;007957FA&quot;/&gt;&lt;wsp:rsid wsp:val=&quot;007967E8&quot;/&gt;&lt;wsp:rsid wsp:val=&quot;007968EE&quot;/&gt;&lt;wsp:rsid wsp:val=&quot;00796D2F&quot;/&gt;&lt;wsp:rsid wsp:val=&quot;007A0DCC&quot;/&gt;&lt;wsp:rsid wsp:val=&quot;007A2170&quot;/&gt;&lt;wsp:rsid wsp:val=&quot;007A22BF&quot;/&gt;&lt;wsp:rsid wsp:val=&quot;007A3323&quot;/&gt;&lt;wsp:rsid wsp:val=&quot;007A74E8&quot;/&gt;&lt;wsp:rsid wsp:val=&quot;007B10E1&quot;/&gt;&lt;wsp:rsid wsp:val=&quot;007B190A&quot;/&gt;&lt;wsp:rsid wsp:val=&quot;007B2FD8&quot;/&gt;&lt;wsp:rsid wsp:val=&quot;007B2FEF&quot;/&gt;&lt;wsp:rsid wsp:val=&quot;007B3BA1&quot;/&gt;&lt;wsp:rsid wsp:val=&quot;007B43D7&quot;/&gt;&lt;wsp:rsid wsp:val=&quot;007B453C&quot;/&gt;&lt;wsp:rsid wsp:val=&quot;007B5550&quot;/&gt;&lt;wsp:rsid wsp:val=&quot;007B6E9D&quot;/&gt;&lt;wsp:rsid wsp:val=&quot;007B72B8&quot;/&gt;&lt;wsp:rsid wsp:val=&quot;007B7A58&quot;/&gt;&lt;wsp:rsid wsp:val=&quot;007C19B9&quot;/&gt;&lt;wsp:rsid wsp:val=&quot;007C21B5&quot;/&gt;&lt;wsp:rsid wsp:val=&quot;007C279E&quot;/&gt;&lt;wsp:rsid wsp:val=&quot;007C3B68&quot;/&gt;&lt;wsp:rsid wsp:val=&quot;007C3D53&quot;/&gt;&lt;wsp:rsid wsp:val=&quot;007C4C43&quot;/&gt;&lt;wsp:rsid wsp:val=&quot;007C5CA2&quot;/&gt;&lt;wsp:rsid wsp:val=&quot;007C692C&quot;/&gt;&lt;wsp:rsid wsp:val=&quot;007C6A7E&quot;/&gt;&lt;wsp:rsid wsp:val=&quot;007D3F72&quot;/&gt;&lt;wsp:rsid wsp:val=&quot;007D4498&quot;/&gt;&lt;wsp:rsid wsp:val=&quot;007D663C&quot;/&gt;&lt;wsp:rsid wsp:val=&quot;007D7B1A&quot;/&gt;&lt;wsp:rsid wsp:val=&quot;007E3308&quot;/&gt;&lt;wsp:rsid wsp:val=&quot;007E444C&quot;/&gt;&lt;wsp:rsid wsp:val=&quot;007E4BD2&quot;/&gt;&lt;wsp:rsid wsp:val=&quot;007E537C&quot;/&gt;&lt;wsp:rsid wsp:val=&quot;007F15B5&quot;/&gt;&lt;wsp:rsid wsp:val=&quot;007F3A3A&quot;/&gt;&lt;wsp:rsid wsp:val=&quot;007F67CA&quot;/&gt;&lt;wsp:rsid wsp:val=&quot;00800560&quot;/&gt;&lt;wsp:rsid wsp:val=&quot;00801393&quot;/&gt;&lt;wsp:rsid wsp:val=&quot;00802F88&quot;/&gt;&lt;wsp:rsid wsp:val=&quot;008033F7&quot;/&gt;&lt;wsp:rsid wsp:val=&quot;00803F6B&quot;/&gt;&lt;wsp:rsid wsp:val=&quot;00804ED7&quot;/&gt;&lt;wsp:rsid wsp:val=&quot;008057DB&quot;/&gt;&lt;wsp:rsid wsp:val=&quot;00806CC4&quot;/&gt;&lt;wsp:rsid wsp:val=&quot;00806EF4&quot;/&gt;&lt;wsp:rsid wsp:val=&quot;00807070&quot;/&gt;&lt;wsp:rsid wsp:val=&quot;00811BD2&quot;/&gt;&lt;wsp:rsid wsp:val=&quot;0081293E&quot;/&gt;&lt;wsp:rsid wsp:val=&quot;00812DB1&quot;/&gt;&lt;wsp:rsid wsp:val=&quot;00814952&quot;/&gt;&lt;wsp:rsid wsp:val=&quot;00815465&quot;/&gt;&lt;wsp:rsid wsp:val=&quot;00817E9A&quot;/&gt;&lt;wsp:rsid wsp:val=&quot;008222F9&quot;/&gt;&lt;wsp:rsid wsp:val=&quot;008278BB&quot;/&gt;&lt;wsp:rsid wsp:val=&quot;008306BD&quot;/&gt;&lt;wsp:rsid wsp:val=&quot;00830FAB&quot;/&gt;&lt;wsp:rsid wsp:val=&quot;00831A80&quot;/&gt;&lt;wsp:rsid wsp:val=&quot;00833743&quot;/&gt;&lt;wsp:rsid wsp:val=&quot;008340A4&quot;/&gt;&lt;wsp:rsid wsp:val=&quot;008363AC&quot;/&gt;&lt;wsp:rsid wsp:val=&quot;008373D4&quot;/&gt;&lt;wsp:rsid wsp:val=&quot;00840928&quot;/&gt;&lt;wsp:rsid wsp:val=&quot;008428EA&quot;/&gt;&lt;wsp:rsid wsp:val=&quot;00845575&quot;/&gt;&lt;wsp:rsid wsp:val=&quot;00846D1E&quot;/&gt;&lt;wsp:rsid wsp:val=&quot;0084717C&quot;/&gt;&lt;wsp:rsid wsp:val=&quot;00850A2E&quot;/&gt;&lt;wsp:rsid wsp:val=&quot;00854FEB&quot;/&gt;&lt;wsp:rsid wsp:val=&quot;00855D0E&quot;/&gt;&lt;wsp:rsid wsp:val=&quot;00857E18&quot;/&gt;&lt;wsp:rsid wsp:val=&quot;00860362&quot;/&gt;&lt;wsp:rsid wsp:val=&quot;00865DDE&quot;/&gt;&lt;wsp:rsid wsp:val=&quot;0087135F&quot;/&gt;&lt;wsp:rsid wsp:val=&quot;00872976&quot;/&gt;&lt;wsp:rsid wsp:val=&quot;00872D94&quot;/&gt;&lt;wsp:rsid wsp:val=&quot;00873D60&quot;/&gt;&lt;wsp:rsid wsp:val=&quot;00874DAC&quot;/&gt;&lt;wsp:rsid wsp:val=&quot;00876E57&quot;/&gt;&lt;wsp:rsid wsp:val=&quot;008777B8&quot;/&gt;&lt;wsp:rsid wsp:val=&quot;00880364&quot;/&gt;&lt;wsp:rsid wsp:val=&quot;00882405&quot;/&gt;&lt;wsp:rsid wsp:val=&quot;00882801&quot;/&gt;&lt;wsp:rsid wsp:val=&quot;00883F3F&quot;/&gt;&lt;wsp:rsid wsp:val=&quot;00885274&quot;/&gt;&lt;wsp:rsid wsp:val=&quot;008857B4&quot;/&gt;&lt;wsp:rsid wsp:val=&quot;00890963&quot;/&gt;&lt;wsp:rsid wsp:val=&quot;00891592&quot;/&gt;&lt;wsp:rsid wsp:val=&quot;00891E9E&quot;/&gt;&lt;wsp:rsid wsp:val=&quot;008925A5&quot;/&gt;&lt;wsp:rsid wsp:val=&quot;00893911&quot;/&gt;&lt;wsp:rsid wsp:val=&quot;008957E1&quot;/&gt;&lt;wsp:rsid wsp:val=&quot;00896BFC&quot;/&gt;&lt;wsp:rsid wsp:val=&quot;008A2B1C&quot;/&gt;&lt;wsp:rsid wsp:val=&quot;008A2F68&quot;/&gt;&lt;wsp:rsid wsp:val=&quot;008A364C&quot;/&gt;&lt;wsp:rsid wsp:val=&quot;008A72FC&quot;/&gt;&lt;wsp:rsid wsp:val=&quot;008B3F51&quot;/&gt;&lt;wsp:rsid wsp:val=&quot;008B4FA6&quot;/&gt;&lt;wsp:rsid wsp:val=&quot;008B5282&quot;/&gt;&lt;wsp:rsid wsp:val=&quot;008B7C17&quot;/&gt;&lt;wsp:rsid wsp:val=&quot;008C0510&quot;/&gt;&lt;wsp:rsid wsp:val=&quot;008C10C6&quot;/&gt;&lt;wsp:rsid wsp:val=&quot;008C132A&quot;/&gt;&lt;wsp:rsid wsp:val=&quot;008C2D01&quot;/&gt;&lt;wsp:rsid wsp:val=&quot;008C40E6&quot;/&gt;&lt;wsp:rsid wsp:val=&quot;008C5AB0&quot;/&gt;&lt;wsp:rsid wsp:val=&quot;008C65EB&quot;/&gt;&lt;wsp:rsid wsp:val=&quot;008C734E&quot;/&gt;&lt;wsp:rsid wsp:val=&quot;008D0F7A&quot;/&gt;&lt;wsp:rsid wsp:val=&quot;008D2A1E&quot;/&gt;&lt;wsp:rsid wsp:val=&quot;008D395C&quot;/&gt;&lt;wsp:rsid wsp:val=&quot;008D4B00&quot;/&gt;&lt;wsp:rsid wsp:val=&quot;008D68E4&quot;/&gt;&lt;wsp:rsid wsp:val=&quot;008D7C83&quot;/&gt;&lt;wsp:rsid wsp:val=&quot;008D7FFD&quot;/&gt;&lt;wsp:rsid wsp:val=&quot;008E0506&quot;/&gt;&lt;wsp:rsid wsp:val=&quot;008E0CFF&quot;/&gt;&lt;wsp:rsid wsp:val=&quot;008E339D&quot;/&gt;&lt;wsp:rsid wsp:val=&quot;008E5410&quot;/&gt;&lt;wsp:rsid wsp:val=&quot;008E5D6B&quot;/&gt;&lt;wsp:rsid wsp:val=&quot;008E755F&quot;/&gt;&lt;wsp:rsid wsp:val=&quot;008E76F0&quot;/&gt;&lt;wsp:rsid wsp:val=&quot;008F09CF&quot;/&gt;&lt;wsp:rsid wsp:val=&quot;008F15FE&quot;/&gt;&lt;wsp:rsid wsp:val=&quot;008F17BF&quot;/&gt;&lt;wsp:rsid wsp:val=&quot;008F2D29&quot;/&gt;&lt;wsp:rsid wsp:val=&quot;008F2FCA&quot;/&gt;&lt;wsp:rsid wsp:val=&quot;008F4F67&quot;/&gt;&lt;wsp:rsid wsp:val=&quot;008F5187&quot;/&gt;&lt;wsp:rsid wsp:val=&quot;008F60D8&quot;/&gt;&lt;wsp:rsid wsp:val=&quot;00901A11&quot;/&gt;&lt;wsp:rsid wsp:val=&quot;00902727&quot;/&gt;&lt;wsp:rsid wsp:val=&quot;0090312B&quot;/&gt;&lt;wsp:rsid wsp:val=&quot;009051DF&quot;/&gt;&lt;wsp:rsid wsp:val=&quot;00906C8D&quot;/&gt;&lt;wsp:rsid wsp:val=&quot;00911984&quot;/&gt;&lt;wsp:rsid wsp:val=&quot;00913887&quot;/&gt;&lt;wsp:rsid wsp:val=&quot;009157F8&quot;/&gt;&lt;wsp:rsid wsp:val=&quot;0091736D&quot;/&gt;&lt;wsp:rsid wsp:val=&quot;00921F04&quot;/&gt;&lt;wsp:rsid wsp:val=&quot;009224FE&quot;/&gt;&lt;wsp:rsid wsp:val=&quot;0092549B&quot;/&gt;&lt;wsp:rsid wsp:val=&quot;00927130&quot;/&gt;&lt;wsp:rsid wsp:val=&quot;0093037A&quot;/&gt;&lt;wsp:rsid wsp:val=&quot;009303A8&quot;/&gt;&lt;wsp:rsid wsp:val=&quot;009314D0&quot;/&gt;&lt;wsp:rsid wsp:val=&quot;00931531&quot;/&gt;&lt;wsp:rsid wsp:val=&quot;00932006&quot;/&gt;&lt;wsp:rsid wsp:val=&quot;009327E9&quot;/&gt;&lt;wsp:rsid wsp:val=&quot;00933239&quot;/&gt;&lt;wsp:rsid wsp:val=&quot;00933811&quot;/&gt;&lt;wsp:rsid wsp:val=&quot;00934570&quot;/&gt;&lt;wsp:rsid wsp:val=&quot;00934AE9&quot;/&gt;&lt;wsp:rsid wsp:val=&quot;0093544E&quot;/&gt;&lt;wsp:rsid wsp:val=&quot;00937DA6&quot;/&gt;&lt;wsp:rsid wsp:val=&quot;0094154D&quot;/&gt;&lt;wsp:rsid wsp:val=&quot;009428E3&quot;/&gt;&lt;wsp:rsid wsp:val=&quot;00942E8D&quot;/&gt;&lt;wsp:rsid wsp:val=&quot;0094404E&quot;/&gt;&lt;wsp:rsid wsp:val=&quot;0094417B&quot;/&gt;&lt;wsp:rsid wsp:val=&quot;00945747&quot;/&gt;&lt;wsp:rsid wsp:val=&quot;00947C10&quot;/&gt;&lt;wsp:rsid wsp:val=&quot;0095098B&quot;/&gt;&lt;wsp:rsid wsp:val=&quot;00950F89&quot;/&gt;&lt;wsp:rsid wsp:val=&quot;0095155F&quot;/&gt;&lt;wsp:rsid wsp:val=&quot;00952097&quot;/&gt;&lt;wsp:rsid wsp:val=&quot;009522B5&quot;/&gt;&lt;wsp:rsid wsp:val=&quot;00953755&quot;/&gt;&lt;wsp:rsid wsp:val=&quot;00954429&quot;/&gt;&lt;wsp:rsid wsp:val=&quot;009549AD&quot;/&gt;&lt;wsp:rsid wsp:val=&quot;009563CE&quot;/&gt;&lt;wsp:rsid wsp:val=&quot;00956CC7&quot;/&gt;&lt;wsp:rsid wsp:val=&quot;00956D5C&quot;/&gt;&lt;wsp:rsid wsp:val=&quot;009601EA&quot;/&gt;&lt;wsp:rsid wsp:val=&quot;00965E0F&quot;/&gt;&lt;wsp:rsid wsp:val=&quot;009704C0&quot;/&gt;&lt;wsp:rsid wsp:val=&quot;00970DF0&quot;/&gt;&lt;wsp:rsid wsp:val=&quot;009716E3&quot;/&gt;&lt;wsp:rsid wsp:val=&quot;00976328&quot;/&gt;&lt;wsp:rsid wsp:val=&quot;0097680D&quot;/&gt;&lt;wsp:rsid wsp:val=&quot;00982438&quot;/&gt;&lt;wsp:rsid wsp:val=&quot;00982DA7&quot;/&gt;&lt;wsp:rsid wsp:val=&quot;0098404C&quot;/&gt;&lt;wsp:rsid wsp:val=&quot;00985283&quot;/&gt;&lt;wsp:rsid wsp:val=&quot;009878FB&quot;/&gt;&lt;wsp:rsid wsp:val=&quot;00990CE9&quot;/&gt;&lt;wsp:rsid wsp:val=&quot;00990D1C&quot;/&gt;&lt;wsp:rsid wsp:val=&quot;00991E22&quot;/&gt;&lt;wsp:rsid wsp:val=&quot;00995992&quot;/&gt;&lt;wsp:rsid wsp:val=&quot;00996B10&quot;/&gt;&lt;wsp:rsid wsp:val=&quot;00997154&quot;/&gt;&lt;wsp:rsid wsp:val=&quot;009A03E5&quot;/&gt;&lt;wsp:rsid wsp:val=&quot;009A0F3B&quot;/&gt;&lt;wsp:rsid wsp:val=&quot;009A155B&quot;/&gt;&lt;wsp:rsid wsp:val=&quot;009A1BB4&quot;/&gt;&lt;wsp:rsid wsp:val=&quot;009A2628&quot;/&gt;&lt;wsp:rsid wsp:val=&quot;009A3200&quot;/&gt;&lt;wsp:rsid wsp:val=&quot;009A38A6&quot;/&gt;&lt;wsp:rsid wsp:val=&quot;009B0897&quot;/&gt;&lt;wsp:rsid wsp:val=&quot;009B4733&quot;/&gt;&lt;wsp:rsid wsp:val=&quot;009B6069&quot;/&gt;&lt;wsp:rsid wsp:val=&quot;009B7BD9&quot;/&gt;&lt;wsp:rsid wsp:val=&quot;009C7DD5&quot;/&gt;&lt;wsp:rsid wsp:val=&quot;009C7DE5&quot;/&gt;&lt;wsp:rsid wsp:val=&quot;009C7E04&quot;/&gt;&lt;wsp:rsid wsp:val=&quot;009D494C&quot;/&gt;&lt;wsp:rsid wsp:val=&quot;009D6E5B&quot;/&gt;&lt;wsp:rsid wsp:val=&quot;009E0A50&quot;/&gt;&lt;wsp:rsid wsp:val=&quot;009E227D&quot;/&gt;&lt;wsp:rsid wsp:val=&quot;009E5019&quot;/&gt;&lt;wsp:rsid wsp:val=&quot;009E59A0&quot;/&gt;&lt;wsp:rsid wsp:val=&quot;009E61EC&quot;/&gt;&lt;wsp:rsid wsp:val=&quot;009F3221&quot;/&gt;&lt;wsp:rsid wsp:val=&quot;009F4FD9&quot;/&gt;&lt;wsp:rsid wsp:val=&quot;009F7854&quot;/&gt;&lt;wsp:rsid wsp:val=&quot;00A0108F&quot;/&gt;&lt;wsp:rsid wsp:val=&quot;00A01AB0&quot;/&gt;&lt;wsp:rsid wsp:val=&quot;00A03297&quot;/&gt;&lt;wsp:rsid wsp:val=&quot;00A04F1B&quot;/&gt;&lt;wsp:rsid wsp:val=&quot;00A0501B&quot;/&gt;&lt;wsp:rsid wsp:val=&quot;00A055BE&quot;/&gt;&lt;wsp:rsid wsp:val=&quot;00A076FB&quot;/&gt;&lt;wsp:rsid wsp:val=&quot;00A11C2C&quot;/&gt;&lt;wsp:rsid wsp:val=&quot;00A14947&quot;/&gt;&lt;wsp:rsid wsp:val=&quot;00A21F34&quot;/&gt;&lt;wsp:rsid wsp:val=&quot;00A22FE9&quot;/&gt;&lt;wsp:rsid wsp:val=&quot;00A2611E&quot;/&gt;&lt;wsp:rsid wsp:val=&quot;00A30E4C&quot;/&gt;&lt;wsp:rsid wsp:val=&quot;00A30FD1&quot;/&gt;&lt;wsp:rsid wsp:val=&quot;00A32A83&quot;/&gt;&lt;wsp:rsid wsp:val=&quot;00A33528&quot;/&gt;&lt;wsp:rsid wsp:val=&quot;00A3566B&quot;/&gt;&lt;wsp:rsid wsp:val=&quot;00A368B2&quot;/&gt;&lt;wsp:rsid wsp:val=&quot;00A368DB&quot;/&gt;&lt;wsp:rsid wsp:val=&quot;00A401A2&quot;/&gt;&lt;wsp:rsid wsp:val=&quot;00A423AA&quot;/&gt;&lt;wsp:rsid wsp:val=&quot;00A43B72&quot;/&gt;&lt;wsp:rsid wsp:val=&quot;00A444C7&quot;/&gt;&lt;wsp:rsid wsp:val=&quot;00A46B9C&quot;/&gt;&lt;wsp:rsid wsp:val=&quot;00A5141F&quot;/&gt;&lt;wsp:rsid wsp:val=&quot;00A5271A&quot;/&gt;&lt;wsp:rsid wsp:val=&quot;00A53EC6&quot;/&gt;&lt;wsp:rsid wsp:val=&quot;00A54AE3&quot;/&gt;&lt;wsp:rsid wsp:val=&quot;00A55C0F&quot;/&gt;&lt;wsp:rsid wsp:val=&quot;00A60019&quot;/&gt;&lt;wsp:rsid wsp:val=&quot;00A62FB3&quot;/&gt;&lt;wsp:rsid wsp:val=&quot;00A65711&quot;/&gt;&lt;wsp:rsid wsp:val=&quot;00A70A76&quot;/&gt;&lt;wsp:rsid wsp:val=&quot;00A712E3&quot;/&gt;&lt;wsp:rsid wsp:val=&quot;00A715C5&quot;/&gt;&lt;wsp:rsid wsp:val=&quot;00A71A96&quot;/&gt;&lt;wsp:rsid wsp:val=&quot;00A71E39&quot;/&gt;&lt;wsp:rsid wsp:val=&quot;00A7484C&quot;/&gt;&lt;wsp:rsid wsp:val=&quot;00A75DC2&quot;/&gt;&lt;wsp:rsid wsp:val=&quot;00A76682&quot;/&gt;&lt;wsp:rsid wsp:val=&quot;00A80B00&quot;/&gt;&lt;wsp:rsid wsp:val=&quot;00A8122E&quot;/&gt;&lt;wsp:rsid wsp:val=&quot;00A84A02&quot;/&gt;&lt;wsp:rsid wsp:val=&quot;00A8713F&quot;/&gt;&lt;wsp:rsid wsp:val=&quot;00A90BA1&quot;/&gt;&lt;wsp:rsid wsp:val=&quot;00A91DB5&quot;/&gt;&lt;wsp:rsid wsp:val=&quot;00A931FD&quot;/&gt;&lt;wsp:rsid wsp:val=&quot;00A93A09&quot;/&gt;&lt;wsp:rsid wsp:val=&quot;00A97823&quot;/&gt;&lt;wsp:rsid wsp:val=&quot;00A97A9A&quot;/&gt;&lt;wsp:rsid wsp:val=&quot;00AA0671&quot;/&gt;&lt;wsp:rsid wsp:val=&quot;00AA1EAC&quot;/&gt;&lt;wsp:rsid wsp:val=&quot;00AA2531&quot;/&gt;&lt;wsp:rsid wsp:val=&quot;00AA46B5&quot;/&gt;&lt;wsp:rsid wsp:val=&quot;00AB1295&quot;/&gt;&lt;wsp:rsid wsp:val=&quot;00AB1B49&quot;/&gt;&lt;wsp:rsid wsp:val=&quot;00AB1E09&quot;/&gt;&lt;wsp:rsid wsp:val=&quot;00AB4C00&quot;/&gt;&lt;wsp:rsid wsp:val=&quot;00AB4E07&quot;/&gt;&lt;wsp:rsid wsp:val=&quot;00AB5330&quot;/&gt;&lt;wsp:rsid wsp:val=&quot;00AB7747&quot;/&gt;&lt;wsp:rsid wsp:val=&quot;00AC092C&quot;/&gt;&lt;wsp:rsid wsp:val=&quot;00AC14CE&quot;/&gt;&lt;wsp:rsid wsp:val=&quot;00AC2A56&quot;/&gt;&lt;wsp:rsid wsp:val=&quot;00AD055E&quot;/&gt;&lt;wsp:rsid wsp:val=&quot;00AD21AB&quot;/&gt;&lt;wsp:rsid wsp:val=&quot;00AD2330&quot;/&gt;&lt;wsp:rsid wsp:val=&quot;00AD3310&quot;/&gt;&lt;wsp:rsid wsp:val=&quot;00AD3F0B&quot;/&gt;&lt;wsp:rsid wsp:val=&quot;00AD47A7&quot;/&gt;&lt;wsp:rsid wsp:val=&quot;00AD4B08&quot;/&gt;&lt;wsp:rsid wsp:val=&quot;00AD5B60&quot;/&gt;&lt;wsp:rsid wsp:val=&quot;00AE0747&quot;/&gt;&lt;wsp:rsid wsp:val=&quot;00AE1003&quot;/&gt;&lt;wsp:rsid wsp:val=&quot;00AE14AA&quot;/&gt;&lt;wsp:rsid wsp:val=&quot;00AE14ED&quot;/&gt;&lt;wsp:rsid wsp:val=&quot;00AE3582&quot;/&gt;&lt;wsp:rsid wsp:val=&quot;00AE52F3&quot;/&gt;&lt;wsp:rsid wsp:val=&quot;00AE6445&quot;/&gt;&lt;wsp:rsid wsp:val=&quot;00AE6E13&quot;/&gt;&lt;wsp:rsid wsp:val=&quot;00AE767B&quot;/&gt;&lt;wsp:rsid wsp:val=&quot;00AE788B&quot;/&gt;&lt;wsp:rsid wsp:val=&quot;00AE7A92&quot;/&gt;&lt;wsp:rsid wsp:val=&quot;00AF0A2B&quot;/&gt;&lt;wsp:rsid wsp:val=&quot;00AF0CBF&quot;/&gt;&lt;wsp:rsid wsp:val=&quot;00AF257F&quot;/&gt;&lt;wsp:rsid wsp:val=&quot;00AF33CF&quot;/&gt;&lt;wsp:rsid wsp:val=&quot;00AF4526&quot;/&gt;&lt;wsp:rsid wsp:val=&quot;00AF4D50&quot;/&gt;&lt;wsp:rsid wsp:val=&quot;00AF50FE&quot;/&gt;&lt;wsp:rsid wsp:val=&quot;00AF5279&quot;/&gt;&lt;wsp:rsid wsp:val=&quot;00AF6179&quot;/&gt;&lt;wsp:rsid wsp:val=&quot;00B01730&quot;/&gt;&lt;wsp:rsid wsp:val=&quot;00B0236D&quot;/&gt;&lt;wsp:rsid wsp:val=&quot;00B05579&quot;/&gt;&lt;wsp:rsid wsp:val=&quot;00B0565A&quot;/&gt;&lt;wsp:rsid wsp:val=&quot;00B07F4E&quot;/&gt;&lt;wsp:rsid wsp:val=&quot;00B110D2&quot;/&gt;&lt;wsp:rsid wsp:val=&quot;00B11883&quot;/&gt;&lt;wsp:rsid wsp:val=&quot;00B1295A&quot;/&gt;&lt;wsp:rsid wsp:val=&quot;00B13B21&quot;/&gt;&lt;wsp:rsid wsp:val=&quot;00B1434C&quot;/&gt;&lt;wsp:rsid wsp:val=&quot;00B148C6&quot;/&gt;&lt;wsp:rsid wsp:val=&quot;00B17CC3&quot;/&gt;&lt;wsp:rsid wsp:val=&quot;00B20279&quot;/&gt;&lt;wsp:rsid wsp:val=&quot;00B20A45&quot;/&gt;&lt;wsp:rsid wsp:val=&quot;00B21FBE&quot;/&gt;&lt;wsp:rsid wsp:val=&quot;00B22C5C&quot;/&gt;&lt;wsp:rsid wsp:val=&quot;00B24F30&quot;/&gt;&lt;wsp:rsid wsp:val=&quot;00B251D4&quot;/&gt;&lt;wsp:rsid wsp:val=&quot;00B313E5&quot;/&gt;&lt;wsp:rsid wsp:val=&quot;00B31ABF&quot;/&gt;&lt;wsp:rsid wsp:val=&quot;00B33BE3&quot;/&gt;&lt;wsp:rsid wsp:val=&quot;00B446FE&quot;/&gt;&lt;wsp:rsid wsp:val=&quot;00B50D96&quot;/&gt;&lt;wsp:rsid wsp:val=&quot;00B53B5D&quot;/&gt;&lt;wsp:rsid wsp:val=&quot;00B53E42&quot;/&gt;&lt;wsp:rsid wsp:val=&quot;00B56E0D&quot;/&gt;&lt;wsp:rsid wsp:val=&quot;00B5707F&quot;/&gt;&lt;wsp:rsid wsp:val=&quot;00B6055E&quot;/&gt;&lt;wsp:rsid wsp:val=&quot;00B6181A&quot;/&gt;&lt;wsp:rsid wsp:val=&quot;00B62D87&quot;/&gt;&lt;wsp:rsid wsp:val=&quot;00B6317D&quot;/&gt;&lt;wsp:rsid wsp:val=&quot;00B644D1&quot;/&gt;&lt;wsp:rsid wsp:val=&quot;00B7544F&quot;/&gt;&lt;wsp:rsid wsp:val=&quot;00B7723F&quot;/&gt;&lt;wsp:rsid wsp:val=&quot;00B80534&quot;/&gt;&lt;wsp:rsid wsp:val=&quot;00B833CE&quot;/&gt;&lt;wsp:rsid wsp:val=&quot;00B8433C&quot;/&gt;&lt;wsp:rsid wsp:val=&quot;00B8457B&quot;/&gt;&lt;wsp:rsid wsp:val=&quot;00B87491&quot;/&gt;&lt;wsp:rsid wsp:val=&quot;00B939D1&quot;/&gt;&lt;wsp:rsid wsp:val=&quot;00B94701&quot;/&gt;&lt;wsp:rsid wsp:val=&quot;00BA29E9&quot;/&gt;&lt;wsp:rsid wsp:val=&quot;00BA3DB3&quot;/&gt;&lt;wsp:rsid wsp:val=&quot;00BA4F6F&quot;/&gt;&lt;wsp:rsid wsp:val=&quot;00BA5B7A&quot;/&gt;&lt;wsp:rsid wsp:val=&quot;00BA6295&quot;/&gt;&lt;wsp:rsid wsp:val=&quot;00BA7142&quot;/&gt;&lt;wsp:rsid wsp:val=&quot;00BB237C&quot;/&gt;&lt;wsp:rsid wsp:val=&quot;00BB41A3&quot;/&gt;&lt;wsp:rsid wsp:val=&quot;00BB428A&quot;/&gt;&lt;wsp:rsid wsp:val=&quot;00BB4758&quot;/&gt;&lt;wsp:rsid wsp:val=&quot;00BB7215&quot;/&gt;&lt;wsp:rsid wsp:val=&quot;00BC0D65&quot;/&gt;&lt;wsp:rsid wsp:val=&quot;00BC0E8F&quot;/&gt;&lt;wsp:rsid wsp:val=&quot;00BC107C&quot;/&gt;&lt;wsp:rsid wsp:val=&quot;00BC25FB&quot;/&gt;&lt;wsp:rsid wsp:val=&quot;00BC32DC&quot;/&gt;&lt;wsp:rsid wsp:val=&quot;00BC35B6&quot;/&gt;&lt;wsp:rsid wsp:val=&quot;00BC4995&quot;/&gt;&lt;wsp:rsid wsp:val=&quot;00BC5515&quot;/&gt;&lt;wsp:rsid wsp:val=&quot;00BC59BF&quot;/&gt;&lt;wsp:rsid wsp:val=&quot;00BC709B&quot;/&gt;&lt;wsp:rsid wsp:val=&quot;00BC7FB9&quot;/&gt;&lt;wsp:rsid wsp:val=&quot;00BD1019&quot;/&gt;&lt;wsp:rsid wsp:val=&quot;00BD1B51&quot;/&gt;&lt;wsp:rsid wsp:val=&quot;00BD290C&quot;/&gt;&lt;wsp:rsid wsp:val=&quot;00BD4596&quot;/&gt;&lt;wsp:rsid wsp:val=&quot;00BD4E3D&quot;/&gt;&lt;wsp:rsid wsp:val=&quot;00BD6281&quot;/&gt;&lt;wsp:rsid wsp:val=&quot;00BD6DAA&quot;/&gt;&lt;wsp:rsid wsp:val=&quot;00BE00C3&quot;/&gt;&lt;wsp:rsid wsp:val=&quot;00BE0C87&quot;/&gt;&lt;wsp:rsid wsp:val=&quot;00BE1405&quot;/&gt;&lt;wsp:rsid wsp:val=&quot;00BE1D29&quot;/&gt;&lt;wsp:rsid wsp:val=&quot;00BE312D&quot;/&gt;&lt;wsp:rsid wsp:val=&quot;00BE5C60&quot;/&gt;&lt;wsp:rsid wsp:val=&quot;00BF14CA&quot;/&gt;&lt;wsp:rsid wsp:val=&quot;00BF18C2&quot;/&gt;&lt;wsp:rsid wsp:val=&quot;00BF1C20&quot;/&gt;&lt;wsp:rsid wsp:val=&quot;00BF219D&quot;/&gt;&lt;wsp:rsid wsp:val=&quot;00BF25CF&quot;/&gt;&lt;wsp:rsid wsp:val=&quot;00BF4D3E&quot;/&gt;&lt;wsp:rsid wsp:val=&quot;00BF54E9&quot;/&gt;&lt;wsp:rsid wsp:val=&quot;00BF5514&quot;/&gt;&lt;wsp:rsid wsp:val=&quot;00C00607&quot;/&gt;&lt;wsp:rsid wsp:val=&quot;00C04BD8&quot;/&gt;&lt;wsp:rsid wsp:val=&quot;00C10578&quot;/&gt;&lt;wsp:rsid wsp:val=&quot;00C11F04&quot;/&gt;&lt;wsp:rsid wsp:val=&quot;00C1279B&quot;/&gt;&lt;wsp:rsid wsp:val=&quot;00C13234&quot;/&gt;&lt;wsp:rsid wsp:val=&quot;00C135BC&quot;/&gt;&lt;wsp:rsid wsp:val=&quot;00C15022&quot;/&gt;&lt;wsp:rsid wsp:val=&quot;00C159D5&quot;/&gt;&lt;wsp:rsid wsp:val=&quot;00C15C95&quot;/&gt;&lt;wsp:rsid wsp:val=&quot;00C16FE4&quot;/&gt;&lt;wsp:rsid wsp:val=&quot;00C17849&quot;/&gt;&lt;wsp:rsid wsp:val=&quot;00C21830&quot;/&gt;&lt;wsp:rsid wsp:val=&quot;00C24E58&quot;/&gt;&lt;wsp:rsid wsp:val=&quot;00C2596A&quot;/&gt;&lt;wsp:rsid wsp:val=&quot;00C26C42&quot;/&gt;&lt;wsp:rsid wsp:val=&quot;00C27219&quot;/&gt;&lt;wsp:rsid wsp:val=&quot;00C27537&quot;/&gt;&lt;wsp:rsid wsp:val=&quot;00C27C0F&quot;/&gt;&lt;wsp:rsid wsp:val=&quot;00C30971&quot;/&gt;&lt;wsp:rsid wsp:val=&quot;00C31FE1&quot;/&gt;&lt;wsp:rsid wsp:val=&quot;00C328FE&quot;/&gt;&lt;wsp:rsid wsp:val=&quot;00C33507&quot;/&gt;&lt;wsp:rsid wsp:val=&quot;00C350FF&quot;/&gt;&lt;wsp:rsid wsp:val=&quot;00C35509&quot;/&gt;&lt;wsp:rsid wsp:val=&quot;00C357DD&quot;/&gt;&lt;wsp:rsid wsp:val=&quot;00C3731B&quot;/&gt;&lt;wsp:rsid wsp:val=&quot;00C4409D&quot;/&gt;&lt;wsp:rsid wsp:val=&quot;00C44E72&quot;/&gt;&lt;wsp:rsid wsp:val=&quot;00C45A06&quot;/&gt;&lt;wsp:rsid wsp:val=&quot;00C47E5B&quot;/&gt;&lt;wsp:rsid wsp:val=&quot;00C50AD9&quot;/&gt;&lt;wsp:rsid wsp:val=&quot;00C52D19&quot;/&gt;&lt;wsp:rsid wsp:val=&quot;00C539FE&quot;/&gt;&lt;wsp:rsid wsp:val=&quot;00C60BA1&quot;/&gt;&lt;wsp:rsid wsp:val=&quot;00C6158A&quot;/&gt;&lt;wsp:rsid wsp:val=&quot;00C61E4B&quot;/&gt;&lt;wsp:rsid wsp:val=&quot;00C62544&quot;/&gt;&lt;wsp:rsid wsp:val=&quot;00C62C83&quot;/&gt;&lt;wsp:rsid wsp:val=&quot;00C64BFF&quot;/&gt;&lt;wsp:rsid wsp:val=&quot;00C659CA&quot;/&gt;&lt;wsp:rsid wsp:val=&quot;00C66ED5&quot;/&gt;&lt;wsp:rsid wsp:val=&quot;00C704E9&quot;/&gt;&lt;wsp:rsid wsp:val=&quot;00C70E11&quot;/&gt;&lt;wsp:rsid wsp:val=&quot;00C71987&quot;/&gt;&lt;wsp:rsid wsp:val=&quot;00C74E82&quot;/&gt;&lt;wsp:rsid wsp:val=&quot;00C75571&quot;/&gt;&lt;wsp:rsid wsp:val=&quot;00C755F9&quot;/&gt;&lt;wsp:rsid wsp:val=&quot;00C763C9&quot;/&gt;&lt;wsp:rsid wsp:val=&quot;00C80057&quot;/&gt;&lt;wsp:rsid wsp:val=&quot;00C815FF&quot;/&gt;&lt;wsp:rsid wsp:val=&quot;00C82232&quot;/&gt;&lt;wsp:rsid wsp:val=&quot;00C82913&quot;/&gt;&lt;wsp:rsid wsp:val=&quot;00C8478E&quot;/&gt;&lt;wsp:rsid wsp:val=&quot;00C8575A&quot;/&gt;&lt;wsp:rsid wsp:val=&quot;00C85FE8&quot;/&gt;&lt;wsp:rsid wsp:val=&quot;00C879F6&quot;/&gt;&lt;wsp:rsid wsp:val=&quot;00C90E62&quot;/&gt;&lt;wsp:rsid wsp:val=&quot;00C91707&quot;/&gt;&lt;wsp:rsid wsp:val=&quot;00C91DC5&quot;/&gt;&lt;wsp:rsid wsp:val=&quot;00C93252&quot;/&gt;&lt;wsp:rsid wsp:val=&quot;00C93BBC&quot;/&gt;&lt;wsp:rsid wsp:val=&quot;00C95759&quot;/&gt;&lt;wsp:rsid wsp:val=&quot;00C972B1&quot;/&gt;&lt;wsp:rsid wsp:val=&quot;00C9798A&quot;/&gt;&lt;wsp:rsid wsp:val=&quot;00CA0155&quot;/&gt;&lt;wsp:rsid wsp:val=&quot;00CA2CCE&quot;/&gt;&lt;wsp:rsid wsp:val=&quot;00CA36C8&quot;/&gt;&lt;wsp:rsid wsp:val=&quot;00CA43FD&quot;/&gt;&lt;wsp:rsid wsp:val=&quot;00CA7C41&quot;/&gt;&lt;wsp:rsid wsp:val=&quot;00CA7EF8&quot;/&gt;&lt;wsp:rsid wsp:val=&quot;00CB0070&quot;/&gt;&lt;wsp:rsid wsp:val=&quot;00CB2C9F&quot;/&gt;&lt;wsp:rsid wsp:val=&quot;00CB3298&quot;/&gt;&lt;wsp:rsid wsp:val=&quot;00CB42BF&quot;/&gt;&lt;wsp:rsid wsp:val=&quot;00CB4C98&quot;/&gt;&lt;wsp:rsid wsp:val=&quot;00CC1BC8&quot;/&gt;&lt;wsp:rsid wsp:val=&quot;00CC21E1&quot;/&gt;&lt;wsp:rsid wsp:val=&quot;00CC2DC8&quot;/&gt;&lt;wsp:rsid wsp:val=&quot;00CC3461&quot;/&gt;&lt;wsp:rsid wsp:val=&quot;00CC3CFA&quot;/&gt;&lt;wsp:rsid wsp:val=&quot;00CC4274&quot;/&gt;&lt;wsp:rsid wsp:val=&quot;00CC489B&quot;/&gt;&lt;wsp:rsid wsp:val=&quot;00CC63A3&quot;/&gt;&lt;wsp:rsid wsp:val=&quot;00CD16F0&quot;/&gt;&lt;wsp:rsid wsp:val=&quot;00CD2BCD&quot;/&gt;&lt;wsp:rsid wsp:val=&quot;00CD38EC&quot;/&gt;&lt;wsp:rsid wsp:val=&quot;00CD3A4C&quot;/&gt;&lt;wsp:rsid wsp:val=&quot;00CD596E&quot;/&gt;&lt;wsp:rsid wsp:val=&quot;00CD627D&quot;/&gt;&lt;wsp:rsid wsp:val=&quot;00CD6A7A&quot;/&gt;&lt;wsp:rsid wsp:val=&quot;00CD726E&quot;/&gt;&lt;wsp:rsid wsp:val=&quot;00CD7EAF&quot;/&gt;&lt;wsp:rsid wsp:val=&quot;00CE0BCC&quot;/&gt;&lt;wsp:rsid wsp:val=&quot;00CE10E9&quot;/&gt;&lt;wsp:rsid wsp:val=&quot;00CE200D&quot;/&gt;&lt;wsp:rsid wsp:val=&quot;00CE2408&quot;/&gt;&lt;wsp:rsid wsp:val=&quot;00CE2910&quot;/&gt;&lt;wsp:rsid wsp:val=&quot;00CE5393&quot;/&gt;&lt;wsp:rsid wsp:val=&quot;00CF1B09&quot;/&gt;&lt;wsp:rsid wsp:val=&quot;00CF1FA2&quot;/&gt;&lt;wsp:rsid wsp:val=&quot;00CF2065&quot;/&gt;&lt;wsp:rsid wsp:val=&quot;00CF2460&quot;/&gt;&lt;wsp:rsid wsp:val=&quot;00CF36BE&quot;/&gt;&lt;wsp:rsid wsp:val=&quot;00CF3F38&quot;/&gt;&lt;wsp:rsid wsp:val=&quot;00CF564E&quot;/&gt;&lt;wsp:rsid wsp:val=&quot;00CF6000&quot;/&gt;&lt;wsp:rsid wsp:val=&quot;00CF7851&quot;/&gt;&lt;wsp:rsid wsp:val=&quot;00D003F3&quot;/&gt;&lt;wsp:rsid wsp:val=&quot;00D0242F&quot;/&gt;&lt;wsp:rsid wsp:val=&quot;00D026B3&quot;/&gt;&lt;wsp:rsid wsp:val=&quot;00D033C9&quot;/&gt;&lt;wsp:rsid wsp:val=&quot;00D0364F&quot;/&gt;&lt;wsp:rsid wsp:val=&quot;00D04DA2&quot;/&gt;&lt;wsp:rsid wsp:val=&quot;00D05595&quot;/&gt;&lt;wsp:rsid wsp:val=&quot;00D06834&quot;/&gt;&lt;wsp:rsid wsp:val=&quot;00D10879&quot;/&gt;&lt;wsp:rsid wsp:val=&quot;00D117FC&quot;/&gt;&lt;wsp:rsid wsp:val=&quot;00D11C68&quot;/&gt;&lt;wsp:rsid wsp:val=&quot;00D12446&quot;/&gt;&lt;wsp:rsid wsp:val=&quot;00D12FFE&quot;/&gt;&lt;wsp:rsid wsp:val=&quot;00D152E8&quot;/&gt;&lt;wsp:rsid wsp:val=&quot;00D15B2D&quot;/&gt;&lt;wsp:rsid wsp:val=&quot;00D166D5&quot;/&gt;&lt;wsp:rsid wsp:val=&quot;00D2157A&quot;/&gt;&lt;wsp:rsid wsp:val=&quot;00D21AA8&quot;/&gt;&lt;wsp:rsid wsp:val=&quot;00D22DE0&quot;/&gt;&lt;wsp:rsid wsp:val=&quot;00D276B0&quot;/&gt;&lt;wsp:rsid wsp:val=&quot;00D308ED&quot;/&gt;&lt;wsp:rsid wsp:val=&quot;00D33CA6&quot;/&gt;&lt;wsp:rsid wsp:val=&quot;00D35559&quot;/&gt;&lt;wsp:rsid wsp:val=&quot;00D3699E&quot;/&gt;&lt;wsp:rsid wsp:val=&quot;00D36D86&quot;/&gt;&lt;wsp:rsid wsp:val=&quot;00D41C92&quot;/&gt;&lt;wsp:rsid wsp:val=&quot;00D428AA&quot;/&gt;&lt;wsp:rsid wsp:val=&quot;00D44169&quot;/&gt;&lt;wsp:rsid wsp:val=&quot;00D44677&quot;/&gt;&lt;wsp:rsid wsp:val=&quot;00D475F8&quot;/&gt;&lt;wsp:rsid wsp:val=&quot;00D50A34&quot;/&gt;&lt;wsp:rsid wsp:val=&quot;00D53EFA&quot;/&gt;&lt;wsp:rsid wsp:val=&quot;00D548EB&quot;/&gt;&lt;wsp:rsid wsp:val=&quot;00D5588A&quot;/&gt;&lt;wsp:rsid wsp:val=&quot;00D55C4D&quot;/&gt;&lt;wsp:rsid wsp:val=&quot;00D5615D&quot;/&gt;&lt;wsp:rsid wsp:val=&quot;00D5646B&quot;/&gt;&lt;wsp:rsid wsp:val=&quot;00D61547&quot;/&gt;&lt;wsp:rsid wsp:val=&quot;00D61D52&quot;/&gt;&lt;wsp:rsid wsp:val=&quot;00D62289&quot;/&gt;&lt;wsp:rsid wsp:val=&quot;00D625A6&quot;/&gt;&lt;wsp:rsid wsp:val=&quot;00D63A1B&quot;/&gt;&lt;wsp:rsid wsp:val=&quot;00D64518&quot;/&gt;&lt;wsp:rsid wsp:val=&quot;00D659A1&quot;/&gt;&lt;wsp:rsid wsp:val=&quot;00D65B12&quot;/&gt;&lt;wsp:rsid wsp:val=&quot;00D66F0F&quot;/&gt;&lt;wsp:rsid wsp:val=&quot;00D67C42&quot;/&gt;&lt;wsp:rsid wsp:val=&quot;00D71302&quot;/&gt;&lt;wsp:rsid wsp:val=&quot;00D71A7E&quot;/&gt;&lt;wsp:rsid wsp:val=&quot;00D7208C&quot;/&gt;&lt;wsp:rsid wsp:val=&quot;00D8432A&quot;/&gt;&lt;wsp:rsid wsp:val=&quot;00D906E5&quot;/&gt;&lt;wsp:rsid wsp:val=&quot;00D929E7&quot;/&gt;&lt;wsp:rsid wsp:val=&quot;00D93C3A&quot;/&gt;&lt;wsp:rsid wsp:val=&quot;00D9492C&quot;/&gt;&lt;wsp:rsid wsp:val=&quot;00D94A7C&quot;/&gt;&lt;wsp:rsid wsp:val=&quot;00D95896&quot;/&gt;&lt;wsp:rsid wsp:val=&quot;00DA256C&quot;/&gt;&lt;wsp:rsid wsp:val=&quot;00DA31E8&quot;/&gt;&lt;wsp:rsid wsp:val=&quot;00DA4344&quot;/&gt;&lt;wsp:rsid wsp:val=&quot;00DB01DD&quot;/&gt;&lt;wsp:rsid wsp:val=&quot;00DB1F8D&quot;/&gt;&lt;wsp:rsid wsp:val=&quot;00DB2983&quot;/&gt;&lt;wsp:rsid wsp:val=&quot;00DB64E6&quot;/&gt;&lt;wsp:rsid wsp:val=&quot;00DB695A&quot;/&gt;&lt;wsp:rsid wsp:val=&quot;00DB7007&quot;/&gt;&lt;wsp:rsid wsp:val=&quot;00DB717C&quot;/&gt;&lt;wsp:rsid wsp:val=&quot;00DC0FF7&quot;/&gt;&lt;wsp:rsid wsp:val=&quot;00DC1257&quot;/&gt;&lt;wsp:rsid wsp:val=&quot;00DC1BDB&quot;/&gt;&lt;wsp:rsid wsp:val=&quot;00DC3496&quot;/&gt;&lt;wsp:rsid wsp:val=&quot;00DC3DC0&quot;/&gt;&lt;wsp:rsid wsp:val=&quot;00DC4B61&quot;/&gt;&lt;wsp:rsid wsp:val=&quot;00DC5B2B&quot;/&gt;&lt;wsp:rsid wsp:val=&quot;00DC5D0B&quot;/&gt;&lt;wsp:rsid wsp:val=&quot;00DD18D5&quot;/&gt;&lt;wsp:rsid wsp:val=&quot;00DD1F1F&quot;/&gt;&lt;wsp:rsid wsp:val=&quot;00DD1F3B&quot;/&gt;&lt;wsp:rsid wsp:val=&quot;00DD2A67&quot;/&gt;&lt;wsp:rsid wsp:val=&quot;00DD318D&quot;/&gt;&lt;wsp:rsid wsp:val=&quot;00DD60A7&quot;/&gt;&lt;wsp:rsid wsp:val=&quot;00DD618E&quot;/&gt;&lt;wsp:rsid wsp:val=&quot;00DD64C0&quot;/&gt;&lt;wsp:rsid wsp:val=&quot;00DD7707&quot;/&gt;&lt;wsp:rsid wsp:val=&quot;00DE12DB&quot;/&gt;&lt;wsp:rsid wsp:val=&quot;00DE42F7&quot;/&gt;&lt;wsp:rsid wsp:val=&quot;00DE6445&quot;/&gt;&lt;wsp:rsid wsp:val=&quot;00DE759D&quot;/&gt;&lt;wsp:rsid wsp:val=&quot;00DF2E12&quot;/&gt;&lt;wsp:rsid wsp:val=&quot;00DF33C7&quot;/&gt;&lt;wsp:rsid wsp:val=&quot;00DF514A&quot;/&gt;&lt;wsp:rsid wsp:val=&quot;00DF5586&quot;/&gt;&lt;wsp:rsid wsp:val=&quot;00DF6690&quot;/&gt;&lt;wsp:rsid wsp:val=&quot;00DF6804&quot;/&gt;&lt;wsp:rsid wsp:val=&quot;00E0100A&quot;/&gt;&lt;wsp:rsid wsp:val=&quot;00E0129B&quot;/&gt;&lt;wsp:rsid wsp:val=&quot;00E031CD&quot;/&gt;&lt;wsp:rsid wsp:val=&quot;00E0358D&quot;/&gt;&lt;wsp:rsid wsp:val=&quot;00E03F2D&quot;/&gt;&lt;wsp:rsid wsp:val=&quot;00E04323&quot;/&gt;&lt;wsp:rsid wsp:val=&quot;00E070A2&quot;/&gt;&lt;wsp:rsid wsp:val=&quot;00E10A37&quot;/&gt;&lt;wsp:rsid wsp:val=&quot;00E11CC4&quot;/&gt;&lt;wsp:rsid wsp:val=&quot;00E14FF6&quot;/&gt;&lt;wsp:rsid wsp:val=&quot;00E15129&quot;/&gt;&lt;wsp:rsid wsp:val=&quot;00E166E6&quot;/&gt;&lt;wsp:rsid wsp:val=&quot;00E17783&quot;/&gt;&lt;wsp:rsid wsp:val=&quot;00E20CB3&quot;/&gt;&lt;wsp:rsid wsp:val=&quot;00E21D39&quot;/&gt;&lt;wsp:rsid wsp:val=&quot;00E2292F&quot;/&gt;&lt;wsp:rsid wsp:val=&quot;00E22A9F&quot;/&gt;&lt;wsp:rsid wsp:val=&quot;00E25B84&quot;/&gt;&lt;wsp:rsid wsp:val=&quot;00E2656A&quot;/&gt;&lt;wsp:rsid wsp:val=&quot;00E26FC0&quot;/&gt;&lt;wsp:rsid wsp:val=&quot;00E27103&quot;/&gt;&lt;wsp:rsid wsp:val=&quot;00E33511&quot;/&gt;&lt;wsp:rsid wsp:val=&quot;00E367A0&quot;/&gt;&lt;wsp:rsid wsp:val=&quot;00E40229&quot;/&gt;&lt;wsp:rsid wsp:val=&quot;00E40DBE&quot;/&gt;&lt;wsp:rsid wsp:val=&quot;00E412D0&quot;/&gt;&lt;wsp:rsid wsp:val=&quot;00E42525&quot;/&gt;&lt;wsp:rsid wsp:val=&quot;00E4371B&quot;/&gt;&lt;wsp:rsid wsp:val=&quot;00E43FEE&quot;/&gt;&lt;wsp:rsid wsp:val=&quot;00E44047&quot;/&gt;&lt;wsp:rsid wsp:val=&quot;00E4454C&quot;/&gt;&lt;wsp:rsid wsp:val=&quot;00E449BA&quot;/&gt;&lt;wsp:rsid wsp:val=&quot;00E46FE4&quot;/&gt;&lt;wsp:rsid wsp:val=&quot;00E517A9&quot;/&gt;&lt;wsp:rsid wsp:val=&quot;00E53313&quot;/&gt;&lt;wsp:rsid wsp:val=&quot;00E56322&quot;/&gt;&lt;wsp:rsid wsp:val=&quot;00E56557&quot;/&gt;&lt;wsp:rsid wsp:val=&quot;00E56CCB&quot;/&gt;&lt;wsp:rsid wsp:val=&quot;00E6092A&quot;/&gt;&lt;wsp:rsid wsp:val=&quot;00E60982&quot;/&gt;&lt;wsp:rsid wsp:val=&quot;00E62C62&quot;/&gt;&lt;wsp:rsid wsp:val=&quot;00E639CC&quot;/&gt;&lt;wsp:rsid wsp:val=&quot;00E654C1&quot;/&gt;&lt;wsp:rsid wsp:val=&quot;00E65D97&quot;/&gt;&lt;wsp:rsid wsp:val=&quot;00E7246A&quot;/&gt;&lt;wsp:rsid wsp:val=&quot;00E72A5A&quot;/&gt;&lt;wsp:rsid wsp:val=&quot;00E73354&quot;/&gt;&lt;wsp:rsid wsp:val=&quot;00E73C57&quot;/&gt;&lt;wsp:rsid wsp:val=&quot;00E7482F&quot;/&gt;&lt;wsp:rsid wsp:val=&quot;00E74838&quot;/&gt;&lt;wsp:rsid wsp:val=&quot;00E764AF&quot;/&gt;&lt;wsp:rsid wsp:val=&quot;00E76974&quot;/&gt;&lt;wsp:rsid wsp:val=&quot;00E775B7&quot;/&gt;&lt;wsp:rsid wsp:val=&quot;00E80758&quot;/&gt;&lt;wsp:rsid wsp:val=&quot;00E84A11&quot;/&gt;&lt;wsp:rsid wsp:val=&quot;00E84DBA&quot;/&gt;&lt;wsp:rsid wsp:val=&quot;00E8651C&quot;/&gt;&lt;wsp:rsid wsp:val=&quot;00E9242D&quot;/&gt;&lt;wsp:rsid wsp:val=&quot;00E935EC&quot;/&gt;&lt;wsp:rsid wsp:val=&quot;00E946BF&quot;/&gt;&lt;wsp:rsid wsp:val=&quot;00EA4432&quot;/&gt;&lt;wsp:rsid wsp:val=&quot;00EA4DA2&quot;/&gt;&lt;wsp:rsid wsp:val=&quot;00EA53C3&quot;/&gt;&lt;wsp:rsid wsp:val=&quot;00EA609C&quot;/&gt;&lt;wsp:rsid wsp:val=&quot;00EB142E&quot;/&gt;&lt;wsp:rsid wsp:val=&quot;00EB208A&quot;/&gt;&lt;wsp:rsid wsp:val=&quot;00EB35C4&quot;/&gt;&lt;wsp:rsid wsp:val=&quot;00EB5255&quot;/&gt;&lt;wsp:rsid wsp:val=&quot;00EB5C47&quot;/&gt;&lt;wsp:rsid wsp:val=&quot;00EB7016&quot;/&gt;&lt;wsp:rsid wsp:val=&quot;00EC017F&quot;/&gt;&lt;wsp:rsid wsp:val=&quot;00EC126D&quot;/&gt;&lt;wsp:rsid wsp:val=&quot;00EC2282&quot;/&gt;&lt;wsp:rsid wsp:val=&quot;00EC25C3&quot;/&gt;&lt;wsp:rsid wsp:val=&quot;00EC2A90&quot;/&gt;&lt;wsp:rsid wsp:val=&quot;00EC4505&quot;/&gt;&lt;wsp:rsid wsp:val=&quot;00EC52F1&quot;/&gt;&lt;wsp:rsid wsp:val=&quot;00EC5960&quot;/&gt;&lt;wsp:rsid wsp:val=&quot;00EC5FE9&quot;/&gt;&lt;wsp:rsid wsp:val=&quot;00EC6E52&quot;/&gt;&lt;wsp:rsid wsp:val=&quot;00EC7E6F&quot;/&gt;&lt;wsp:rsid wsp:val=&quot;00ED0639&quot;/&gt;&lt;wsp:rsid wsp:val=&quot;00ED1026&quot;/&gt;&lt;wsp:rsid wsp:val=&quot;00ED122A&quot;/&gt;&lt;wsp:rsid wsp:val=&quot;00ED3989&quot;/&gt;&lt;wsp:rsid wsp:val=&quot;00ED4615&quot;/&gt;&lt;wsp:rsid wsp:val=&quot;00ED57C3&quot;/&gt;&lt;wsp:rsid wsp:val=&quot;00ED5A18&quot;/&gt;&lt;wsp:rsid wsp:val=&quot;00EE01F6&quot;/&gt;&lt;wsp:rsid wsp:val=&quot;00EE0584&quot;/&gt;&lt;wsp:rsid wsp:val=&quot;00EE158E&quot;/&gt;&lt;wsp:rsid wsp:val=&quot;00EE31AB&quot;/&gt;&lt;wsp:rsid wsp:val=&quot;00EF00AA&quot;/&gt;&lt;wsp:rsid wsp:val=&quot;00EF0B94&quot;/&gt;&lt;wsp:rsid wsp:val=&quot;00EF4755&quot;/&gt;&lt;wsp:rsid wsp:val=&quot;00EF4A44&quot;/&gt;&lt;wsp:rsid wsp:val=&quot;00EF7135&quot;/&gt;&lt;wsp:rsid wsp:val=&quot;00F01BA4&quot;/&gt;&lt;wsp:rsid wsp:val=&quot;00F02782&quot;/&gt;&lt;wsp:rsid wsp:val=&quot;00F027DB&quot;/&gt;&lt;wsp:rsid wsp:val=&quot;00F035CC&quot;/&gt;&lt;wsp:rsid wsp:val=&quot;00F12E69&quot;/&gt;&lt;wsp:rsid wsp:val=&quot;00F1310F&quot;/&gt;&lt;wsp:rsid wsp:val=&quot;00F13A5D&quot;/&gt;&lt;wsp:rsid wsp:val=&quot;00F13AA5&quot;/&gt;&lt;wsp:rsid wsp:val=&quot;00F13C18&quot;/&gt;&lt;wsp:rsid wsp:val=&quot;00F14A7A&quot;/&gt;&lt;wsp:rsid wsp:val=&quot;00F15079&quot;/&gt;&lt;wsp:rsid wsp:val=&quot;00F15AB9&quot;/&gt;&lt;wsp:rsid wsp:val=&quot;00F16505&quot;/&gt;&lt;wsp:rsid wsp:val=&quot;00F1756A&quot;/&gt;&lt;wsp:rsid wsp:val=&quot;00F22985&quot;/&gt;&lt;wsp:rsid wsp:val=&quot;00F246A3&quot;/&gt;&lt;wsp:rsid wsp:val=&quot;00F30909&quot;/&gt;&lt;wsp:rsid wsp:val=&quot;00F3383E&quot;/&gt;&lt;wsp:rsid wsp:val=&quot;00F40003&quot;/&gt;&lt;wsp:rsid wsp:val=&quot;00F4268B&quot;/&gt;&lt;wsp:rsid wsp:val=&quot;00F42D0C&quot;/&gt;&lt;wsp:rsid wsp:val=&quot;00F45092&quot;/&gt;&lt;wsp:rsid wsp:val=&quot;00F45885&quot;/&gt;&lt;wsp:rsid wsp:val=&quot;00F465A7&quot;/&gt;&lt;wsp:rsid wsp:val=&quot;00F50026&quot;/&gt;&lt;wsp:rsid wsp:val=&quot;00F50B7C&quot;/&gt;&lt;wsp:rsid wsp:val=&quot;00F512B4&quot;/&gt;&lt;wsp:rsid wsp:val=&quot;00F52390&quot;/&gt;&lt;wsp:rsid wsp:val=&quot;00F5269C&quot;/&gt;&lt;wsp:rsid wsp:val=&quot;00F52F96&quot;/&gt;&lt;wsp:rsid wsp:val=&quot;00F550E6&quot;/&gt;&lt;wsp:rsid wsp:val=&quot;00F564B5&quot;/&gt;&lt;wsp:rsid wsp:val=&quot;00F5779F&quot;/&gt;&lt;wsp:rsid wsp:val=&quot;00F615F1&quot;/&gt;&lt;wsp:rsid wsp:val=&quot;00F6480F&quot;/&gt;&lt;wsp:rsid wsp:val=&quot;00F7082A&quot;/&gt;&lt;wsp:rsid wsp:val=&quot;00F718D1&quot;/&gt;&lt;wsp:rsid wsp:val=&quot;00F74345&quot;/&gt;&lt;wsp:rsid wsp:val=&quot;00F74526&quot;/&gt;&lt;wsp:rsid wsp:val=&quot;00F7573B&quot;/&gt;&lt;wsp:rsid wsp:val=&quot;00F768AF&quot;/&gt;&lt;wsp:rsid wsp:val=&quot;00F7752B&quot;/&gt;&lt;wsp:rsid wsp:val=&quot;00F775E5&quot;/&gt;&lt;wsp:rsid wsp:val=&quot;00F8039A&quot;/&gt;&lt;wsp:rsid wsp:val=&quot;00F80A0A&quot;/&gt;&lt;wsp:rsid wsp:val=&quot;00F81E84&quot;/&gt;&lt;wsp:rsid wsp:val=&quot;00F82B19&quot;/&gt;&lt;wsp:rsid wsp:val=&quot;00F83036&quot;/&gt;&lt;wsp:rsid wsp:val=&quot;00F8722B&quot;/&gt;&lt;wsp:rsid wsp:val=&quot;00F914E3&quot;/&gt;&lt;wsp:rsid wsp:val=&quot;00F9212D&quot;/&gt;&lt;wsp:rsid wsp:val=&quot;00F924C5&quot;/&gt;&lt;wsp:rsid wsp:val=&quot;00F928CC&quot;/&gt;&lt;wsp:rsid wsp:val=&quot;00F965DA&quot;/&gt;&lt;wsp:rsid wsp:val=&quot;00F96633&quot;/&gt;&lt;wsp:rsid wsp:val=&quot;00FA3995&quot;/&gt;&lt;wsp:rsid wsp:val=&quot;00FA3EDC&quot;/&gt;&lt;wsp:rsid wsp:val=&quot;00FA406A&quot;/&gt;&lt;wsp:rsid wsp:val=&quot;00FA5CA6&quot;/&gt;&lt;wsp:rsid wsp:val=&quot;00FB0260&quot;/&gt;&lt;wsp:rsid wsp:val=&quot;00FB2C23&quot;/&gt;&lt;wsp:rsid wsp:val=&quot;00FB3B24&quot;/&gt;&lt;wsp:rsid wsp:val=&quot;00FB503A&quot;/&gt;&lt;wsp:rsid wsp:val=&quot;00FB516C&quot;/&gt;&lt;wsp:rsid wsp:val=&quot;00FB5414&quot;/&gt;&lt;wsp:rsid wsp:val=&quot;00FB72F4&quot;/&gt;&lt;wsp:rsid wsp:val=&quot;00FB7408&quot;/&gt;&lt;wsp:rsid wsp:val=&quot;00FB7A8F&quot;/&gt;&lt;wsp:rsid wsp:val=&quot;00FC0E9B&quot;/&gt;&lt;wsp:rsid wsp:val=&quot;00FC1DAB&quot;/&gt;&lt;wsp:rsid wsp:val=&quot;00FC5271&quot;/&gt;&lt;wsp:rsid wsp:val=&quot;00FC77F0&quot;/&gt;&lt;wsp:rsid wsp:val=&quot;00FD0236&quot;/&gt;&lt;wsp:rsid wsp:val=&quot;00FD1322&quot;/&gt;&lt;wsp:rsid wsp:val=&quot;00FD18F4&quot;/&gt;&lt;wsp:rsid wsp:val=&quot;00FD54DB&quot;/&gt;&lt;wsp:rsid wsp:val=&quot;00FD619F&quot;/&gt;&lt;wsp:rsid wsp:val=&quot;00FE00A5&quot;/&gt;&lt;wsp:rsid wsp:val=&quot;00FE73F6&quot;/&gt;&lt;wsp:rsid wsp:val=&quot;00FF19EB&quot;/&gt;&lt;wsp:rsid wsp:val=&quot;00FF298D&quot;/&gt;&lt;wsp:rsid wsp:val=&quot;00FF3012&quot;/&gt;&lt;wsp:rsid wsp:val=&quot;00FF4624&quot;/&gt;&lt;wsp:rsid wsp:val=&quot;00FF46B6&quot;/&gt;&lt;wsp:rsid wsp:val=&quot;00FF532E&quot;/&gt;&lt;wsp:rsid wsp:val=&quot;00FF6929&quot;/&gt;&lt;wsp:rsid wsp:val=&quot;0100390C&quot;/&gt;&lt;wsp:rsid wsp:val=&quot;01065475&quot;/&gt;&lt;wsp:rsid wsp:val=&quot;010B405F&quot;/&gt;&lt;wsp:rsid wsp:val=&quot;01185330&quot;/&gt;&lt;wsp:rsid wsp:val=&quot;011C0A03&quot;/&gt;&lt;wsp:rsid wsp:val=&quot;01290F7E&quot;/&gt;&lt;wsp:rsid wsp:val=&quot;01296168&quot;/&gt;&lt;wsp:rsid wsp:val=&quot;012D0DB8&quot;/&gt;&lt;wsp:rsid wsp:val=&quot;012D1D2A&quot;/&gt;&lt;wsp:rsid wsp:val=&quot;012D564D&quot;/&gt;&lt;wsp:rsid wsp:val=&quot;012F641E&quot;/&gt;&lt;wsp:rsid wsp:val=&quot;013E6299&quot;/&gt;&lt;wsp:rsid wsp:val=&quot;013F153F&quot;/&gt;&lt;wsp:rsid wsp:val=&quot;01406E8C&quot;/&gt;&lt;wsp:rsid wsp:val=&quot;01480F3C&quot;/&gt;&lt;wsp:rsid wsp:val=&quot;014936DB&quot;/&gt;&lt;wsp:rsid wsp:val=&quot;01560D73&quot;/&gt;&lt;wsp:rsid wsp:val=&quot;015C4E83&quot;/&gt;&lt;wsp:rsid wsp:val=&quot;015D1E09&quot;/&gt;&lt;wsp:rsid wsp:val=&quot;015E5746&quot;/&gt;&lt;wsp:rsid wsp:val=&quot;016D6AC7&quot;/&gt;&lt;wsp:rsid wsp:val=&quot;016E2A01&quot;/&gt;&lt;wsp:rsid wsp:val=&quot;017058C4&quot;/&gt;&lt;wsp:rsid wsp:val=&quot;01710AFF&quot;/&gt;&lt;wsp:rsid wsp:val=&quot;01796751&quot;/&gt;&lt;wsp:rsid wsp:val=&quot;01883692&quot;/&gt;&lt;wsp:rsid wsp:val=&quot;01913DF5&quot;/&gt;&lt;wsp:rsid wsp:val=&quot;01922277&quot;/&gt;&lt;wsp:rsid wsp:val=&quot;01A3025A&quot;/&gt;&lt;wsp:rsid wsp:val=&quot;01AA354A&quot;/&gt;&lt;wsp:rsid wsp:val=&quot;01BA6D22&quot;/&gt;&lt;wsp:rsid wsp:val=&quot;01D10984&quot;/&gt;&lt;wsp:rsid wsp:val=&quot;01D628BE&quot;/&gt;&lt;wsp:rsid wsp:val=&quot;01F559D1&quot;/&gt;&lt;wsp:rsid wsp:val=&quot;020053EC&quot;/&gt;&lt;wsp:rsid wsp:val=&quot;02050E58&quot;/&gt;&lt;wsp:rsid wsp:val=&quot;02131BE9&quot;/&gt;&lt;wsp:rsid wsp:val=&quot;02190526&quot;/&gt;&lt;wsp:rsid wsp:val=&quot;02245B5B&quot;/&gt;&lt;wsp:rsid wsp:val=&quot;022528E9&quot;/&gt;&lt;wsp:rsid wsp:val=&quot;02387290&quot;/&gt;&lt;wsp:rsid wsp:val=&quot;02586C81&quot;/&gt;&lt;wsp:rsid wsp:val=&quot;0261655A&quot;/&gt;&lt;wsp:rsid wsp:val=&quot;02616711&quot;/&gt;&lt;wsp:rsid wsp:val=&quot;02697903&quot;/&gt;&lt;wsp:rsid wsp:val=&quot;027033AB&quot;/&gt;&lt;wsp:rsid wsp:val=&quot;02717049&quot;/&gt;&lt;wsp:rsid wsp:val=&quot;028364F8&quot;/&gt;&lt;wsp:rsid wsp:val=&quot;029066B7&quot;/&gt;&lt;wsp:rsid wsp:val=&quot;02986252&quot;/&gt;&lt;wsp:rsid wsp:val=&quot;02AB3D4B&quot;/&gt;&lt;wsp:rsid wsp:val=&quot;02B20C36&quot;/&gt;&lt;wsp:rsid wsp:val=&quot;02BC0120&quot;/&gt;&lt;wsp:rsid wsp:val=&quot;02CD2E68&quot;/&gt;&lt;wsp:rsid wsp:val=&quot;02D24B42&quot;/&gt;&lt;wsp:rsid wsp:val=&quot;02E62FD5&quot;/&gt;&lt;wsp:rsid wsp:val=&quot;02E722C3&quot;/&gt;&lt;wsp:rsid wsp:val=&quot;02E80AFB&quot;/&gt;&lt;wsp:rsid wsp:val=&quot;02F96569&quot;/&gt;&lt;wsp:rsid wsp:val=&quot;02FE63D1&quot;/&gt;&lt;wsp:rsid wsp:val=&quot;030733DE&quot;/&gt;&lt;wsp:rsid wsp:val=&quot;03165668&quot;/&gt;&lt;wsp:rsid wsp:val=&quot;03293A55&quot;/&gt;&lt;wsp:rsid wsp:val=&quot;0339795D&quot;/&gt;&lt;wsp:rsid wsp:val=&quot;033C0EB3&quot;/&gt;&lt;wsp:rsid wsp:val=&quot;03411FB9&quot;/&gt;&lt;wsp:rsid wsp:val=&quot;03423C06&quot;/&gt;&lt;wsp:rsid wsp:val=&quot;034E2011&quot;/&gt;&lt;wsp:rsid wsp:val=&quot;03600D18&quot;/&gt;&lt;wsp:rsid wsp:val=&quot;036D4E82&quot;/&gt;&lt;wsp:rsid wsp:val=&quot;038011C1&quot;/&gt;&lt;wsp:rsid wsp:val=&quot;038408A7&quot;/&gt;&lt;wsp:rsid wsp:val=&quot;038C1E19&quot;/&gt;&lt;wsp:rsid wsp:val=&quot;0399559F&quot;/&gt;&lt;wsp:rsid wsp:val=&quot;03A461C6&quot;/&gt;&lt;wsp:rsid wsp:val=&quot;03A67D02&quot;/&gt;&lt;wsp:rsid wsp:val=&quot;03B04B32&quot;/&gt;&lt;wsp:rsid wsp:val=&quot;03B66504&quot;/&gt;&lt;wsp:rsid wsp:val=&quot;03C84489&quot;/&gt;&lt;wsp:rsid wsp:val=&quot;03C85032&quot;/&gt;&lt;wsp:rsid wsp:val=&quot;03C85BD1&quot;/&gt;&lt;wsp:rsid wsp:val=&quot;03CE6FF6&quot;/&gt;&lt;wsp:rsid wsp:val=&quot;03D84E68&quot;/&gt;&lt;wsp:rsid wsp:val=&quot;03DA2C38&quot;/&gt;&lt;wsp:rsid wsp:val=&quot;03E33071&quot;/&gt;&lt;wsp:rsid wsp:val=&quot;03EA7B21&quot;/&gt;&lt;wsp:rsid wsp:val=&quot;03EF1DB7&quot;/&gt;&lt;wsp:rsid wsp:val=&quot;03F612F2&quot;/&gt;&lt;wsp:rsid wsp:val=&quot;040E6340&quot;/&gt;&lt;wsp:rsid wsp:val=&quot;04162A5B&quot;/&gt;&lt;wsp:rsid wsp:val=&quot;04177352&quot;/&gt;&lt;wsp:rsid wsp:val=&quot;041C6AD9&quot;/&gt;&lt;wsp:rsid wsp:val=&quot;04231416&quot;/&gt;&lt;wsp:rsid wsp:val=&quot;043308F5&quot;/&gt;&lt;wsp:rsid wsp:val=&quot;04365896&quot;/&gt;&lt;wsp:rsid wsp:val=&quot;04635FDA&quot;/&gt;&lt;wsp:rsid wsp:val=&quot;04687C67&quot;/&gt;&lt;wsp:rsid wsp:val=&quot;046C363C&quot;/&gt;&lt;wsp:rsid wsp:val=&quot;046D71A3&quot;/&gt;&lt;wsp:rsid wsp:val=&quot;046F2174&quot;/&gt;&lt;wsp:rsid wsp:val=&quot;04722AB5&quot;/&gt;&lt;wsp:rsid wsp:val=&quot;04813232&quot;/&gt;&lt;wsp:rsid wsp:val=&quot;048C4CB0&quot;/&gt;&lt;wsp:rsid wsp:val=&quot;0493186B&quot;/&gt;&lt;wsp:rsid wsp:val=&quot;04A90107&quot;/&gt;&lt;wsp:rsid wsp:val=&quot;04D51A61&quot;/&gt;&lt;wsp:rsid wsp:val=&quot;04E00808&quot;/&gt;&lt;wsp:rsid wsp:val=&quot;04EE2D5F&quot;/&gt;&lt;wsp:rsid wsp:val=&quot;04F36A26&quot;/&gt;&lt;wsp:rsid wsp:val=&quot;05137C73&quot;/&gt;&lt;wsp:rsid wsp:val=&quot;05175953&quot;/&gt;&lt;wsp:rsid wsp:val=&quot;05177476&quot;/&gt;&lt;wsp:rsid wsp:val=&quot;051931EE&quot;/&gt;&lt;wsp:rsid wsp:val=&quot;052E509C&quot;/&gt;&lt;wsp:rsid wsp:val=&quot;053A3164&quot;/&gt;&lt;wsp:rsid wsp:val=&quot;055B040F&quot;/&gt;&lt;wsp:rsid wsp:val=&quot;056800F4&quot;/&gt;&lt;wsp:rsid wsp:val=&quot;056D30B8&quot;/&gt;&lt;wsp:rsid wsp:val=&quot;057747FA&quot;/&gt;&lt;wsp:rsid wsp:val=&quot;05776166&quot;/&gt;&lt;wsp:rsid wsp:val=&quot;059451B2&quot;/&gt;&lt;wsp:rsid wsp:val=&quot;05AC5838&quot;/&gt;&lt;wsp:rsid wsp:val=&quot;05CC0260&quot;/&gt;&lt;wsp:rsid wsp:val=&quot;05F83EAE&quot;/&gt;&lt;wsp:rsid wsp:val=&quot;060A0AF3&quot;/&gt;&lt;wsp:rsid wsp:val=&quot;06110369&quot;/&gt;&lt;wsp:rsid wsp:val=&quot;06165268&quot;/&gt;&lt;wsp:rsid wsp:val=&quot;062E296D&quot;/&gt;&lt;wsp:rsid wsp:val=&quot;06320D53&quot;/&gt;&lt;wsp:rsid wsp:val=&quot;06360CF0&quot;/&gt;&lt;wsp:rsid wsp:val=&quot;063E7D85&quot;/&gt;&lt;wsp:rsid wsp:val=&quot;064D564C&quot;/&gt;&lt;wsp:rsid wsp:val=&quot;065060D7&quot;/&gt;&lt;wsp:rsid wsp:val=&quot;06530982&quot;/&gt;&lt;wsp:rsid wsp:val=&quot;065F787C&quot;/&gt;&lt;wsp:rsid wsp:val=&quot;06785CC6&quot;/&gt;&lt;wsp:rsid wsp:val=&quot;067B1B22&quot;/&gt;&lt;wsp:rsid wsp:val=&quot;06871684&quot;/&gt;&lt;wsp:rsid wsp:val=&quot;068B1EC9&quot;/&gt;&lt;wsp:rsid wsp:val=&quot;069062D7&quot;/&gt;&lt;wsp:rsid wsp:val=&quot;06955416&quot;/&gt;&lt;wsp:rsid wsp:val=&quot;069E04EC&quot;/&gt;&lt;wsp:rsid wsp:val=&quot;06A80558&quot;/&gt;&lt;wsp:rsid wsp:val=&quot;06AA219A&quot;/&gt;&lt;wsp:rsid wsp:val=&quot;06B042CD&quot;/&gt;&lt;wsp:rsid wsp:val=&quot;06CA6D2B&quot;/&gt;&lt;wsp:rsid wsp:val=&quot;06CB5A95&quot;/&gt;&lt;wsp:rsid wsp:val=&quot;06DF2215&quot;/&gt;&lt;wsp:rsid wsp:val=&quot;06E02E7F&quot;/&gt;&lt;wsp:rsid wsp:val=&quot;06F034DA&quot;/&gt;&lt;wsp:rsid wsp:val=&quot;06F42C4C&quot;/&gt;&lt;wsp:rsid wsp:val=&quot;07013F3A&quot;/&gt;&lt;wsp:rsid wsp:val=&quot;07020B0C&quot;/&gt;&lt;wsp:rsid wsp:val=&quot;070B0919&quot;/&gt;&lt;wsp:rsid wsp:val=&quot;07110764&quot;/&gt;&lt;wsp:rsid wsp:val=&quot;071D0082&quot;/&gt;&lt;wsp:rsid wsp:val=&quot;07204D0B&quot;/&gt;&lt;wsp:rsid wsp:val=&quot;07275343&quot;/&gt;&lt;wsp:rsid wsp:val=&quot;07293586&quot;/&gt;&lt;wsp:rsid wsp:val=&quot;07295285&quot;/&gt;&lt;wsp:rsid wsp:val=&quot;072961A1&quot;/&gt;&lt;wsp:rsid wsp:val=&quot;07350677&quot;/&gt;&lt;wsp:rsid wsp:val=&quot;0736698D&quot;/&gt;&lt;wsp:rsid wsp:val=&quot;074C3EE5&quot;/&gt;&lt;wsp:rsid wsp:val=&quot;075002E1&quot;/&gt;&lt;wsp:rsid wsp:val=&quot;07502B29&quot;/&gt;&lt;wsp:rsid wsp:val=&quot;07530B70&quot;/&gt;&lt;wsp:rsid wsp:val=&quot;075858CD&quot;/&gt;&lt;wsp:rsid wsp:val=&quot;07614A6C&quot;/&gt;&lt;wsp:rsid wsp:val=&quot;07636392&quot;/&gt;&lt;wsp:rsid wsp:val=&quot;076470DA&quot;/&gt;&lt;wsp:rsid wsp:val=&quot;07770C56&quot;/&gt;&lt;wsp:rsid wsp:val=&quot;07781FBE&quot;/&gt;&lt;wsp:rsid wsp:val=&quot;077E1A2E&quot;/&gt;&lt;wsp:rsid wsp:val=&quot;07946B59&quot;/&gt;&lt;wsp:rsid wsp:val=&quot;07A10BF3&quot;/&gt;&lt;wsp:rsid wsp:val=&quot;07A418C0&quot;/&gt;&lt;wsp:rsid wsp:val=&quot;07A875FB&quot;/&gt;&lt;wsp:rsid wsp:val=&quot;07C3283B&quot;/&gt;&lt;wsp:rsid wsp:val=&quot;07C442AC&quot;/&gt;&lt;wsp:rsid wsp:val=&quot;07D1358A&quot;/&gt;&lt;wsp:rsid wsp:val=&quot;07DD3B7E&quot;/&gt;&lt;wsp:rsid wsp:val=&quot;07DE7496&quot;/&gt;&lt;wsp:rsid wsp:val=&quot;07F2440E&quot;/&gt;&lt;wsp:rsid wsp:val=&quot;07F5248E&quot;/&gt;&lt;wsp:rsid wsp:val=&quot;07FB495C&quot;/&gt;&lt;wsp:rsid wsp:val=&quot;08043BF9&quot;/&gt;&lt;wsp:rsid wsp:val=&quot;080717AD&quot;/&gt;&lt;wsp:rsid wsp:val=&quot;080C0FE9&quot;/&gt;&lt;wsp:rsid wsp:val=&quot;0814303F&quot;/&gt;&lt;wsp:rsid wsp:val=&quot;08173754&quot;/&gt;&lt;wsp:rsid wsp:val=&quot;081A07A6&quot;/&gt;&lt;wsp:rsid wsp:val=&quot;08247105&quot;/&gt;&lt;wsp:rsid wsp:val=&quot;08431698&quot;/&gt;&lt;wsp:rsid wsp:val=&quot;08432093&quot;/&gt;&lt;wsp:rsid wsp:val=&quot;084B36C5&quot;/&gt;&lt;wsp:rsid wsp:val=&quot;085935F3&quot;/&gt;&lt;wsp:rsid wsp:val=&quot;085A0644&quot;/&gt;&lt;wsp:rsid wsp:val=&quot;088E7A4F&quot;/&gt;&lt;wsp:rsid wsp:val=&quot;089A0EBD&quot;/&gt;&lt;wsp:rsid wsp:val=&quot;089D4C97&quot;/&gt;&lt;wsp:rsid wsp:val=&quot;08D53CFA&quot;/&gt;&lt;wsp:rsid wsp:val=&quot;08E9737B&quot;/&gt;&lt;wsp:rsid wsp:val=&quot;08EC54F1&quot;/&gt;&lt;wsp:rsid wsp:val=&quot;08F646D6&quot;/&gt;&lt;wsp:rsid wsp:val=&quot;09005DB9&quot;/&gt;&lt;wsp:rsid wsp:val=&quot;090C6D03&quot;/&gt;&lt;wsp:rsid wsp:val=&quot;0911242E&quot;/&gt;&lt;wsp:rsid wsp:val=&quot;0915297B&quot;/&gt;&lt;wsp:rsid wsp:val=&quot;09194A48&quot;/&gt;&lt;wsp:rsid wsp:val=&quot;091A2303&quot;/&gt;&lt;wsp:rsid wsp:val=&quot;092217DD&quot;/&gt;&lt;wsp:rsid wsp:val=&quot;09234583&quot;/&gt;&lt;wsp:rsid wsp:val=&quot;093176D6&quot;/&gt;&lt;wsp:rsid wsp:val=&quot;093265C3&quot;/&gt;&lt;wsp:rsid wsp:val=&quot;09345DAE&quot;/&gt;&lt;wsp:rsid wsp:val=&quot;09356F1F&quot;/&gt;&lt;wsp:rsid wsp:val=&quot;093A7294&quot;/&gt;&lt;wsp:rsid wsp:val=&quot;094D6FD8&quot;/&gt;&lt;wsp:rsid wsp:val=&quot;095447D6&quot;/&gt;&lt;wsp:rsid wsp:val=&quot;095A61AF&quot;/&gt;&lt;wsp:rsid wsp:val=&quot;096A04BC&quot;/&gt;&lt;wsp:rsid wsp:val=&quot;09765491&quot;/&gt;&lt;wsp:rsid wsp:val=&quot;097C71E2&quot;/&gt;&lt;wsp:rsid wsp:val=&quot;09833DF7&quot;/&gt;&lt;wsp:rsid wsp:val=&quot;098B3F8E&quot;/&gt;&lt;wsp:rsid wsp:val=&quot;098C6E7C&quot;/&gt;&lt;wsp:rsid wsp:val=&quot;09A34265&quot;/&gt;&lt;wsp:rsid wsp:val=&quot;09B13BB0&quot;/&gt;&lt;wsp:rsid wsp:val=&quot;09B16EAB&quot;/&gt;&lt;wsp:rsid wsp:val=&quot;09B83389&quot;/&gt;&lt;wsp:rsid wsp:val=&quot;09C05BDB&quot;/&gt;&lt;wsp:rsid wsp:val=&quot;09C42106&quot;/&gt;&lt;wsp:rsid wsp:val=&quot;09D25D52&quot;/&gt;&lt;wsp:rsid wsp:val=&quot;09EC4F00&quot;/&gt;&lt;wsp:rsid wsp:val=&quot;09ED5694&quot;/&gt;&lt;wsp:rsid wsp:val=&quot;0A00672A&quot;/&gt;&lt;wsp:rsid wsp:val=&quot;0A130AEC&quot;/&gt;&lt;wsp:rsid wsp:val=&quot;0A263993&quot;/&gt;&lt;wsp:rsid wsp:val=&quot;0A2D3AC2&quot;/&gt;&lt;wsp:rsid wsp:val=&quot;0A351BEE&quot;/&gt;&lt;wsp:rsid wsp:val=&quot;0A352FBC&quot;/&gt;&lt;wsp:rsid wsp:val=&quot;0A376CB0&quot;/&gt;&lt;wsp:rsid wsp:val=&quot;0A385C5F&quot;/&gt;&lt;wsp:rsid wsp:val=&quot;0A3C377B&quot;/&gt;&lt;wsp:rsid wsp:val=&quot;0A445BCF&quot;/&gt;&lt;wsp:rsid wsp:val=&quot;0A4707FD&quot;/&gt;&lt;wsp:rsid wsp:val=&quot;0A4E0903&quot;/&gt;&lt;wsp:rsid wsp:val=&quot;0A5C1575&quot;/&gt;&lt;wsp:rsid wsp:val=&quot;0A670558&quot;/&gt;&lt;wsp:rsid wsp:val=&quot;0A791DB0&quot;/&gt;&lt;wsp:rsid wsp:val=&quot;0A9D28C3&quot;/&gt;&lt;wsp:rsid wsp:val=&quot;0AA215A5&quot;/&gt;&lt;wsp:rsid wsp:val=&quot;0AA61111&quot;/&gt;&lt;wsp:rsid wsp:val=&quot;0AA755DF&quot;/&gt;&lt;wsp:rsid wsp:val=&quot;0AAA30C2&quot;/&gt;&lt;wsp:rsid wsp:val=&quot;0AAD448A&quot;/&gt;&lt;wsp:rsid wsp:val=&quot;0AB570DC&quot;/&gt;&lt;wsp:rsid wsp:val=&quot;0AC03FFA&quot;/&gt;&lt;wsp:rsid wsp:val=&quot;0ACD78AC&quot;/&gt;&lt;wsp:rsid wsp:val=&quot;0AD07B6D&quot;/&gt;&lt;wsp:rsid wsp:val=&quot;0AD270E3&quot;/&gt;&lt;wsp:rsid wsp:val=&quot;0ADD2F10&quot;/&gt;&lt;wsp:rsid wsp:val=&quot;0AF66371&quot;/&gt;&lt;wsp:rsid wsp:val=&quot;0AF90857&quot;/&gt;&lt;wsp:rsid wsp:val=&quot;0AF9659D&quot;/&gt;&lt;wsp:rsid wsp:val=&quot;0B120D44&quot;/&gt;&lt;wsp:rsid wsp:val=&quot;0B175596&quot;/&gt;&lt;wsp:rsid wsp:val=&quot;0B226757&quot;/&gt;&lt;wsp:rsid wsp:val=&quot;0B261B15&quot;/&gt;&lt;wsp:rsid wsp:val=&quot;0B266447&quot;/&gt;&lt;wsp:rsid wsp:val=&quot;0B281865&quot;/&gt;&lt;wsp:rsid wsp:val=&quot;0B311666&quot;/&gt;&lt;wsp:rsid wsp:val=&quot;0B3A5C79&quot;/&gt;&lt;wsp:rsid wsp:val=&quot;0B4861C2&quot;/&gt;&lt;wsp:rsid wsp:val=&quot;0B5B7503&quot;/&gt;&lt;wsp:rsid wsp:val=&quot;0B5C4D66&quot;/&gt;&lt;wsp:rsid wsp:val=&quot;0B5C6BD2&quot;/&gt;&lt;wsp:rsid wsp:val=&quot;0B603C52&quot;/&gt;&lt;wsp:rsid wsp:val=&quot;0B6536C7&quot;/&gt;&lt;wsp:rsid wsp:val=&quot;0B8826E0&quot;/&gt;&lt;wsp:rsid wsp:val=&quot;0B935833&quot;/&gt;&lt;wsp:rsid wsp:val=&quot;0B967AF2&quot;/&gt;&lt;wsp:rsid wsp:val=&quot;0BAD719E&quot;/&gt;&lt;wsp:rsid wsp:val=&quot;0BAD736F&quot;/&gt;&lt;wsp:rsid wsp:val=&quot;0BB03099&quot;/&gt;&lt;wsp:rsid wsp:val=&quot;0BB81657&quot;/&gt;&lt;wsp:rsid wsp:val=&quot;0BBE689D&quot;/&gt;&lt;wsp:rsid wsp:val=&quot;0BC601BB&quot;/&gt;&lt;wsp:rsid wsp:val=&quot;0BCD40F5&quot;/&gt;&lt;wsp:rsid wsp:val=&quot;0BD27BF6&quot;/&gt;&lt;wsp:rsid wsp:val=&quot;0BDD602E&quot;/&gt;&lt;wsp:rsid wsp:val=&quot;0BEC3448&quot;/&gt;&lt;wsp:rsid wsp:val=&quot;0BF32558&quot;/&gt;&lt;wsp:rsid wsp:val=&quot;0C16622E&quot;/&gt;&lt;wsp:rsid wsp:val=&quot;0C212485&quot;/&gt;&lt;wsp:rsid wsp:val=&quot;0C2958DB&quot;/&gt;&lt;wsp:rsid wsp:val=&quot;0C3B1C9C&quot;/&gt;&lt;wsp:rsid wsp:val=&quot;0C3B3C7D&quot;/&gt;&lt;wsp:rsid wsp:val=&quot;0C3C5A14&quot;/&gt;&lt;wsp:rsid wsp:val=&quot;0C3C77C2&quot;/&gt;&lt;wsp:rsid wsp:val=&quot;0C45530D&quot;/&gt;&lt;wsp:rsid wsp:val=&quot;0C4E254D&quot;/&gt;&lt;wsp:rsid wsp:val=&quot;0C4F589A&quot;/&gt;&lt;wsp:rsid wsp:val=&quot;0C5C1541&quot;/&gt;&lt;wsp:rsid wsp:val=&quot;0C5E1E2E&quot;/&gt;&lt;wsp:rsid wsp:val=&quot;0C5F16C3&quot;/&gt;&lt;wsp:rsid wsp:val=&quot;0C693233&quot;/&gt;&lt;wsp:rsid wsp:val=&quot;0C6E5A7F&quot;/&gt;&lt;wsp:rsid wsp:val=&quot;0C8510A9&quot;/&gt;&lt;wsp:rsid wsp:val=&quot;0C8D240C&quot;/&gt;&lt;wsp:rsid wsp:val=&quot;0C8E48BA&quot;/&gt;&lt;wsp:rsid wsp:val=&quot;0C9142E4&quot;/&gt;&lt;wsp:rsid wsp:val=&quot;0C945ED1&quot;/&gt;&lt;wsp:rsid wsp:val=&quot;0C995829&quot;/&gt;&lt;wsp:rsid wsp:val=&quot;0C9B7791&quot;/&gt;&lt;wsp:rsid wsp:val=&quot;0CA07465&quot;/&gt;&lt;wsp:rsid wsp:val=&quot;0CAA650C&quot;/&gt;&lt;wsp:rsid wsp:val=&quot;0CAB2EAE&quot;/&gt;&lt;wsp:rsid wsp:val=&quot;0CAE32DA&quot;/&gt;&lt;wsp:rsid wsp:val=&quot;0CAF4438&quot;/&gt;&lt;wsp:rsid wsp:val=&quot;0CB06EE6&quot;/&gt;&lt;wsp:rsid wsp:val=&quot;0CB657C6&quot;/&gt;&lt;wsp:rsid wsp:val=&quot;0CC955BE&quot;/&gt;&lt;wsp:rsid wsp:val=&quot;0CCB7012&quot;/&gt;&lt;wsp:rsid wsp:val=&quot;0CD0652F&quot;/&gt;&lt;wsp:rsid wsp:val=&quot;0CF14A50&quot;/&gt;&lt;wsp:rsid wsp:val=&quot;0CF36BC6&quot;/&gt;&lt;wsp:rsid wsp:val=&quot;0CFC6E6F&quot;/&gt;&lt;wsp:rsid wsp:val=&quot;0D2E0579&quot;/&gt;&lt;wsp:rsid wsp:val=&quot;0D2E7F82&quot;/&gt;&lt;wsp:rsid wsp:val=&quot;0D300BCA&quot;/&gt;&lt;wsp:rsid wsp:val=&quot;0D365A4F&quot;/&gt;&lt;wsp:rsid wsp:val=&quot;0D3E1243&quot;/&gt;&lt;wsp:rsid wsp:val=&quot;0D3F27A6&quot;/&gt;&lt;wsp:rsid wsp:val=&quot;0D621C7D&quot;/&gt;&lt;wsp:rsid wsp:val=&quot;0D64395E&quot;/&gt;&lt;wsp:rsid wsp:val=&quot;0D757BE5&quot;/&gt;&lt;wsp:rsid wsp:val=&quot;0D790B08&quot;/&gt;&lt;wsp:rsid wsp:val=&quot;0D7A0C6D&quot;/&gt;&lt;wsp:rsid wsp:val=&quot;0DC7755F&quot;/&gt;&lt;wsp:rsid wsp:val=&quot;0DD1574C&quot;/&gt;&lt;wsp:rsid wsp:val=&quot;0DD66B86&quot;/&gt;&lt;wsp:rsid wsp:val=&quot;0DF10314&quot;/&gt;&lt;wsp:rsid wsp:val=&quot;0DF476ED&quot;/&gt;&lt;wsp:rsid wsp:val=&quot;0DF53A4D&quot;/&gt;&lt;wsp:rsid wsp:val=&quot;0DF82217&quot;/&gt;&lt;wsp:rsid wsp:val=&quot;0DFA0F36&quot;/&gt;&lt;wsp:rsid wsp:val=&quot;0E073BB4&quot;/&gt;&lt;wsp:rsid wsp:val=&quot;0E097122&quot;/&gt;&lt;wsp:rsid wsp:val=&quot;0E130E56&quot;/&gt;&lt;wsp:rsid wsp:val=&quot;0E1511C6&quot;/&gt;&lt;wsp:rsid wsp:val=&quot;0E1E3699&quot;/&gt;&lt;wsp:rsid wsp:val=&quot;0E273648&quot;/&gt;&lt;wsp:rsid wsp:val=&quot;0E2D21FF&quot;/&gt;&lt;wsp:rsid wsp:val=&quot;0E3B2D4D&quot;/&gt;&lt;wsp:rsid wsp:val=&quot;0E3F4250&quot;/&gt;&lt;wsp:rsid wsp:val=&quot;0E41629B&quot;/&gt;&lt;wsp:rsid wsp:val=&quot;0E452D5C&quot;/&gt;&lt;wsp:rsid wsp:val=&quot;0E5B7BBD&quot;/&gt;&lt;wsp:rsid wsp:val=&quot;0E603CE8&quot;/&gt;&lt;wsp:rsid wsp:val=&quot;0E61605E&quot;/&gt;&lt;wsp:rsid wsp:val=&quot;0E6A5E5F&quot;/&gt;&lt;wsp:rsid wsp:val=&quot;0E73034D&quot;/&gt;&lt;wsp:rsid wsp:val=&quot;0E8A6126&quot;/&gt;&lt;wsp:rsid wsp:val=&quot;0EA0380F&quot;/&gt;&lt;wsp:rsid wsp:val=&quot;0EA41D0C&quot;/&gt;&lt;wsp:rsid wsp:val=&quot;0EB2113C&quot;/&gt;&lt;wsp:rsid wsp:val=&quot;0EB43FD8&quot;/&gt;&lt;wsp:rsid wsp:val=&quot;0EB57C1F&quot;/&gt;&lt;wsp:rsid wsp:val=&quot;0ED40186&quot;/&gt;&lt;wsp:rsid wsp:val=&quot;0ED5373C&quot;/&gt;&lt;wsp:rsid wsp:val=&quot;0ED7370D&quot;/&gt;&lt;wsp:rsid wsp:val=&quot;0EDE5AE1&quot;/&gt;&lt;wsp:rsid wsp:val=&quot;0EE95F3F&quot;/&gt;&lt;wsp:rsid wsp:val=&quot;0EF461A4&quot;/&gt;&lt;wsp:rsid wsp:val=&quot;0F066F91&quot;/&gt;&lt;wsp:rsid wsp:val=&quot;0F13775A&quot;/&gt;&lt;wsp:rsid wsp:val=&quot;0F1C3AFD&quot;/&gt;&lt;wsp:rsid wsp:val=&quot;0F200993&quot;/&gt;&lt;wsp:rsid wsp:val=&quot;0F27519E&quot;/&gt;&lt;wsp:rsid wsp:val=&quot;0F2B7005&quot;/&gt;&lt;wsp:rsid wsp:val=&quot;0F313C99&quot;/&gt;&lt;wsp:rsid wsp:val=&quot;0F3944ED&quot;/&gt;&lt;wsp:rsid wsp:val=&quot;0F3B321C&quot;/&gt;&lt;wsp:rsid wsp:val=&quot;0F4A4756&quot;/&gt;&lt;wsp:rsid wsp:val=&quot;0F4C5F6E&quot;/&gt;&lt;wsp:rsid wsp:val=&quot;0F544D4B&quot;/&gt;&lt;wsp:rsid wsp:val=&quot;0F56144B&quot;/&gt;&lt;wsp:rsid wsp:val=&quot;0F5F0DE7&quot;/&gt;&lt;wsp:rsid wsp:val=&quot;0F5F45FE&quot;/&gt;&lt;wsp:rsid wsp:val=&quot;0F694351&quot;/&gt;&lt;wsp:rsid wsp:val=&quot;0F753717&quot;/&gt;&lt;wsp:rsid wsp:val=&quot;0F7B7351&quot;/&gt;&lt;wsp:rsid wsp:val=&quot;0F80586A&quot;/&gt;&lt;wsp:rsid wsp:val=&quot;0F89367B&quot;/&gt;&lt;wsp:rsid wsp:val=&quot;0F9A112B&quot;/&gt;&lt;wsp:rsid wsp:val=&quot;0F9A5187&quot;/&gt;&lt;wsp:rsid wsp:val=&quot;0F9F6761&quot;/&gt;&lt;wsp:rsid wsp:val=&quot;0FAB6543&quot;/&gt;&lt;wsp:rsid wsp:val=&quot;0FAF6A38&quot;/&gt;&lt;wsp:rsid wsp:val=&quot;0FB93B52&quot;/&gt;&lt;wsp:rsid wsp:val=&quot;0FC02755&quot;/&gt;&lt;wsp:rsid wsp:val=&quot;0FC62498&quot;/&gt;&lt;wsp:rsid wsp:val=&quot;0FD4338A&quot;/&gt;&lt;wsp:rsid wsp:val=&quot;0FD85487&quot;/&gt;&lt;wsp:rsid wsp:val=&quot;0FE70717&quot;/&gt;&lt;wsp:rsid wsp:val=&quot;0FEF4DD2&quot;/&gt;&lt;wsp:rsid wsp:val=&quot;0FF20B75&quot;/&gt;&lt;wsp:rsid wsp:val=&quot;10071628&quot;/&gt;&lt;wsp:rsid wsp:val=&quot;101C7C4F&quot;/&gt;&lt;wsp:rsid wsp:val=&quot;101F3C57&quot;/&gt;&lt;wsp:rsid wsp:val=&quot;1031770D&quot;/&gt;&lt;wsp:rsid wsp:val=&quot;10321B70&quot;/&gt;&lt;wsp:rsid wsp:val=&quot;105C26FE&quot;/&gt;&lt;wsp:rsid wsp:val=&quot;10600200&quot;/&gt;&lt;wsp:rsid wsp:val=&quot;106479A7&quot;/&gt;&lt;wsp:rsid wsp:val=&quot;106506CB&quot;/&gt;&lt;wsp:rsid wsp:val=&quot;106644F8&quot;/&gt;&lt;wsp:rsid wsp:val=&quot;106D2F64&quot;/&gt;&lt;wsp:rsid wsp:val=&quot;106E6E32&quot;/&gt;&lt;wsp:rsid wsp:val=&quot;1071369E&quot;/&gt;&lt;wsp:rsid wsp:val=&quot;108B40A6&quot;/&gt;&lt;wsp:rsid wsp:val=&quot;10974261&quot;/&gt;&lt;wsp:rsid wsp:val=&quot;10AD2A61&quot;/&gt;&lt;wsp:rsid wsp:val=&quot;10B342B2&quot;/&gt;&lt;wsp:rsid wsp:val=&quot;10B63710&quot;/&gt;&lt;wsp:rsid wsp:val=&quot;10C70990&quot;/&gt;&lt;wsp:rsid wsp:val=&quot;10CB75E7&quot;/&gt;&lt;wsp:rsid wsp:val=&quot;10CE6EA3&quot;/&gt;&lt;wsp:rsid wsp:val=&quot;10CF134A&quot;/&gt;&lt;wsp:rsid wsp:val=&quot;10D32DF6&quot;/&gt;&lt;wsp:rsid wsp:val=&quot;10DC4692&quot;/&gt;&lt;wsp:rsid wsp:val=&quot;10E37E4C&quot;/&gt;&lt;wsp:rsid wsp:val=&quot;10ED05D2&quot;/&gt;&lt;wsp:rsid wsp:val=&quot;10F10820&quot;/&gt;&lt;wsp:rsid wsp:val=&quot;10F6265B&quot;/&gt;&lt;wsp:rsid wsp:val=&quot;11020FDA&quot;/&gt;&lt;wsp:rsid wsp:val=&quot;11042690&quot;/&gt;&lt;wsp:rsid wsp:val=&quot;1107547A&quot;/&gt;&lt;wsp:rsid wsp:val=&quot;111725AC&quot;/&gt;&lt;wsp:rsid wsp:val=&quot;111C2F7A&quot;/&gt;&lt;wsp:rsid wsp:val=&quot;112C1F8A&quot;/&gt;&lt;wsp:rsid wsp:val=&quot;11396F39&quot;/&gt;&lt;wsp:rsid wsp:val=&quot;114D39DE&quot;/&gt;&lt;wsp:rsid wsp:val=&quot;115C36A2&quot;/&gt;&lt;wsp:rsid wsp:val=&quot;11651279&quot;/&gt;&lt;wsp:rsid wsp:val=&quot;11652B79&quot;/&gt;&lt;wsp:rsid wsp:val=&quot;11665CA1&quot;/&gt;&lt;wsp:rsid wsp:val=&quot;116E32CE&quot;/&gt;&lt;wsp:rsid wsp:val=&quot;1175165C&quot;/&gt;&lt;wsp:rsid wsp:val=&quot;118732D1&quot;/&gt;&lt;wsp:rsid wsp:val=&quot;11887353&quot;/&gt;&lt;wsp:rsid wsp:val=&quot;11914399&quot;/&gt;&lt;wsp:rsid wsp:val=&quot;11B63597&quot;/&gt;&lt;wsp:rsid wsp:val=&quot;11BA3663&quot;/&gt;&lt;wsp:rsid wsp:val=&quot;11D55BD6&quot;/&gt;&lt;wsp:rsid wsp:val=&quot;11E46FC8&quot;/&gt;&lt;wsp:rsid wsp:val=&quot;11E57B67&quot;/&gt;&lt;wsp:rsid wsp:val=&quot;11ED1485&quot;/&gt;&lt;wsp:rsid wsp:val=&quot;11ED1C8A&quot;/&gt;&lt;wsp:rsid wsp:val=&quot;1202429B&quot;/&gt;&lt;wsp:rsid wsp:val=&quot;12057DA5&quot;/&gt;&lt;wsp:rsid wsp:val=&quot;12086AC4&quot;/&gt;&lt;wsp:rsid wsp:val=&quot;120E4BA9&quot;/&gt;&lt;wsp:rsid wsp:val=&quot;1219094E&quot;/&gt;&lt;wsp:rsid wsp:val=&quot;122378EF&quot;/&gt;&lt;wsp:rsid wsp:val=&quot;122704B0&quot;/&gt;&lt;wsp:rsid wsp:val=&quot;122956C0&quot;/&gt;&lt;wsp:rsid wsp:val=&quot;12311DC5&quot;/&gt;&lt;wsp:rsid wsp:val=&quot;123814F3&quot;/&gt;&lt;wsp:rsid wsp:val=&quot;124B52FD&quot;/&gt;&lt;wsp:rsid wsp:val=&quot;125A606E&quot;/&gt;&lt;wsp:rsid wsp:val=&quot;126366EB&quot;/&gt;&lt;wsp:rsid wsp:val=&quot;12860CC6&quot;/&gt;&lt;wsp:rsid wsp:val=&quot;12924750&quot;/&gt;&lt;wsp:rsid wsp:val=&quot;129827BA&quot;/&gt;&lt;wsp:rsid wsp:val=&quot;12A212F9&quot;/&gt;&lt;wsp:rsid wsp:val=&quot;12A422FE&quot;/&gt;&lt;wsp:rsid wsp:val=&quot;12A76051&quot;/&gt;&lt;wsp:rsid wsp:val=&quot;12AE0442&quot;/&gt;&lt;wsp:rsid wsp:val=&quot;12B02336&quot;/&gt;&lt;wsp:rsid wsp:val=&quot;12BF17E3&quot;/&gt;&lt;wsp:rsid wsp:val=&quot;12C27E9C&quot;/&gt;&lt;wsp:rsid wsp:val=&quot;12DF0227&quot;/&gt;&lt;wsp:rsid wsp:val=&quot;12EB15ED&quot;/&gt;&lt;wsp:rsid wsp:val=&quot;12ED29EA&quot;/&gt;&lt;wsp:rsid wsp:val=&quot;12F04091&quot;/&gt;&lt;wsp:rsid wsp:val=&quot;12FB72EE&quot;/&gt;&lt;wsp:rsid wsp:val=&quot;130B6507&quot;/&gt;&lt;wsp:rsid wsp:val=&quot;130D3782&quot;/&gt;&lt;wsp:rsid wsp:val=&quot;131818DD&quot;/&gt;&lt;wsp:rsid wsp:val=&quot;131C5785&quot;/&gt;&lt;wsp:rsid wsp:val=&quot;132E093E&quot;/&gt;&lt;wsp:rsid wsp:val=&quot;133053DB&quot;/&gt;&lt;wsp:rsid wsp:val=&quot;1340200E&quot;/&gt;&lt;wsp:rsid wsp:val=&quot;135F34AD&quot;/&gt;&lt;wsp:rsid wsp:val=&quot;136046DE&quot;/&gt;&lt;wsp:rsid wsp:val=&quot;13687B52&quot;/&gt;&lt;wsp:rsid wsp:val=&quot;137102B1&quot;/&gt;&lt;wsp:rsid wsp:val=&quot;13737F47&quot;/&gt;&lt;wsp:rsid wsp:val=&quot;1377319D&quot;/&gt;&lt;wsp:rsid wsp:val=&quot;137907E4&quot;/&gt;&lt;wsp:rsid wsp:val=&quot;13794673&quot;/&gt;&lt;wsp:rsid wsp:val=&quot;137B5074&quot;/&gt;&lt;wsp:rsid wsp:val=&quot;138278A7&quot;/&gt;&lt;wsp:rsid wsp:val=&quot;13857CA0&quot;/&gt;&lt;wsp:rsid wsp:val=&quot;13945991&quot;/&gt;&lt;wsp:rsid wsp:val=&quot;13951726&quot;/&gt;&lt;wsp:rsid wsp:val=&quot;13A0426F&quot;/&gt;&lt;wsp:rsid wsp:val=&quot;13A32B4B&quot;/&gt;&lt;wsp:rsid wsp:val=&quot;13B3709C&quot;/&gt;&lt;wsp:rsid wsp:val=&quot;13B86154&quot;/&gt;&lt;wsp:rsid wsp:val=&quot;13BD2963&quot;/&gt;&lt;wsp:rsid wsp:val=&quot;13C02EF4&quot;/&gt;&lt;wsp:rsid wsp:val=&quot;13C47005&quot;/&gt;&lt;wsp:rsid wsp:val=&quot;13E156B5&quot;/&gt;&lt;wsp:rsid wsp:val=&quot;13E63412&quot;/&gt;&lt;wsp:rsid wsp:val=&quot;13E85582&quot;/&gt;&lt;wsp:rsid wsp:val=&quot;13F56CD2&quot;/&gt;&lt;wsp:rsid wsp:val=&quot;14092680&quot;/&gt;&lt;wsp:rsid wsp:val=&quot;140A4397&quot;/&gt;&lt;wsp:rsid wsp:val=&quot;142000EF&quot;/&gt;&lt;wsp:rsid wsp:val=&quot;14203868&quot;/&gt;&lt;wsp:rsid wsp:val=&quot;14274196&quot;/&gt;&lt;wsp:rsid wsp:val=&quot;142A0DE6&quot;/&gt;&lt;wsp:rsid wsp:val=&quot;143004E4&quot;/&gt;&lt;wsp:rsid wsp:val=&quot;14317495&quot;/&gt;&lt;wsp:rsid wsp:val=&quot;14396509&quot;/&gt;&lt;wsp:rsid wsp:val=&quot;144C719D&quot;/&gt;&lt;wsp:rsid wsp:val=&quot;14535146&quot;/&gt;&lt;wsp:rsid wsp:val=&quot;14556B66&quot;/&gt;&lt;wsp:rsid wsp:val=&quot;14800AC7&quot;/&gt;&lt;wsp:rsid wsp:val=&quot;14943583&quot;/&gt;&lt;wsp:rsid wsp:val=&quot;149754B9&quot;/&gt;&lt;wsp:rsid wsp:val=&quot;149A5C81&quot;/&gt;&lt;wsp:rsid wsp:val=&quot;149C6A9D&quot;/&gt;&lt;wsp:rsid wsp:val=&quot;14A21ACA&quot;/&gt;&lt;wsp:rsid wsp:val=&quot;14B06F9F&quot;/&gt;&lt;wsp:rsid wsp:val=&quot;14B1001D&quot;/&gt;&lt;wsp:rsid wsp:val=&quot;14B21ED5&quot;/&gt;&lt;wsp:rsid wsp:val=&quot;14B468BF&quot;/&gt;&lt;wsp:rsid wsp:val=&quot;14BB4FFE&quot;/&gt;&lt;wsp:rsid wsp:val=&quot;14BE7911&quot;/&gt;&lt;wsp:rsid wsp:val=&quot;14C159B7&quot;/&gt;&lt;wsp:rsid wsp:val=&quot;14D04A8C&quot;/&gt;&lt;wsp:rsid wsp:val=&quot;14DD2C3C&quot;/&gt;&lt;wsp:rsid wsp:val=&quot;14DF41A7&quot;/&gt;&lt;wsp:rsid wsp:val=&quot;14ED2FA2&quot;/&gt;&lt;wsp:rsid wsp:val=&quot;14F403C4&quot;/&gt;&lt;wsp:rsid wsp:val=&quot;14FA052C&quot;/&gt;&lt;wsp:rsid wsp:val=&quot;150434DB&quot;/&gt;&lt;wsp:rsid wsp:val=&quot;150762FA&quot;/&gt;&lt;wsp:rsid wsp:val=&quot;15086F25&quot;/&gt;&lt;wsp:rsid wsp:val=&quot;150C68CB&quot;/&gt;&lt;wsp:rsid wsp:val=&quot;15174A12&quot;/&gt;&lt;wsp:rsid wsp:val=&quot;15207CA7&quot;/&gt;&lt;wsp:rsid wsp:val=&quot;15310BD3&quot;/&gt;&lt;wsp:rsid wsp:val=&quot;153C0833&quot;/&gt;&lt;wsp:rsid wsp:val=&quot;154100F2&quot;/&gt;&lt;wsp:rsid wsp:val=&quot;1545378E&quot;/&gt;&lt;wsp:rsid wsp:val=&quot;1569348C&quot;/&gt;&lt;wsp:rsid wsp:val=&quot;15772007&quot;/&gt;&lt;wsp:rsid wsp:val=&quot;157F16A7&quot;/&gt;&lt;wsp:rsid wsp:val=&quot;158524FB&quot;/&gt;&lt;wsp:rsid wsp:val=&quot;158535D9&quot;/&gt;&lt;wsp:rsid wsp:val=&quot;15886C71&quot;/&gt;&lt;wsp:rsid wsp:val=&quot;159B3BA0&quot;/&gt;&lt;wsp:rsid wsp:val=&quot;15A029A0&quot;/&gt;&lt;wsp:rsid wsp:val=&quot;15AF7257&quot;/&gt;&lt;wsp:rsid wsp:val=&quot;15B16E75&quot;/&gt;&lt;wsp:rsid wsp:val=&quot;15B50D11&quot;/&gt;&lt;wsp:rsid wsp:val=&quot;15B94EFC&quot;/&gt;&lt;wsp:rsid wsp:val=&quot;15DF4B06&quot;/&gt;&lt;wsp:rsid wsp:val=&quot;15F874DA&quot;/&gt;&lt;wsp:rsid wsp:val=&quot;15FB06EE&quot;/&gt;&lt;wsp:rsid wsp:val=&quot;15FC7BB6&quot;/&gt;&lt;wsp:rsid wsp:val=&quot;16087E1D&quot;/&gt;&lt;wsp:rsid wsp:val=&quot;160D0852&quot;/&gt;&lt;wsp:rsid wsp:val=&quot;1621268B&quot;/&gt;&lt;wsp:rsid wsp:val=&quot;164576A5&quot;/&gt;&lt;wsp:rsid wsp:val=&quot;16521297&quot;/&gt;&lt;wsp:rsid wsp:val=&quot;16575097&quot;/&gt;&lt;wsp:rsid wsp:val=&quot;165D4F05&quot;/&gt;&lt;wsp:rsid wsp:val=&quot;165F0C7D&quot;/&gt;&lt;wsp:rsid wsp:val=&quot;166D3216&quot;/&gt;&lt;wsp:rsid wsp:val=&quot;16726F3A&quot;/&gt;&lt;wsp:rsid wsp:val=&quot;16747042&quot;/&gt;&lt;wsp:rsid wsp:val=&quot;168A3354&quot;/&gt;&lt;wsp:rsid wsp:val=&quot;16911A59&quot;/&gt;&lt;wsp:rsid wsp:val=&quot;169215C3&quot;/&gt;&lt;wsp:rsid wsp:val=&quot;169E363E&quot;/&gt;&lt;wsp:rsid wsp:val=&quot;16AD19E8&quot;/&gt;&lt;wsp:rsid wsp:val=&quot;16BB3FDC&quot;/&gt;&lt;wsp:rsid wsp:val=&quot;16BC1C2B&quot;/&gt;&lt;wsp:rsid wsp:val=&quot;16C85DFC&quot;/&gt;&lt;wsp:rsid wsp:val=&quot;16CC0BBD&quot;/&gt;&lt;wsp:rsid wsp:val=&quot;16D00D0B&quot;/&gt;&lt;wsp:rsid wsp:val=&quot;16D82219&quot;/&gt;&lt;wsp:rsid wsp:val=&quot;16F276F4&quot;/&gt;&lt;wsp:rsid wsp:val=&quot;171F032B&quot;/&gt;&lt;wsp:rsid wsp:val=&quot;17312975&quot;/&gt;&lt;wsp:rsid wsp:val=&quot;17442033&quot;/&gt;&lt;wsp:rsid wsp:val=&quot;175975AE&quot;/&gt;&lt;wsp:rsid wsp:val=&quot;17701D14&quot;/&gt;&lt;wsp:rsid wsp:val=&quot;17712A16&quot;/&gt;&lt;wsp:rsid wsp:val=&quot;17735226&quot;/&gt;&lt;wsp:rsid wsp:val=&quot;17747262&quot;/&gt;&lt;wsp:rsid wsp:val=&quot;1776627E&quot;/&gt;&lt;wsp:rsid wsp:val=&quot;17815E61&quot;/&gt;&lt;wsp:rsid wsp:val=&quot;17847F27&quot;/&gt;&lt;wsp:rsid wsp:val=&quot;178E7A6B&quot;/&gt;&lt;wsp:rsid wsp:val=&quot;179863F9&quot;/&gt;&lt;wsp:rsid wsp:val=&quot;179F680B&quot;/&gt;&lt;wsp:rsid wsp:val=&quot;17AE6BD0&quot;/&gt;&lt;wsp:rsid wsp:val=&quot;17B23B01&quot;/&gt;&lt;wsp:rsid wsp:val=&quot;17C43DD0&quot;/&gt;&lt;wsp:rsid wsp:val=&quot;17CF2CA2&quot;/&gt;&lt;wsp:rsid wsp:val=&quot;17D450E5&quot;/&gt;&lt;wsp:rsid wsp:val=&quot;17ED0F68&quot;/&gt;&lt;wsp:rsid wsp:val=&quot;18040C2B&quot;/&gt;&lt;wsp:rsid wsp:val=&quot;180C3847&quot;/&gt;&lt;wsp:rsid wsp:val=&quot;18195EE5&quot;/&gt;&lt;wsp:rsid wsp:val=&quot;18432AE4&quot;/&gt;&lt;wsp:rsid wsp:val=&quot;18450C4A&quot;/&gt;&lt;wsp:rsid wsp:val=&quot;18504D21&quot;/&gt;&lt;wsp:rsid wsp:val=&quot;186009A9&quot;/&gt;&lt;wsp:rsid wsp:val=&quot;187071D6&quot;/&gt;&lt;wsp:rsid wsp:val=&quot;189F624C&quot;/&gt;&lt;wsp:rsid wsp:val=&quot;18B007A0&quot;/&gt;&lt;wsp:rsid wsp:val=&quot;18B20022&quot;/&gt;&lt;wsp:rsid wsp:val=&quot;18B37427&quot;/&gt;&lt;wsp:rsid wsp:val=&quot;18C52659&quot;/&gt;&lt;wsp:rsid wsp:val=&quot;18D22DC9&quot;/&gt;&lt;wsp:rsid wsp:val=&quot;18EC6D50&quot;/&gt;&lt;wsp:rsid wsp:val=&quot;19050D46&quot;/&gt;&lt;wsp:rsid wsp:val=&quot;190C1655&quot;/&gt;&lt;wsp:rsid wsp:val=&quot;190D676E&quot;/&gt;&lt;wsp:rsid wsp:val=&quot;190E154D&quot;/&gt;&lt;wsp:rsid wsp:val=&quot;193E7D91&quot;/&gt;&lt;wsp:rsid wsp:val=&quot;194211B8&quot;/&gt;&lt;wsp:rsid wsp:val=&quot;19431011&quot;/&gt;&lt;wsp:rsid wsp:val=&quot;194F2C9C&quot;/&gt;&lt;wsp:rsid wsp:val=&quot;19513E30&quot;/&gt;&lt;wsp:rsid wsp:val=&quot;195C47F1&quot;/&gt;&lt;wsp:rsid wsp:val=&quot;196A6D50&quot;/&gt;&lt;wsp:rsid wsp:val=&quot;19740EDD&quot;/&gt;&lt;wsp:rsid wsp:val=&quot;19842055&quot;/&gt;&lt;wsp:rsid wsp:val=&quot;198509FA&quot;/&gt;&lt;wsp:rsid wsp:val=&quot;198C77AA&quot;/&gt;&lt;wsp:rsid wsp:val=&quot;199307E0&quot;/&gt;&lt;wsp:rsid wsp:val=&quot;1999384E&quot;/&gt;&lt;wsp:rsid wsp:val=&quot;199A412C&quot;/&gt;&lt;wsp:rsid wsp:val=&quot;199D12B8&quot;/&gt;&lt;wsp:rsid wsp:val=&quot;199E4754&quot;/&gt;&lt;wsp:rsid wsp:val=&quot;19B03582&quot;/&gt;&lt;wsp:rsid wsp:val=&quot;19BB441C&quot;/&gt;&lt;wsp:rsid wsp:val=&quot;19CD0351&quot;/&gt;&lt;wsp:rsid wsp:val=&quot;19DE1A34&quot;/&gt;&lt;wsp:rsid wsp:val=&quot;1A00078C&quot;/&gt;&lt;wsp:rsid wsp:val=&quot;1A016203&quot;/&gt;&lt;wsp:rsid wsp:val=&quot;1A051A3A&quot;/&gt;&lt;wsp:rsid wsp:val=&quot;1A160D20&quot;/&gt;&lt;wsp:rsid wsp:val=&quot;1A1C66C0&quot;/&gt;&lt;wsp:rsid wsp:val=&quot;1A330D04&quot;/&gt;&lt;wsp:rsid wsp:val=&quot;1A42393B&quot;/&gt;&lt;wsp:rsid wsp:val=&quot;1A514215&quot;/&gt;&lt;wsp:rsid wsp:val=&quot;1A55773C&quot;/&gt;&lt;wsp:rsid wsp:val=&quot;1A562525&quot;/&gt;&lt;wsp:rsid wsp:val=&quot;1A590D77&quot;/&gt;&lt;wsp:rsid wsp:val=&quot;1A7B442B&quot;/&gt;&lt;wsp:rsid wsp:val=&quot;1A8633F1&quot;/&gt;&lt;wsp:rsid wsp:val=&quot;1A8B538A&quot;/&gt;&lt;wsp:rsid wsp:val=&quot;1A9218A4&quot;/&gt;&lt;wsp:rsid wsp:val=&quot;1A944C90&quot;/&gt;&lt;wsp:rsid wsp:val=&quot;1A957B19&quot;/&gt;&lt;wsp:rsid wsp:val=&quot;1A9B53E1&quot;/&gt;&lt;wsp:rsid wsp:val=&quot;1A9C29CA&quot;/&gt;&lt;wsp:rsid wsp:val=&quot;1AAD45DE&quot;/&gt;&lt;wsp:rsid wsp:val=&quot;1AB56233&quot;/&gt;&lt;wsp:rsid wsp:val=&quot;1ABA7CDE&quot;/&gt;&lt;wsp:rsid wsp:val=&quot;1AC13CB4&quot;/&gt;&lt;wsp:rsid wsp:val=&quot;1AC3589B&quot;/&gt;&lt;wsp:rsid wsp:val=&quot;1AC55086&quot;/&gt;&lt;wsp:rsid wsp:val=&quot;1AC7676F&quot;/&gt;&lt;wsp:rsid wsp:val=&quot;1AF3742E&quot;/&gt;&lt;wsp:rsid wsp:val=&quot;1AF61F4B&quot;/&gt;&lt;wsp:rsid wsp:val=&quot;1B012302&quot;/&gt;&lt;wsp:rsid wsp:val=&quot;1B037A24&quot;/&gt;&lt;wsp:rsid wsp:val=&quot;1B046F80&quot;/&gt;&lt;wsp:rsid wsp:val=&quot;1B050FBF&quot;/&gt;&lt;wsp:rsid wsp:val=&quot;1B116090&quot;/&gt;&lt;wsp:rsid wsp:val=&quot;1B1F46F8&quot;/&gt;&lt;wsp:rsid wsp:val=&quot;1B306F48&quot;/&gt;&lt;wsp:rsid wsp:val=&quot;1B3267B5&quot;/&gt;&lt;wsp:rsid wsp:val=&quot;1B375E27&quot;/&gt;&lt;wsp:rsid wsp:val=&quot;1B40161D&quot;/&gt;&lt;wsp:rsid wsp:val=&quot;1B441859&quot;/&gt;&lt;wsp:rsid wsp:val=&quot;1B4A4407&quot;/&gt;&lt;wsp:rsid wsp:val=&quot;1B59385D&quot;/&gt;&lt;wsp:rsid wsp:val=&quot;1B6606B1&quot;/&gt;&lt;wsp:rsid wsp:val=&quot;1B6D458B&quot;/&gt;&lt;wsp:rsid wsp:val=&quot;1B862807&quot;/&gt;&lt;wsp:rsid wsp:val=&quot;1B972F8F&quot;/&gt;&lt;wsp:rsid wsp:val=&quot;1BA01B1B&quot;/&gt;&lt;wsp:rsid wsp:val=&quot;1BC9461E&quot;/&gt;&lt;wsp:rsid wsp:val=&quot;1BD17F21&quot;/&gt;&lt;wsp:rsid wsp:val=&quot;1BD85AE7&quot;/&gt;&lt;wsp:rsid wsp:val=&quot;1BEC0C78&quot;/&gt;&lt;wsp:rsid wsp:val=&quot;1BEE3E47&quot;/&gt;&lt;wsp:rsid wsp:val=&quot;1BF07270&quot;/&gt;&lt;wsp:rsid wsp:val=&quot;1C0336D1&quot;/&gt;&lt;wsp:rsid wsp:val=&quot;1C093B64&quot;/&gt;&lt;wsp:rsid wsp:val=&quot;1C1F5A71&quot;/&gt;&lt;wsp:rsid wsp:val=&quot;1C270C0B&quot;/&gt;&lt;wsp:rsid wsp:val=&quot;1C287951&quot;/&gt;&lt;wsp:rsid wsp:val=&quot;1C295FB5&quot;/&gt;&lt;wsp:rsid wsp:val=&quot;1C321B2D&quot;/&gt;&lt;wsp:rsid wsp:val=&quot;1C38387E&quot;/&gt;&lt;wsp:rsid wsp:val=&quot;1C3B1E4A&quot;/&gt;&lt;wsp:rsid wsp:val=&quot;1C5D7A0C&quot;/&gt;&lt;wsp:rsid wsp:val=&quot;1C5E7925&quot;/&gt;&lt;wsp:rsid wsp:val=&quot;1C6B5EFC&quot;/&gt;&lt;wsp:rsid wsp:val=&quot;1C770118&quot;/&gt;&lt;wsp:rsid wsp:val=&quot;1C7A05B3&quot;/&gt;&lt;wsp:rsid wsp:val=&quot;1C846CE0&quot;/&gt;&lt;wsp:rsid wsp:val=&quot;1C8A5EF2&quot;/&gt;&lt;wsp:rsid wsp:val=&quot;1C933604&quot;/&gt;&lt;wsp:rsid wsp:val=&quot;1CA405FC&quot;/&gt;&lt;wsp:rsid wsp:val=&quot;1CA728DC&quot;/&gt;&lt;wsp:rsid wsp:val=&quot;1CA8621F&quot;/&gt;&lt;wsp:rsid wsp:val=&quot;1CAD7B05&quot;/&gt;&lt;wsp:rsid wsp:val=&quot;1CC6321C&quot;/&gt;&lt;wsp:rsid wsp:val=&quot;1CC92914&quot;/&gt;&lt;wsp:rsid wsp:val=&quot;1CCC69B1&quot;/&gt;&lt;wsp:rsid wsp:val=&quot;1CD53BD4&quot;/&gt;&lt;wsp:rsid wsp:val=&quot;1CE647D7&quot;/&gt;&lt;wsp:rsid wsp:val=&quot;1CF2667B&quot;/&gt;&lt;wsp:rsid wsp:val=&quot;1CF87735&quot;/&gt;&lt;wsp:rsid wsp:val=&quot;1CFD070F&quot;/&gt;&lt;wsp:rsid wsp:val=&quot;1CFF1F9E&quot;/&gt;&lt;wsp:rsid wsp:val=&quot;1D023EDC&quot;/&gt;&lt;wsp:rsid wsp:val=&quot;1D070006&quot;/&gt;&lt;wsp:rsid wsp:val=&quot;1D174D78&quot;/&gt;&lt;wsp:rsid wsp:val=&quot;1D196CB1&quot;/&gt;&lt;wsp:rsid wsp:val=&quot;1D2A0508&quot;/&gt;&lt;wsp:rsid wsp:val=&quot;1D2D3883&quot;/&gt;&lt;wsp:rsid wsp:val=&quot;1D2F096E&quot;/&gt;&lt;wsp:rsid wsp:val=&quot;1D341E3F&quot;/&gt;&lt;wsp:rsid wsp:val=&quot;1D467181&quot;/&gt;&lt;wsp:rsid wsp:val=&quot;1D4E17D6&quot;/&gt;&lt;wsp:rsid wsp:val=&quot;1D5F6196&quot;/&gt;&lt;wsp:rsid wsp:val=&quot;1D6132A5&quot;/&gt;&lt;wsp:rsid wsp:val=&quot;1D700511&quot;/&gt;&lt;wsp:rsid wsp:val=&quot;1D7F0C25&quot;/&gt;&lt;wsp:rsid wsp:val=&quot;1D847A9F&quot;/&gt;&lt;wsp:rsid wsp:val=&quot;1D8E56D5&quot;/&gt;&lt;wsp:rsid wsp:val=&quot;1D966598&quot;/&gt;&lt;wsp:rsid wsp:val=&quot;1DAB6F5C&quot;/&gt;&lt;wsp:rsid wsp:val=&quot;1DC75D4E&quot;/&gt;&lt;wsp:rsid wsp:val=&quot;1DEE6320&quot;/&gt;&lt;wsp:rsid wsp:val=&quot;1DF73E77&quot;/&gt;&lt;wsp:rsid wsp:val=&quot;1DFE0D7B&quot;/&gt;&lt;wsp:rsid wsp:val=&quot;1E0F24D3&quot;/&gt;&lt;wsp:rsid wsp:val=&quot;1E214A6A&quot;/&gt;&lt;wsp:rsid wsp:val=&quot;1E281593&quot;/&gt;&lt;wsp:rsid wsp:val=&quot;1E287FFD&quot;/&gt;&lt;wsp:rsid wsp:val=&quot;1E2E6C0A&quot;/&gt;&lt;wsp:rsid wsp:val=&quot;1E540E95&quot;/&gt;&lt;wsp:rsid wsp:val=&quot;1E5E43FA&quot;/&gt;&lt;wsp:rsid wsp:val=&quot;1E6E3399&quot;/&gt;&lt;wsp:rsid wsp:val=&quot;1E7554E1&quot;/&gt;&lt;wsp:rsid wsp:val=&quot;1E7A43DA&quot;/&gt;&lt;wsp:rsid wsp:val=&quot;1EA60DF3&quot;/&gt;&lt;wsp:rsid wsp:val=&quot;1EA7437F&quot;/&gt;&lt;wsp:rsid wsp:val=&quot;1EAC2CCC&quot;/&gt;&lt;wsp:rsid wsp:val=&quot;1EC06E15&quot;/&gt;&lt;wsp:rsid wsp:val=&quot;1EC43D73&quot;/&gt;&lt;wsp:rsid wsp:val=&quot;1EE23A3E&quot;/&gt;&lt;wsp:rsid wsp:val=&quot;1EF63FB1&quot;/&gt;&lt;wsp:rsid wsp:val=&quot;1F003C67&quot;/&gt;&lt;wsp:rsid wsp:val=&quot;1F0B2A59&quot;/&gt;&lt;wsp:rsid wsp:val=&quot;1F1D18F8&quot;/&gt;&lt;wsp:rsid wsp:val=&quot;1F2E5B25&quot;/&gt;&lt;wsp:rsid wsp:val=&quot;1F440FEC&quot;/&gt;&lt;wsp:rsid wsp:val=&quot;1F4535CA&quot;/&gt;&lt;wsp:rsid wsp:val=&quot;1F464788&quot;/&gt;&lt;wsp:rsid wsp:val=&quot;1F466B8E&quot;/&gt;&lt;wsp:rsid wsp:val=&quot;1F5922CD&quot;/&gt;&lt;wsp:rsid wsp:val=&quot;1F5D0377&quot;/&gt;&lt;wsp:rsid wsp:val=&quot;1F691053&quot;/&gt;&lt;wsp:rsid wsp:val=&quot;1F706448&quot;/&gt;&lt;wsp:rsid wsp:val=&quot;1F7C1C02&quot;/&gt;&lt;wsp:rsid wsp:val=&quot;1F833C2E&quot;/&gt;&lt;wsp:rsid wsp:val=&quot;1F9724F7&quot;/&gt;&lt;wsp:rsid wsp:val=&quot;1FA26D58&quot;/&gt;&lt;wsp:rsid wsp:val=&quot;1FB5074C&quot;/&gt;&lt;wsp:rsid wsp:val=&quot;1FB630C3&quot;/&gt;&lt;wsp:rsid wsp:val=&quot;1FBD5D8B&quot;/&gt;&lt;wsp:rsid wsp:val=&quot;1FC65CDC&quot;/&gt;&lt;wsp:rsid wsp:val=&quot;1FC71FED&quot;/&gt;&lt;wsp:rsid wsp:val=&quot;1FC872B2&quot;/&gt;&lt;wsp:rsid wsp:val=&quot;1FD16DFB&quot;/&gt;&lt;wsp:rsid wsp:val=&quot;1FD62287&quot;/&gt;&lt;wsp:rsid wsp:val=&quot;1FD733A4&quot;/&gt;&lt;wsp:rsid wsp:val=&quot;1FDA5AC0&quot;/&gt;&lt;wsp:rsid wsp:val=&quot;1FE67D19&quot;/&gt;&lt;wsp:rsid wsp:val=&quot;1FE7539E&quot;/&gt;&lt;wsp:rsid wsp:val=&quot;1FF80DC1&quot;/&gt;&lt;wsp:rsid wsp:val=&quot;20054643&quot;/&gt;&lt;wsp:rsid wsp:val=&quot;200B54FA&quot;/&gt;&lt;wsp:rsid wsp:val=&quot;200D1749&quot;/&gt;&lt;wsp:rsid wsp:val=&quot;20125FC6&quot;/&gt;&lt;wsp:rsid wsp:val=&quot;202446F2&quot;/&gt;&lt;wsp:rsid wsp:val=&quot;20371552&quot;/&gt;&lt;wsp:rsid wsp:val=&quot;20387145&quot;/&gt;&lt;wsp:rsid wsp:val=&quot;204774D6&quot;/&gt;&lt;wsp:rsid wsp:val=&quot;204868B6&quot;/&gt;&lt;wsp:rsid wsp:val=&quot;20497F32&quot;/&gt;&lt;wsp:rsid wsp:val=&quot;20671BE0&quot;/&gt;&lt;wsp:rsid wsp:val=&quot;206C15D3&quot;/&gt;&lt;wsp:rsid wsp:val=&quot;206F41B2&quot;/&gt;&lt;wsp:rsid wsp:val=&quot;20717138&quot;/&gt;&lt;wsp:rsid wsp:val=&quot;20833237&quot;/&gt;&lt;wsp:rsid wsp:val=&quot;209033B2&quot;/&gt;&lt;wsp:rsid wsp:val=&quot;20960038&quot;/&gt;&lt;wsp:rsid wsp:val=&quot;20963CB8&quot;/&gt;&lt;wsp:rsid wsp:val=&quot;209A67D6&quot;/&gt;&lt;wsp:rsid wsp:val=&quot;20A81A1B&quot;/&gt;&lt;wsp:rsid wsp:val=&quot;20B07FB6&quot;/&gt;&lt;wsp:rsid wsp:val=&quot;20B45481&quot;/&gt;&lt;wsp:rsid wsp:val=&quot;20B646FB&quot;/&gt;&lt;wsp:rsid wsp:val=&quot;20BE2A44&quot;/&gt;&lt;wsp:rsid wsp:val=&quot;20BE6BF2&quot;/&gt;&lt;wsp:rsid wsp:val=&quot;20C17568&quot;/&gt;&lt;wsp:rsid wsp:val=&quot;20C22527&quot;/&gt;&lt;wsp:rsid wsp:val=&quot;20D0289E&quot;/&gt;&lt;wsp:rsid wsp:val=&quot;20D14CA2&quot;/&gt;&lt;wsp:rsid wsp:val=&quot;20D47DF7&quot;/&gt;&lt;wsp:rsid wsp:val=&quot;20D557D0&quot;/&gt;&lt;wsp:rsid wsp:val=&quot;20E35926&quot;/&gt;&lt;wsp:rsid wsp:val=&quot;20F2334A&quot;/&gt;&lt;wsp:rsid wsp:val=&quot;211D776A&quot;/&gt;&lt;wsp:rsid wsp:val=&quot;21233D21&quot;/&gt;&lt;wsp:rsid wsp:val=&quot;2128107A&quot;/&gt;&lt;wsp:rsid wsp:val=&quot;212928C2&quot;/&gt;&lt;wsp:rsid wsp:val=&quot;21380A48&quot;/&gt;&lt;wsp:rsid wsp:val=&quot;213B74B1&quot;/&gt;&lt;wsp:rsid wsp:val=&quot;214E3FB8&quot;/&gt;&lt;wsp:rsid wsp:val=&quot;215A2310&quot;/&gt;&lt;wsp:rsid wsp:val=&quot;21605E07&quot;/&gt;&lt;wsp:rsid wsp:val=&quot;216160F5&quot;/&gt;&lt;wsp:rsid wsp:val=&quot;216C336E&quot;/&gt;&lt;wsp:rsid wsp:val=&quot;217B15C6&quot;/&gt;&lt;wsp:rsid wsp:val=&quot;217E1DC6&quot;/&gt;&lt;wsp:rsid wsp:val=&quot;21815F4B&quot;/&gt;&lt;wsp:rsid wsp:val=&quot;21956CD9&quot;/&gt;&lt;wsp:rsid wsp:val=&quot;21B01F85&quot;/&gt;&lt;wsp:rsid wsp:val=&quot;21C06674&quot;/&gt;&lt;wsp:rsid wsp:val=&quot;21D0194F&quot;/&gt;&lt;wsp:rsid wsp:val=&quot;21D02BB9&quot;/&gt;&lt;wsp:rsid wsp:val=&quot;21DE318A&quot;/&gt;&lt;wsp:rsid wsp:val=&quot;21E35474&quot;/&gt;&lt;wsp:rsid wsp:val=&quot;21E85435&quot;/&gt;&lt;wsp:rsid wsp:val=&quot;21EF5B80&quot;/&gt;&lt;wsp:rsid wsp:val=&quot;21F826DC&quot;/&gt;&lt;wsp:rsid wsp:val=&quot;21FD72EB&quot;/&gt;&lt;wsp:rsid wsp:val=&quot;2210584F&quot;/&gt;&lt;wsp:rsid wsp:val=&quot;22192038&quot;/&gt;&lt;wsp:rsid wsp:val=&quot;22205764&quot;/&gt;&lt;wsp:rsid wsp:val=&quot;22364A43&quot;/&gt;&lt;wsp:rsid wsp:val=&quot;223918D0&quot;/&gt;&lt;wsp:rsid wsp:val=&quot;22405576&quot;/&gt;&lt;wsp:rsid wsp:val=&quot;224A27E1&quot;/&gt;&lt;wsp:rsid wsp:val=&quot;224A4B29&quot;/&gt;&lt;wsp:rsid wsp:val=&quot;22576990&quot;/&gt;&lt;wsp:rsid wsp:val=&quot;227275E7&quot;/&gt;&lt;wsp:rsid wsp:val=&quot;227D3FD8&quot;/&gt;&lt;wsp:rsid wsp:val=&quot;227E4FC4&quot;/&gt;&lt;wsp:rsid wsp:val=&quot;228A7172&quot;/&gt;&lt;wsp:rsid wsp:val=&quot;228D5F39&quot;/&gt;&lt;wsp:rsid wsp:val=&quot;22967B1A&quot;/&gt;&lt;wsp:rsid wsp:val=&quot;229A609C&quot;/&gt;&lt;wsp:rsid wsp:val=&quot;229E04B3&quot;/&gt;&lt;wsp:rsid wsp:val=&quot;22C17AA4&quot;/&gt;&lt;wsp:rsid wsp:val=&quot;22C34052&quot;/&gt;&lt;wsp:rsid wsp:val=&quot;22CA3FDB&quot;/&gt;&lt;wsp:rsid wsp:val=&quot;22D55C00&quot;/&gt;&lt;wsp:rsid wsp:val=&quot;22D87DED&quot;/&gt;&lt;wsp:rsid wsp:val=&quot;22D90822&quot;/&gt;&lt;wsp:rsid wsp:val=&quot;22D93B65&quot;/&gt;&lt;wsp:rsid wsp:val=&quot;22F47480&quot;/&gt;&lt;wsp:rsid wsp:val=&quot;22FD3A46&quot;/&gt;&lt;wsp:rsid wsp:val=&quot;231357A3&quot;/&gt;&lt;wsp:rsid wsp:val=&quot;23152DEF&quot;/&gt;&lt;wsp:rsid wsp:val=&quot;231C564A&quot;/&gt;&lt;wsp:rsid wsp:val=&quot;232112C0&quot;/&gt;&lt;wsp:rsid wsp:val=&quot;232C3D87&quot;/&gt;&lt;wsp:rsid wsp:val=&quot;2332644A&quot;/&gt;&lt;wsp:rsid wsp:val=&quot;23362386&quot;/&gt;&lt;wsp:rsid wsp:val=&quot;233B581D&quot;/&gt;&lt;wsp:rsid wsp:val=&quot;23413EFC&quot;/&gt;&lt;wsp:rsid wsp:val=&quot;236A568F&quot;/&gt;&lt;wsp:rsid wsp:val=&quot;237F5DD2&quot;/&gt;&lt;wsp:rsid wsp:val=&quot;2386058B&quot;/&gt;&lt;wsp:rsid wsp:val=&quot;2396098A&quot;/&gt;&lt;wsp:rsid wsp:val=&quot;239C418A&quot;/&gt;&lt;wsp:rsid wsp:val=&quot;23A91789&quot;/&gt;&lt;wsp:rsid wsp:val=&quot;23BA593D&quot;/&gt;&lt;wsp:rsid wsp:val=&quot;23D71DF9&quot;/&gt;&lt;wsp:rsid wsp:val=&quot;23DE1C48&quot;/&gt;&lt;wsp:rsid wsp:val=&quot;23DE4E85&quot;/&gt;&lt;wsp:rsid wsp:val=&quot;23EF3D6B&quot;/&gt;&lt;wsp:rsid wsp:val=&quot;23FC3FB0&quot;/&gt;&lt;wsp:rsid wsp:val=&quot;24002495&quot;/&gt;&lt;wsp:rsid wsp:val=&quot;240210CD&quot;/&gt;&lt;wsp:rsid wsp:val=&quot;24036245&quot;/&gt;&lt;wsp:rsid wsp:val=&quot;24066307&quot;/&gt;&lt;wsp:rsid wsp:val=&quot;241E57EC&quot;/&gt;&lt;wsp:rsid wsp:val=&quot;2423211D&quot;/&gt;&lt;wsp:rsid wsp:val=&quot;2441701A&quot;/&gt;&lt;wsp:rsid wsp:val=&quot;24474D96&quot;/&gt;&lt;wsp:rsid wsp:val=&quot;24510F3D&quot;/&gt;&lt;wsp:rsid wsp:val=&quot;245C61AD&quot;/&gt;&lt;wsp:rsid wsp:val=&quot;24686E21&quot;/&gt;&lt;wsp:rsid wsp:val=&quot;246C1AE0&quot;/&gt;&lt;wsp:rsid wsp:val=&quot;24793295&quot;/&gt;&lt;wsp:rsid wsp:val=&quot;247A6377&quot;/&gt;&lt;wsp:rsid wsp:val=&quot;247C4FA9&quot;/&gt;&lt;wsp:rsid wsp:val=&quot;2490778D&quot;/&gt;&lt;wsp:rsid wsp:val=&quot;249105C6&quot;/&gt;&lt;wsp:rsid wsp:val=&quot;249839F6&quot;/&gt;&lt;wsp:rsid wsp:val=&quot;24A46A52&quot;/&gt;&lt;wsp:rsid wsp:val=&quot;24A61A0D&quot;/&gt;&lt;wsp:rsid wsp:val=&quot;24AA7D46&quot;/&gt;&lt;wsp:rsid wsp:val=&quot;24AB2341&quot;/&gt;&lt;wsp:rsid wsp:val=&quot;24AD7AD8&quot;/&gt;&lt;wsp:rsid wsp:val=&quot;24BF09F7&quot;/&gt;&lt;wsp:rsid wsp:val=&quot;24C004BA&quot;/&gt;&lt;wsp:rsid wsp:val=&quot;24DC4ABB&quot;/&gt;&lt;wsp:rsid wsp:val=&quot;24EC0364&quot;/&gt;&lt;wsp:rsid wsp:val=&quot;24FC6017&quot;/&gt;&lt;wsp:rsid wsp:val=&quot;250E6306&quot;/&gt;&lt;wsp:rsid wsp:val=&quot;252D53FE&quot;/&gt;&lt;wsp:rsid wsp:val=&quot;25327760&quot;/&gt;&lt;wsp:rsid wsp:val=&quot;25357778&quot;/&gt;&lt;wsp:rsid wsp:val=&quot;253F1FD5&quot;/&gt;&lt;wsp:rsid wsp:val=&quot;25410910&quot;/&gt;&lt;wsp:rsid wsp:val=&quot;25421498&quot;/&gt;&lt;wsp:rsid wsp:val=&quot;254C7B3B&quot;/&gt;&lt;wsp:rsid wsp:val=&quot;255A41D7&quot;/&gt;&lt;wsp:rsid wsp:val=&quot;255E1237&quot;/&gt;&lt;wsp:rsid wsp:val=&quot;25610E73&quot;/&gt;&lt;wsp:rsid wsp:val=&quot;256C334F&quot;/&gt;&lt;wsp:rsid wsp:val=&quot;257C4E96&quot;/&gt;&lt;wsp:rsid wsp:val=&quot;25816870&quot;/&gt;&lt;wsp:rsid wsp:val=&quot;25817C3A&quot;/&gt;&lt;wsp:rsid wsp:val=&quot;25853AE4&quot;/&gt;&lt;wsp:rsid wsp:val=&quot;258F7B51&quot;/&gt;&lt;wsp:rsid wsp:val=&quot;25983CBD&quot;/&gt;&lt;wsp:rsid wsp:val=&quot;259B61F1&quot;/&gt;&lt;wsp:rsid wsp:val=&quot;259C372B&quot;/&gt;&lt;wsp:rsid wsp:val=&quot;25B36038&quot;/&gt;&lt;wsp:rsid wsp:val=&quot;25C57790&quot;/&gt;&lt;wsp:rsid wsp:val=&quot;25C669C8&quot;/&gt;&lt;wsp:rsid wsp:val=&quot;25E16085&quot;/&gt;&lt;wsp:rsid wsp:val=&quot;25EC2D81&quot;/&gt;&lt;wsp:rsid wsp:val=&quot;25F202D7&quot;/&gt;&lt;wsp:rsid wsp:val=&quot;2603754F&quot;/&gt;&lt;wsp:rsid wsp:val=&quot;26085280&quot;/&gt;&lt;wsp:rsid wsp:val=&quot;26317FA7&quot;/&gt;&lt;wsp:rsid wsp:val=&quot;26324BE9&quot;/&gt;&lt;wsp:rsid wsp:val=&quot;263A1F6A&quot;/&gt;&lt;wsp:rsid wsp:val=&quot;26404627&quot;/&gt;&lt;wsp:rsid wsp:val=&quot;264F2B47&quot;/&gt;&lt;wsp:rsid wsp:val=&quot;265159E8&quot;/&gt;&lt;wsp:rsid wsp:val=&quot;26551754&quot;/&gt;&lt;wsp:rsid wsp:val=&quot;26694CB8&quot;/&gt;&lt;wsp:rsid wsp:val=&quot;26797620&quot;/&gt;&lt;wsp:rsid wsp:val=&quot;26812549&quot;/&gt;&lt;wsp:rsid wsp:val=&quot;268261F8&quot;/&gt;&lt;wsp:rsid wsp:val=&quot;26886552&quot;/&gt;&lt;wsp:rsid wsp:val=&quot;26934A30&quot;/&gt;&lt;wsp:rsid wsp:val=&quot;26B536AB&quot;/&gt;&lt;wsp:rsid wsp:val=&quot;26B74F7E&quot;/&gt;&lt;wsp:rsid wsp:val=&quot;26C22739&quot;/&gt;&lt;wsp:rsid wsp:val=&quot;26CD5E0B&quot;/&gt;&lt;wsp:rsid wsp:val=&quot;26D06FF4&quot;/&gt;&lt;wsp:rsid wsp:val=&quot;26E47202&quot;/&gt;&lt;wsp:rsid wsp:val=&quot;26EC4567&quot;/&gt;&lt;wsp:rsid wsp:val=&quot;26F03F31&quot;/&gt;&lt;wsp:rsid wsp:val=&quot;26FF4645&quot;/&gt;&lt;wsp:rsid wsp:val=&quot;270345EF&quot;/&gt;&lt;wsp:rsid wsp:val=&quot;270B0929&quot;/&gt;&lt;wsp:rsid wsp:val=&quot;2710082C&quot;/&gt;&lt;wsp:rsid wsp:val=&quot;27103C37&quot;/&gt;&lt;wsp:rsid wsp:val=&quot;2726597F&quot;/&gt;&lt;wsp:rsid wsp:val=&quot;27337E5F&quot;/&gt;&lt;wsp:rsid wsp:val=&quot;273B094A&quot;/&gt;&lt;wsp:rsid wsp:val=&quot;27406B3E&quot;/&gt;&lt;wsp:rsid wsp:val=&quot;274E6AA9&quot;/&gt;&lt;wsp:rsid wsp:val=&quot;276738C3&quot;/&gt;&lt;wsp:rsid wsp:val=&quot;276D088B&quot;/&gt;&lt;wsp:rsid wsp:val=&quot;276F4A98&quot;/&gt;&lt;wsp:rsid wsp:val=&quot;277057A2&quot;/&gt;&lt;wsp:rsid wsp:val=&quot;27715ADA&quot;/&gt;&lt;wsp:rsid wsp:val=&quot;2794559B&quot;/&gt;&lt;wsp:rsid wsp:val=&quot;27A12F07&quot;/&gt;&lt;wsp:rsid wsp:val=&quot;27A961FC&quot;/&gt;&lt;wsp:rsid wsp:val=&quot;27B01338&quot;/&gt;&lt;wsp:rsid wsp:val=&quot;27B423F8&quot;/&gt;&lt;wsp:rsid wsp:val=&quot;27B73DC6&quot;/&gt;&lt;wsp:rsid wsp:val=&quot;27B76947&quot;/&gt;&lt;wsp:rsid wsp:val=&quot;27B920DD&quot;/&gt;&lt;wsp:rsid wsp:val=&quot;27C941A8&quot;/&gt;&lt;wsp:rsid wsp:val=&quot;27CF38E1&quot;/&gt;&lt;wsp:rsid wsp:val=&quot;27CF68D2&quot;/&gt;&lt;wsp:rsid wsp:val=&quot;27D76283&quot;/&gt;&lt;wsp:rsid wsp:val=&quot;27E72880&quot;/&gt;&lt;wsp:rsid wsp:val=&quot;27E74715&quot;/&gt;&lt;wsp:rsid wsp:val=&quot;27E879ED&quot;/&gt;&lt;wsp:rsid wsp:val=&quot;28174CD6&quot;/&gt;&lt;wsp:rsid wsp:val=&quot;281A0977&quot;/&gt;&lt;wsp:rsid wsp:val=&quot;282A1AE5&quot;/&gt;&lt;wsp:rsid wsp:val=&quot;283D461F&quot;/&gt;&lt;wsp:rsid wsp:val=&quot;28433F5A&quot;/&gt;&lt;wsp:rsid wsp:val=&quot;284B72A7&quot;/&gt;&lt;wsp:rsid wsp:val=&quot;28563747&quot;/&gt;&lt;wsp:rsid wsp:val=&quot;28594428&quot;/&gt;&lt;wsp:rsid wsp:val=&quot;286D0FD7&quot;/&gt;&lt;wsp:rsid wsp:val=&quot;288032A6&quot;/&gt;&lt;wsp:rsid wsp:val=&quot;2882065B&quot;/&gt;&lt;wsp:rsid wsp:val=&quot;288527C5&quot;/&gt;&lt;wsp:rsid wsp:val=&quot;288C3360&quot;/&gt;&lt;wsp:rsid wsp:val=&quot;28AD5AD2&quot;/&gt;&lt;wsp:rsid wsp:val=&quot;28AF3BDC&quot;/&gt;&lt;wsp:rsid wsp:val=&quot;28B07116&quot;/&gt;&lt;wsp:rsid wsp:val=&quot;28B32B34&quot;/&gt;&lt;wsp:rsid wsp:val=&quot;28BF5DCF&quot;/&gt;&lt;wsp:rsid wsp:val=&quot;28C0551F&quot;/&gt;&lt;wsp:rsid wsp:val=&quot;28C270C1&quot;/&gt;&lt;wsp:rsid wsp:val=&quot;28C80D6E&quot;/&gt;&lt;wsp:rsid wsp:val=&quot;28D07E2F&quot;/&gt;&lt;wsp:rsid wsp:val=&quot;28D8795B&quot;/&gt;&lt;wsp:rsid wsp:val=&quot;28F07C17&quot;/&gt;&lt;wsp:rsid wsp:val=&quot;29206EB8&quot;/&gt;&lt;wsp:rsid wsp:val=&quot;2930362C&quot;/&gt;&lt;wsp:rsid wsp:val=&quot;293253E8&quot;/&gt;&lt;wsp:rsid wsp:val=&quot;29342134&quot;/&gt;&lt;wsp:rsid wsp:val=&quot;293470A9&quot;/&gt;&lt;wsp:rsid wsp:val=&quot;29424EDD&quot;/&gt;&lt;wsp:rsid wsp:val=&quot;294850CF&quot;/&gt;&lt;wsp:rsid wsp:val=&quot;29496228&quot;/&gt;&lt;wsp:rsid wsp:val=&quot;294B30D1&quot;/&gt;&lt;wsp:rsid wsp:val=&quot;2952761C&quot;/&gt;&lt;wsp:rsid wsp:val=&quot;29581958&quot;/&gt;&lt;wsp:rsid wsp:val=&quot;295845DD&quot;/&gt;&lt;wsp:rsid wsp:val=&quot;29595666&quot;/&gt;&lt;wsp:rsid wsp:val=&quot;295B0371&quot;/&gt;&lt;wsp:rsid wsp:val=&quot;296A0C5C&quot;/&gt;&lt;wsp:rsid wsp:val=&quot;296A7290&quot;/&gt;&lt;wsp:rsid wsp:val=&quot;29712D49&quot;/&gt;&lt;wsp:rsid wsp:val=&quot;29796EE7&quot;/&gt;&lt;wsp:rsid wsp:val=&quot;29874881&quot;/&gt;&lt;wsp:rsid wsp:val=&quot;29946AC2&quot;/&gt;&lt;wsp:rsid wsp:val=&quot;29AE18A7&quot;/&gt;&lt;wsp:rsid wsp:val=&quot;29B665AC&quot;/&gt;&lt;wsp:rsid wsp:val=&quot;29B669AE&quot;/&gt;&lt;wsp:rsid wsp:val=&quot;29D54490&quot;/&gt;&lt;wsp:rsid wsp:val=&quot;29E325E0&quot;/&gt;&lt;wsp:rsid wsp:val=&quot;29F6324E&quot;/&gt;&lt;wsp:rsid wsp:val=&quot;29F76C95&quot;/&gt;&lt;wsp:rsid wsp:val=&quot;2A0A481A&quot;/&gt;&lt;wsp:rsid wsp:val=&quot;2A376319&quot;/&gt;&lt;wsp:rsid wsp:val=&quot;2A3F5667&quot;/&gt;&lt;wsp:rsid wsp:val=&quot;2A452503&quot;/&gt;&lt;wsp:rsid wsp:val=&quot;2A4554DA&quot;/&gt;&lt;wsp:rsid wsp:val=&quot;2A470E16&quot;/&gt;&lt;wsp:rsid wsp:val=&quot;2A4764BE&quot;/&gt;&lt;wsp:rsid wsp:val=&quot;2A4B2413&quot;/&gt;&lt;wsp:rsid wsp:val=&quot;2A4D74D2&quot;/&gt;&lt;wsp:rsid wsp:val=&quot;2A4E64C3&quot;/&gt;&lt;wsp:rsid wsp:val=&quot;2A5541BE&quot;/&gt;&lt;wsp:rsid wsp:val=&quot;2A720E15&quot;/&gt;&lt;wsp:rsid wsp:val=&quot;2A827C72&quot;/&gt;&lt;wsp:rsid wsp:val=&quot;2A895CCA&quot;/&gt;&lt;wsp:rsid wsp:val=&quot;2AA077A9&quot;/&gt;&lt;wsp:rsid wsp:val=&quot;2AA93E7B&quot;/&gt;&lt;wsp:rsid wsp:val=&quot;2AAD590C&quot;/&gt;&lt;wsp:rsid wsp:val=&quot;2AB95A2F&quot;/&gt;&lt;wsp:rsid wsp:val=&quot;2ABF60CD&quot;/&gt;&lt;wsp:rsid wsp:val=&quot;2AC67038&quot;/&gt;&lt;wsp:rsid wsp:val=&quot;2AE541D6&quot;/&gt;&lt;wsp:rsid wsp:val=&quot;2AF639BD&quot;/&gt;&lt;wsp:rsid wsp:val=&quot;2AF92FF6&quot;/&gt;&lt;wsp:rsid wsp:val=&quot;2AFB3F45&quot;/&gt;&lt;wsp:rsid wsp:val=&quot;2B0A066B&quot;/&gt;&lt;wsp:rsid wsp:val=&quot;2B0A3699&quot;/&gt;&lt;wsp:rsid wsp:val=&quot;2B2154CC&quot;/&gt;&lt;wsp:rsid wsp:val=&quot;2B272B30&quot;/&gt;&lt;wsp:rsid wsp:val=&quot;2B3D7673&quot;/&gt;&lt;wsp:rsid wsp:val=&quot;2B571819&quot;/&gt;&lt;wsp:rsid wsp:val=&quot;2B656DE4&quot;/&gt;&lt;wsp:rsid wsp:val=&quot;2B6775C3&quot;/&gt;&lt;wsp:rsid wsp:val=&quot;2B6B0F88&quot;/&gt;&lt;wsp:rsid wsp:val=&quot;2B6F6391&quot;/&gt;&lt;wsp:rsid wsp:val=&quot;2B7803BF&quot;/&gt;&lt;wsp:rsid wsp:val=&quot;2B942D1F&quot;/&gt;&lt;wsp:rsid wsp:val=&quot;2B9D4B59&quot;/&gt;&lt;wsp:rsid wsp:val=&quot;2B9D60AD&quot;/&gt;&lt;wsp:rsid wsp:val=&quot;2BA70A1F&quot;/&gt;&lt;wsp:rsid wsp:val=&quot;2BA936A8&quot;/&gt;&lt;wsp:rsid wsp:val=&quot;2BB027FE&quot;/&gt;&lt;wsp:rsid wsp:val=&quot;2BB23BB4&quot;/&gt;&lt;wsp:rsid wsp:val=&quot;2BC30558&quot;/&gt;&lt;wsp:rsid wsp:val=&quot;2BCA1054&quot;/&gt;&lt;wsp:rsid wsp:val=&quot;2BD121B3&quot;/&gt;&lt;wsp:rsid wsp:val=&quot;2BD26F37&quot;/&gt;&lt;wsp:rsid wsp:val=&quot;2BD4691B&quot;/&gt;&lt;wsp:rsid wsp:val=&quot;2BD733B6&quot;/&gt;&lt;wsp:rsid wsp:val=&quot;2BE97E4C&quot;/&gt;&lt;wsp:rsid wsp:val=&quot;2BF03467&quot;/&gt;&lt;wsp:rsid wsp:val=&quot;2BF77611&quot;/&gt;&lt;wsp:rsid wsp:val=&quot;2BF808D8&quot;/&gt;&lt;wsp:rsid wsp:val=&quot;2BFB26D9&quot;/&gt;&lt;wsp:rsid wsp:val=&quot;2BFC35D6&quot;/&gt;&lt;wsp:rsid wsp:val=&quot;2C0C01DE&quot;/&gt;&lt;wsp:rsid wsp:val=&quot;2C164AA3&quot;/&gt;&lt;wsp:rsid wsp:val=&quot;2C1D7307&quot;/&gt;&lt;wsp:rsid wsp:val=&quot;2C1E1E05&quot;/&gt;&lt;wsp:rsid wsp:val=&quot;2C1F07D4&quot;/&gt;&lt;wsp:rsid wsp:val=&quot;2C2C11A9&quot;/&gt;&lt;wsp:rsid wsp:val=&quot;2C315A5A&quot;/&gt;&lt;wsp:rsid wsp:val=&quot;2C3708A5&quot;/&gt;&lt;wsp:rsid wsp:val=&quot;2C395920&quot;/&gt;&lt;wsp:rsid wsp:val=&quot;2C423C93&quot;/&gt;&lt;wsp:rsid wsp:val=&quot;2C441BA0&quot;/&gt;&lt;wsp:rsid wsp:val=&quot;2C493B09&quot;/&gt;&lt;wsp:rsid wsp:val=&quot;2C4B1C25&quot;/&gt;&lt;wsp:rsid wsp:val=&quot;2C4B41E1&quot;/&gt;&lt;wsp:rsid wsp:val=&quot;2C4D184B&quot;/&gt;&lt;wsp:rsid wsp:val=&quot;2C5B2A2B&quot;/&gt;&lt;wsp:rsid wsp:val=&quot;2C5B772D&quot;/&gt;&lt;wsp:rsid wsp:val=&quot;2C69123F&quot;/&gt;&lt;wsp:rsid wsp:val=&quot;2C692ABE&quot;/&gt;&lt;wsp:rsid wsp:val=&quot;2C8F2CE6&quot;/&gt;&lt;wsp:rsid wsp:val=&quot;2C9A3C39&quot;/&gt;&lt;wsp:rsid wsp:val=&quot;2C9F5EB8&quot;/&gt;&lt;wsp:rsid wsp:val=&quot;2CA50391&quot;/&gt;&lt;wsp:rsid wsp:val=&quot;2CAD22EA&quot;/&gt;&lt;wsp:rsid wsp:val=&quot;2CAD72EA&quot;/&gt;&lt;wsp:rsid wsp:val=&quot;2CAF475D&quot;/&gt;&lt;wsp:rsid wsp:val=&quot;2CB226D2&quot;/&gt;&lt;wsp:rsid wsp:val=&quot;2CBA67B5&quot;/&gt;&lt;wsp:rsid wsp:val=&quot;2CBE2DC2&quot;/&gt;&lt;wsp:rsid wsp:val=&quot;2CDB0607&quot;/&gt;&lt;wsp:rsid wsp:val=&quot;2CE51A84&quot;/&gt;&lt;wsp:rsid wsp:val=&quot;2CE709D4&quot;/&gt;&lt;wsp:rsid wsp:val=&quot;2CED0939&quot;/&gt;&lt;wsp:rsid wsp:val=&quot;2CF452BA&quot;/&gt;&lt;wsp:rsid wsp:val=&quot;2CFA1753&quot;/&gt;&lt;wsp:rsid wsp:val=&quot;2D063068&quot;/&gt;&lt;wsp:rsid wsp:val=&quot;2D0F4514&quot;/&gt;&lt;wsp:rsid wsp:val=&quot;2D1234D6&quot;/&gt;&lt;wsp:rsid wsp:val=&quot;2D1718A2&quot;/&gt;&lt;wsp:rsid wsp:val=&quot;2D1A62EC&quot;/&gt;&lt;wsp:rsid wsp:val=&quot;2D306804&quot;/&gt;&lt;wsp:rsid wsp:val=&quot;2D3175F2&quot;/&gt;&lt;wsp:rsid wsp:val=&quot;2D580DD2&quot;/&gt;&lt;wsp:rsid wsp:val=&quot;2D5E5D22&quot;/&gt;&lt;wsp:rsid wsp:val=&quot;2D7122E5&quot;/&gt;&lt;wsp:rsid wsp:val=&quot;2D8B39BD&quot;/&gt;&lt;wsp:rsid wsp:val=&quot;2D8D1C12&quot;/&gt;&lt;wsp:rsid wsp:val=&quot;2D985DF0&quot;/&gt;&lt;wsp:rsid wsp:val=&quot;2D9B2F0A&quot;/&gt;&lt;wsp:rsid wsp:val=&quot;2D9E56F5&quot;/&gt;&lt;wsp:rsid wsp:val=&quot;2DA10296&quot;/&gt;&lt;wsp:rsid wsp:val=&quot;2DAD4FC2&quot;/&gt;&lt;wsp:rsid wsp:val=&quot;2DDE6026&quot;/&gt;&lt;wsp:rsid wsp:val=&quot;2DE96ABA&quot;/&gt;&lt;wsp:rsid wsp:val=&quot;2DEB1FA5&quot;/&gt;&lt;wsp:rsid wsp:val=&quot;2DF14458&quot;/&gt;&lt;wsp:rsid wsp:val=&quot;2DFA6839&quot;/&gt;&lt;wsp:rsid wsp:val=&quot;2DFF17CD&quot;/&gt;&lt;wsp:rsid wsp:val=&quot;2E01716D&quot;/&gt;&lt;wsp:rsid wsp:val=&quot;2E1D6A39&quot;/&gt;&lt;wsp:rsid wsp:val=&quot;2E1E4B22&quot;/&gt;&lt;wsp:rsid wsp:val=&quot;2E2F1CD1&quot;/&gt;&lt;wsp:rsid wsp:val=&quot;2E383F1D&quot;/&gt;&lt;wsp:rsid wsp:val=&quot;2E4427DA&quot;/&gt;&lt;wsp:rsid wsp:val=&quot;2E5801A2&quot;/&gt;&lt;wsp:rsid wsp:val=&quot;2E667F96&quot;/&gt;&lt;wsp:rsid wsp:val=&quot;2E7B6AA7&quot;/&gt;&lt;wsp:rsid wsp:val=&quot;2E7C6529&quot;/&gt;&lt;wsp:rsid wsp:val=&quot;2E804631&quot;/&gt;&lt;wsp:rsid wsp:val=&quot;2E8226AB&quot;/&gt;&lt;wsp:rsid wsp:val=&quot;2E8B6E4B&quot;/&gt;&lt;wsp:rsid wsp:val=&quot;2E8D5F30&quot;/&gt;&lt;wsp:rsid wsp:val=&quot;2EA266C4&quot;/&gt;&lt;wsp:rsid wsp:val=&quot;2EA7044D&quot;/&gt;&lt;wsp:rsid wsp:val=&quot;2EAA1DBD&quot;/&gt;&lt;wsp:rsid wsp:val=&quot;2EAC037F&quot;/&gt;&lt;wsp:rsid wsp:val=&quot;2EAC4558&quot;/&gt;&lt;wsp:rsid wsp:val=&quot;2EBE2687&quot;/&gt;&lt;wsp:rsid wsp:val=&quot;2EC8630A&quot;/&gt;&lt;wsp:rsid wsp:val=&quot;2ED022C0&quot;/&gt;&lt;wsp:rsid wsp:val=&quot;2ED06383&quot;/&gt;&lt;wsp:rsid wsp:val=&quot;2ED80A76&quot;/&gt;&lt;wsp:rsid wsp:val=&quot;2EF04B8E&quot;/&gt;&lt;wsp:rsid wsp:val=&quot;2EFA515D&quot;/&gt;&lt;wsp:rsid wsp:val=&quot;2EFB5E38&quot;/&gt;&lt;wsp:rsid wsp:val=&quot;2EFC14E8&quot;/&gt;&lt;wsp:rsid wsp:val=&quot;2F086985&quot;/&gt;&lt;wsp:rsid wsp:val=&quot;2F0B6157&quot;/&gt;&lt;wsp:rsid wsp:val=&quot;2F101406&quot;/&gt;&lt;wsp:rsid wsp:val=&quot;2F254317&quot;/&gt;&lt;wsp:rsid wsp:val=&quot;2F2D4036&quot;/&gt;&lt;wsp:rsid wsp:val=&quot;2F336448&quot;/&gt;&lt;wsp:rsid wsp:val=&quot;2F35084E&quot;/&gt;&lt;wsp:rsid wsp:val=&quot;2F390290&quot;/&gt;&lt;wsp:rsid wsp:val=&quot;2F3D354D&quot;/&gt;&lt;wsp:rsid wsp:val=&quot;2F48454C&quot;/&gt;&lt;wsp:rsid wsp:val=&quot;2F65383E&quot;/&gt;&lt;wsp:rsid wsp:val=&quot;2F697F69&quot;/&gt;&lt;wsp:rsid wsp:val=&quot;2F6F4B44&quot;/&gt;&lt;wsp:rsid wsp:val=&quot;2F7A24B7&quot;/&gt;&lt;wsp:rsid wsp:val=&quot;2F812D38&quot;/&gt;&lt;wsp:rsid wsp:val=&quot;2F8A6464&quot;/&gt;&lt;wsp:rsid wsp:val=&quot;2F95041E&quot;/&gt;&lt;wsp:rsid wsp:val=&quot;2F974FE2&quot;/&gt;&lt;wsp:rsid wsp:val=&quot;2FAA688C&quot;/&gt;&lt;wsp:rsid wsp:val=&quot;2FAB064C&quot;/&gt;&lt;wsp:rsid wsp:val=&quot;2FAC28ED&quot;/&gt;&lt;wsp:rsid wsp:val=&quot;2FC07C3E&quot;/&gt;&lt;wsp:rsid wsp:val=&quot;2FC24982&quot;/&gt;&lt;wsp:rsid wsp:val=&quot;2FC30368&quot;/&gt;&lt;wsp:rsid wsp:val=&quot;2FC63BA7&quot;/&gt;&lt;wsp:rsid wsp:val=&quot;2FC660CE&quot;/&gt;&lt;wsp:rsid wsp:val=&quot;2FD065E6&quot;/&gt;&lt;wsp:rsid wsp:val=&quot;2FD96870&quot;/&gt;&lt;wsp:rsid wsp:val=&quot;2FE7356B&quot;/&gt;&lt;wsp:rsid wsp:val=&quot;2FE75B13&quot;/&gt;&lt;wsp:rsid wsp:val=&quot;2FEB727A&quot;/&gt;&lt;wsp:rsid wsp:val=&quot;2FF31AF5&quot;/&gt;&lt;wsp:rsid wsp:val=&quot;30070F0D&quot;/&gt;&lt;wsp:rsid wsp:val=&quot;300970B2&quot;/&gt;&lt;wsp:rsid wsp:val=&quot;302A0B64&quot;/&gt;&lt;wsp:rsid wsp:val=&quot;304F347E&quot;/&gt;&lt;wsp:rsid wsp:val=&quot;3054551E&quot;/&gt;&lt;wsp:rsid wsp:val=&quot;30580BC9&quot;/&gt;&lt;wsp:rsid wsp:val=&quot;30682E29&quot;/&gt;&lt;wsp:rsid wsp:val=&quot;306B46F8&quot;/&gt;&lt;wsp:rsid wsp:val=&quot;306C1866&quot;/&gt;&lt;wsp:rsid wsp:val=&quot;306F1CF7&quot;/&gt;&lt;wsp:rsid wsp:val=&quot;308160EE&quot;/&gt;&lt;wsp:rsid wsp:val=&quot;308B2942&quot;/&gt;&lt;wsp:rsid wsp:val=&quot;308C66BA&quot;/&gt;&lt;wsp:rsid wsp:val=&quot;309E42D2&quot;/&gt;&lt;wsp:rsid wsp:val=&quot;30A6777C&quot;/&gt;&lt;wsp:rsid wsp:val=&quot;30B930E2&quot;/&gt;&lt;wsp:rsid wsp:val=&quot;30BC12E6&quot;/&gt;&lt;wsp:rsid wsp:val=&quot;30C1077D&quot;/&gt;&lt;wsp:rsid wsp:val=&quot;30C46FA8&quot;/&gt;&lt;wsp:rsid wsp:val=&quot;30D12C06&quot;/&gt;&lt;wsp:rsid wsp:val=&quot;30D140CD&quot;/&gt;&lt;wsp:rsid wsp:val=&quot;30EA000B&quot;/&gt;&lt;wsp:rsid wsp:val=&quot;30EF5893&quot;/&gt;&lt;wsp:rsid wsp:val=&quot;31084CFE&quot;/&gt;&lt;wsp:rsid wsp:val=&quot;310C5404&quot;/&gt;&lt;wsp:rsid wsp:val=&quot;310E0E7D&quot;/&gt;&lt;wsp:rsid wsp:val=&quot;310E5321&quot;/&gt;&lt;wsp:rsid wsp:val=&quot;31172428&quot;/&gt;&lt;wsp:rsid wsp:val=&quot;311A1269&quot;/&gt;&lt;wsp:rsid wsp:val=&quot;311E2ED7&quot;/&gt;&lt;wsp:rsid wsp:val=&quot;3123652A&quot;/&gt;&lt;wsp:rsid wsp:val=&quot;312B6A06&quot;/&gt;&lt;wsp:rsid wsp:val=&quot;312D28B5&quot;/&gt;&lt;wsp:rsid wsp:val=&quot;312F1799&quot;/&gt;&lt;wsp:rsid wsp:val=&quot;312F56BC&quot;/&gt;&lt;wsp:rsid wsp:val=&quot;31303759&quot;/&gt;&lt;wsp:rsid wsp:val=&quot;313D32A3&quot;/&gt;&lt;wsp:rsid wsp:val=&quot;31490ED4&quot;/&gt;&lt;wsp:rsid wsp:val=&quot;3151119B&quot;/&gt;&lt;wsp:rsid wsp:val=&quot;315619EE&quot;/&gt;&lt;wsp:rsid wsp:val=&quot;315C449C&quot;/&gt;&lt;wsp:rsid wsp:val=&quot;31716E7B&quot;/&gt;&lt;wsp:rsid wsp:val=&quot;317E1269&quot;/&gt;&lt;wsp:rsid wsp:val=&quot;317E7F49&quot;/&gt;&lt;wsp:rsid wsp:val=&quot;31A93607&quot;/&gt;&lt;wsp:rsid wsp:val=&quot;31A94CC1&quot;/&gt;&lt;wsp:rsid wsp:val=&quot;31AE7C10&quot;/&gt;&lt;wsp:rsid wsp:val=&quot;31B82709&quot;/&gt;&lt;wsp:rsid wsp:val=&quot;31C7445B&quot;/&gt;&lt;wsp:rsid wsp:val=&quot;31C774DA&quot;/&gt;&lt;wsp:rsid wsp:val=&quot;31CE1D46&quot;/&gt;&lt;wsp:rsid wsp:val=&quot;31D05482&quot;/&gt;&lt;wsp:rsid wsp:val=&quot;31D459EB&quot;/&gt;&lt;wsp:rsid wsp:val=&quot;31E43039&quot;/&gt;&lt;wsp:rsid wsp:val=&quot;31E53A14&quot;/&gt;&lt;wsp:rsid wsp:val=&quot;31E7677B&quot;/&gt;&lt;wsp:rsid wsp:val=&quot;31FA0CFF&quot;/&gt;&lt;wsp:rsid wsp:val=&quot;31FC517A&quot;/&gt;&lt;wsp:rsid wsp:val=&quot;31FE582E&quot;/&gt;&lt;wsp:rsid wsp:val=&quot;320F244A&quot;/&gt;&lt;wsp:rsid wsp:val=&quot;321C3FF7&quot;/&gt;&lt;wsp:rsid wsp:val=&quot;321C73F1&quot;/&gt;&lt;wsp:rsid wsp:val=&quot;32203ECE&quot;/&gt;&lt;wsp:rsid wsp:val=&quot;322A618B&quot;/&gt;&lt;wsp:rsid wsp:val=&quot;32400B34&quot;/&gt;&lt;wsp:rsid wsp:val=&quot;32640FA5&quot;/&gt;&lt;wsp:rsid wsp:val=&quot;3268570F&quot;/&gt;&lt;wsp:rsid wsp:val=&quot;327F0671&quot;/&gt;&lt;wsp:rsid wsp:val=&quot;32891103&quot;/&gt;&lt;wsp:rsid wsp:val=&quot;32892EB1&quot;/&gt;&lt;wsp:rsid wsp:val=&quot;329659BC&quot;/&gt;&lt;wsp:rsid wsp:val=&quot;329E6876&quot;/&gt;&lt;wsp:rsid wsp:val=&quot;32AC4DF2&quot;/&gt;&lt;wsp:rsid wsp:val=&quot;32D03D66&quot;/&gt;&lt;wsp:rsid wsp:val=&quot;32D041EC&quot;/&gt;&lt;wsp:rsid wsp:val=&quot;32D87CB9&quot;/&gt;&lt;wsp:rsid wsp:val=&quot;32E24350&quot;/&gt;&lt;wsp:rsid wsp:val=&quot;32F62AEA&quot;/&gt;&lt;wsp:rsid wsp:val=&quot;32FA1F4A&quot;/&gt;&lt;wsp:rsid wsp:val=&quot;3304078A&quot;/&gt;&lt;wsp:rsid wsp:val=&quot;33080B34&quot;/&gt;&lt;wsp:rsid wsp:val=&quot;330B056E&quot;/&gt;&lt;wsp:rsid wsp:val=&quot;330B7D6A&quot;/&gt;&lt;wsp:rsid wsp:val=&quot;33124651&quot;/&gt;&lt;wsp:rsid wsp:val=&quot;333015F2&quot;/&gt;&lt;wsp:rsid wsp:val=&quot;333823C4&quot;/&gt;&lt;wsp:rsid wsp:val=&quot;33493924&quot;/&gt;&lt;wsp:rsid wsp:val=&quot;334B6320&quot;/&gt;&lt;wsp:rsid wsp:val=&quot;336E5173&quot;/&gt;&lt;wsp:rsid wsp:val=&quot;3371197C&quot;/&gt;&lt;wsp:rsid wsp:val=&quot;338057AE&quot;/&gt;&lt;wsp:rsid wsp:val=&quot;339E2D01&quot;/&gt;&lt;wsp:rsid wsp:val=&quot;33A15DD3&quot;/&gt;&lt;wsp:rsid wsp:val=&quot;33A724DB&quot;/&gt;&lt;wsp:rsid wsp:val=&quot;33B57CD6&quot;/&gt;&lt;wsp:rsid wsp:val=&quot;33C66680&quot;/&gt;&lt;wsp:rsid wsp:val=&quot;33CB12A8&quot;/&gt;&lt;wsp:rsid wsp:val=&quot;33D934D4&quot;/&gt;&lt;wsp:rsid wsp:val=&quot;33D94FA4&quot;/&gt;&lt;wsp:rsid wsp:val=&quot;33DF05AE&quot;/&gt;&lt;wsp:rsid wsp:val=&quot;33E1573A&quot;/&gt;&lt;wsp:rsid wsp:val=&quot;33E22740&quot;/&gt;&lt;wsp:rsid wsp:val=&quot;33E44399&quot;/&gt;&lt;wsp:rsid wsp:val=&quot;33F14BB2&quot;/&gt;&lt;wsp:rsid wsp:val=&quot;33FE2F6A&quot;/&gt;&lt;wsp:rsid wsp:val=&quot;33FE51CE&quot;/&gt;&lt;wsp:rsid wsp:val=&quot;3405111A&quot;/&gt;&lt;wsp:rsid wsp:val=&quot;340623D2&quot;/&gt;&lt;wsp:rsid wsp:val=&quot;34092FE1&quot;/&gt;&lt;wsp:rsid wsp:val=&quot;340E07E5&quot;/&gt;&lt;wsp:rsid wsp:val=&quot;34235BF7&quot;/&gt;&lt;wsp:rsid wsp:val=&quot;342401FA&quot;/&gt;&lt;wsp:rsid wsp:val=&quot;34313801&quot;/&gt;&lt;wsp:rsid wsp:val=&quot;34431EA7&quot;/&gt;&lt;wsp:rsid wsp:val=&quot;344A344B&quot;/&gt;&lt;wsp:rsid wsp:val=&quot;344C326F&quot;/&gt;&lt;wsp:rsid wsp:val=&quot;34507C1A&quot;/&gt;&lt;wsp:rsid wsp:val=&quot;345712A9&quot;/&gt;&lt;wsp:rsid wsp:val=&quot;345C6AC7&quot;/&gt;&lt;wsp:rsid wsp:val=&quot;3460095F&quot;/&gt;&lt;wsp:rsid wsp:val=&quot;346A1746&quot;/&gt;&lt;wsp:rsid wsp:val=&quot;346F55BB&quot;/&gt;&lt;wsp:rsid wsp:val=&quot;347551AE&quot;/&gt;&lt;wsp:rsid wsp:val=&quot;348574AE&quot;/&gt;&lt;wsp:rsid wsp:val=&quot;34980083&quot;/&gt;&lt;wsp:rsid wsp:val=&quot;349D0FF5&quot;/&gt;&lt;wsp:rsid wsp:val=&quot;34A05953&quot;/&gt;&lt;wsp:rsid wsp:val=&quot;34B058A5&quot;/&gt;&lt;wsp:rsid wsp:val=&quot;34BA161A&quot;/&gt;&lt;wsp:rsid wsp:val=&quot;34BB756E&quot;/&gt;&lt;wsp:rsid wsp:val=&quot;34CE72A2&quot;/&gt;&lt;wsp:rsid wsp:val=&quot;34D25FE1&quot;/&gt;&lt;wsp:rsid wsp:val=&quot;34E21B76&quot;/&gt;&lt;wsp:rsid wsp:val=&quot;34F1095E&quot;/&gt;&lt;wsp:rsid wsp:val=&quot;34FB4883&quot;/&gt;&lt;wsp:rsid wsp:val=&quot;34FD107E&quot;/&gt;&lt;wsp:rsid wsp:val=&quot;35067E71&quot;/&gt;&lt;wsp:rsid wsp:val=&quot;350A0719&quot;/&gt;&lt;wsp:rsid wsp:val=&quot;35143D98&quot;/&gt;&lt;wsp:rsid wsp:val=&quot;35162EDD&quot;/&gt;&lt;wsp:rsid wsp:val=&quot;35214E2B&quot;/&gt;&lt;wsp:rsid wsp:val=&quot;35374E83&quot;/&gt;&lt;wsp:rsid wsp:val=&quot;353B4FAF&quot;/&gt;&lt;wsp:rsid wsp:val=&quot;35610116&quot;/&gt;&lt;wsp:rsid wsp:val=&quot;356C533B&quot;/&gt;&lt;wsp:rsid wsp:val=&quot;3577244E&quot;/&gt;&lt;wsp:rsid wsp:val=&quot;357C6EC6&quot;/&gt;&lt;wsp:rsid wsp:val=&quot;35833A51&quot;/&gt;&lt;wsp:rsid wsp:val=&quot;35895CA1&quot;/&gt;&lt;wsp:rsid wsp:val=&quot;358C5FA8&quot;/&gt;&lt;wsp:rsid wsp:val=&quot;35A235EE&quot;/&gt;&lt;wsp:rsid wsp:val=&quot;35C104AB&quot;/&gt;&lt;wsp:rsid wsp:val=&quot;35C15DF1&quot;/&gt;&lt;wsp:rsid wsp:val=&quot;35C20647&quot;/&gt;&lt;wsp:rsid wsp:val=&quot;35C60543&quot;/&gt;&lt;wsp:rsid wsp:val=&quot;35C74D72&quot;/&gt;&lt;wsp:rsid wsp:val=&quot;35C91817&quot;/&gt;&lt;wsp:rsid wsp:val=&quot;35CA758B&quot;/&gt;&lt;wsp:rsid wsp:val=&quot;35DA1770&quot;/&gt;&lt;wsp:rsid wsp:val=&quot;35FA20D0&quot;/&gt;&lt;wsp:rsid wsp:val=&quot;35FA62F9&quot;/&gt;&lt;wsp:rsid wsp:val=&quot;35FF348B&quot;/&gt;&lt;wsp:rsid wsp:val=&quot;36066FB8&quot;/&gt;&lt;wsp:rsid wsp:val=&quot;36074A7F&quot;/&gt;&lt;wsp:rsid wsp:val=&quot;36197FE8&quot;/&gt;&lt;wsp:rsid wsp:val=&quot;361B671F&quot;/&gt;&lt;wsp:rsid wsp:val=&quot;36233FC4&quot;/&gt;&lt;wsp:rsid wsp:val=&quot;362F6FEA&quot;/&gt;&lt;wsp:rsid wsp:val=&quot;36406B33&quot;/&gt;&lt;wsp:rsid wsp:val=&quot;364542F2&quot;/&gt;&lt;wsp:rsid wsp:val=&quot;364B7052&quot;/&gt;&lt;wsp:rsid wsp:val=&quot;365668FE&quot;/&gt;&lt;wsp:rsid wsp:val=&quot;365F74DC&quot;/&gt;&lt;wsp:rsid wsp:val=&quot;36641124&quot;/&gt;&lt;wsp:rsid wsp:val=&quot;366A2FFA&quot;/&gt;&lt;wsp:rsid wsp:val=&quot;366B79B5&quot;/&gt;&lt;wsp:rsid wsp:val=&quot;3676462D&quot;/&gt;&lt;wsp:rsid wsp:val=&quot;367748F3&quot;/&gt;&lt;wsp:rsid wsp:val=&quot;3679148F&quot;/&gt;&lt;wsp:rsid wsp:val=&quot;36923549&quot;/&gt;&lt;wsp:rsid wsp:val=&quot;36A463B6&quot;/&gt;&lt;wsp:rsid wsp:val=&quot;36B10ECE&quot;/&gt;&lt;wsp:rsid wsp:val=&quot;36B75FBF&quot;/&gt;&lt;wsp:rsid wsp:val=&quot;36BD0C45&quot;/&gt;&lt;wsp:rsid wsp:val=&quot;36D8754C&quot;/&gt;&lt;wsp:rsid wsp:val=&quot;36DF1AA6&quot;/&gt;&lt;wsp:rsid wsp:val=&quot;36E5736A&quot;/&gt;&lt;wsp:rsid wsp:val=&quot;36EE1AF8&quot;/&gt;&lt;wsp:rsid wsp:val=&quot;36F15EFF&quot;/&gt;&lt;wsp:rsid wsp:val=&quot;36F244FD&quot;/&gt;&lt;wsp:rsid wsp:val=&quot;36F82A6E&quot;/&gt;&lt;wsp:rsid wsp:val=&quot;37395347&quot;/&gt;&lt;wsp:rsid wsp:val=&quot;374254BE&quot;/&gt;&lt;wsp:rsid wsp:val=&quot;3742644A&quot;/&gt;&lt;wsp:rsid wsp:val=&quot;374470BC&quot;/&gt;&lt;wsp:rsid wsp:val=&quot;37563E6B&quot;/&gt;&lt;wsp:rsid wsp:val=&quot;376C6D21&quot;/&gt;&lt;wsp:rsid wsp:val=&quot;378620B5&quot;/&gt;&lt;wsp:rsid wsp:val=&quot;378D7801&quot;/&gt;&lt;wsp:rsid wsp:val=&quot;37960BF0&quot;/&gt;&lt;wsp:rsid wsp:val=&quot;3797430F&quot;/&gt;&lt;wsp:rsid wsp:val=&quot;37985BF2&quot;/&gt;&lt;wsp:rsid wsp:val=&quot;379D4196&quot;/&gt;&lt;wsp:rsid wsp:val=&quot;37A417D4&quot;/&gt;&lt;wsp:rsid wsp:val=&quot;37B53639&quot;/&gt;&lt;wsp:rsid wsp:val=&quot;37C17A57&quot;/&gt;&lt;wsp:rsid wsp:val=&quot;37CD072E&quot;/&gt;&lt;wsp:rsid wsp:val=&quot;37E00298&quot;/&gt;&lt;wsp:rsid wsp:val=&quot;37E67BBA&quot;/&gt;&lt;wsp:rsid wsp:val=&quot;37F30C49&quot;/&gt;&lt;wsp:rsid wsp:val=&quot;37F52A4D&quot;/&gt;&lt;wsp:rsid wsp:val=&quot;37F54B45&quot;/&gt;&lt;wsp:rsid wsp:val=&quot;37FA427B&quot;/&gt;&lt;wsp:rsid wsp:val=&quot;37FC5ED4&quot;/&gt;&lt;wsp:rsid wsp:val=&quot;380C2ECE&quot;/&gt;&lt;wsp:rsid wsp:val=&quot;38307556&quot;/&gt;&lt;wsp:rsid wsp:val=&quot;38310AE2&quot;/&gt;&lt;wsp:rsid wsp:val=&quot;38342FC3&quot;/&gt;&lt;wsp:rsid wsp:val=&quot;3845013C&quot;/&gt;&lt;wsp:rsid wsp:val=&quot;385242A4&quot;/&gt;&lt;wsp:rsid wsp:val=&quot;3869495B&quot;/&gt;&lt;wsp:rsid wsp:val=&quot;386B511F&quot;/&gt;&lt;wsp:rsid wsp:val=&quot;388717D4&quot;/&gt;&lt;wsp:rsid wsp:val=&quot;389523F1&quot;/&gt;&lt;wsp:rsid wsp:val=&quot;38991433&quot;/&gt;&lt;wsp:rsid wsp:val=&quot;38A30EBA&quot;/&gt;&lt;wsp:rsid wsp:val=&quot;38A36896&quot;/&gt;&lt;wsp:rsid wsp:val=&quot;38B302F9&quot;/&gt;&lt;wsp:rsid wsp:val=&quot;38BE5E78&quot;/&gt;&lt;wsp:rsid wsp:val=&quot;38C70290&quot;/&gt;&lt;wsp:rsid wsp:val=&quot;38D62F86&quot;/&gt;&lt;wsp:rsid wsp:val=&quot;38DC6BC1&quot;/&gt;&lt;wsp:rsid wsp:val=&quot;38DE1A7D&quot;/&gt;&lt;wsp:rsid wsp:val=&quot;38F05D77&quot;/&gt;&lt;wsp:rsid wsp:val=&quot;38F12CD3&quot;/&gt;&lt;wsp:rsid wsp:val=&quot;38F94775&quot;/&gt;&lt;wsp:rsid wsp:val=&quot;39066564&quot;/&gt;&lt;wsp:rsid wsp:val=&quot;390E2296&quot;/&gt;&lt;wsp:rsid wsp:val=&quot;391C5366&quot;/&gt;&lt;wsp:rsid wsp:val=&quot;39252547&quot;/&gt;&lt;wsp:rsid wsp:val=&quot;392971ED&quot;/&gt;&lt;wsp:rsid wsp:val=&quot;39325651&quot;/&gt;&lt;wsp:rsid wsp:val=&quot;393261B7&quot;/&gt;&lt;wsp:rsid wsp:val=&quot;3942026F&quot;/&gt;&lt;wsp:rsid wsp:val=&quot;39442C79&quot;/&gt;&lt;wsp:rsid wsp:val=&quot;394540B9&quot;/&gt;&lt;wsp:rsid wsp:val=&quot;39470D8E&quot;/&gt;&lt;wsp:rsid wsp:val=&quot;395F7C24&quot;/&gt;&lt;wsp:rsid wsp:val=&quot;396E3745&quot;/&gt;&lt;wsp:rsid wsp:val=&quot;39875C71&quot;/&gt;&lt;wsp:rsid wsp:val=&quot;398F23E4&quot;/&gt;&lt;wsp:rsid wsp:val=&quot;3991089E&quot;/&gt;&lt;wsp:rsid wsp:val=&quot;39B7492C&quot;/&gt;&lt;wsp:rsid wsp:val=&quot;39BA6046&quot;/&gt;&lt;wsp:rsid wsp:val=&quot;39C361DE&quot;/&gt;&lt;wsp:rsid wsp:val=&quot;39C96289&quot;/&gt;&lt;wsp:rsid wsp:val=&quot;39CA0A19&quot;/&gt;&lt;wsp:rsid wsp:val=&quot;39D569DC&quot;/&gt;&lt;wsp:rsid wsp:val=&quot;39E47BB1&quot;/&gt;&lt;wsp:rsid wsp:val=&quot;39E57690&quot;/&gt;&lt;wsp:rsid wsp:val=&quot;39EA4974&quot;/&gt;&lt;wsp:rsid wsp:val=&quot;39F3602C&quot;/&gt;&lt;wsp:rsid wsp:val=&quot;39FE51E3&quot;/&gt;&lt;wsp:rsid wsp:val=&quot;3A0650F3&quot;/&gt;&lt;wsp:rsid wsp:val=&quot;3A0B357E&quot;/&gt;&lt;wsp:rsid wsp:val=&quot;3A1343B5&quot;/&gt;&lt;wsp:rsid wsp:val=&quot;3A1A2180&quot;/&gt;&lt;wsp:rsid wsp:val=&quot;3A1C51FD&quot;/&gt;&lt;wsp:rsid wsp:val=&quot;3A387FAB&quot;/&gt;&lt;wsp:rsid wsp:val=&quot;3A4B5033&quot;/&gt;&lt;wsp:rsid wsp:val=&quot;3A5C3E46&quot;/&gt;&lt;wsp:rsid wsp:val=&quot;3A7B2097&quot;/&gt;&lt;wsp:rsid wsp:val=&quot;3A7B517F&quot;/&gt;&lt;wsp:rsid wsp:val=&quot;3A8438D2&quot;/&gt;&lt;wsp:rsid wsp:val=&quot;3A860FC8&quot;/&gt;&lt;wsp:rsid wsp:val=&quot;3A872856&quot;/&gt;&lt;wsp:rsid wsp:val=&quot;3A8C3BAC&quot;/&gt;&lt;wsp:rsid wsp:val=&quot;3A984296&quot;/&gt;&lt;wsp:rsid wsp:val=&quot;3AB51580&quot;/&gt;&lt;wsp:rsid wsp:val=&quot;3ABE2993&quot;/&gt;&lt;wsp:rsid wsp:val=&quot;3ABE3914&quot;/&gt;&lt;wsp:rsid wsp:val=&quot;3AD92198&quot;/&gt;&lt;wsp:rsid wsp:val=&quot;3AE020CC&quot;/&gt;&lt;wsp:rsid wsp:val=&quot;3AE315CD&quot;/&gt;&lt;wsp:rsid wsp:val=&quot;3AEB3443&quot;/&gt;&lt;wsp:rsid wsp:val=&quot;3AFD44E9&quot;/&gt;&lt;wsp:rsid wsp:val=&quot;3AFE468C&quot;/&gt;&lt;wsp:rsid wsp:val=&quot;3B2B37FB&quot;/&gt;&lt;wsp:rsid wsp:val=&quot;3B362783&quot;/&gt;&lt;wsp:rsid wsp:val=&quot;3B374E9C&quot;/&gt;&lt;wsp:rsid wsp:val=&quot;3B3763D1&quot;/&gt;&lt;wsp:rsid wsp:val=&quot;3B382475&quot;/&gt;&lt;wsp:rsid wsp:val=&quot;3B482A4D&quot;/&gt;&lt;wsp:rsid wsp:val=&quot;3B643B7B&quot;/&gt;&lt;wsp:rsid wsp:val=&quot;3B7346FF&quot;/&gt;&lt;wsp:rsid wsp:val=&quot;3B742225&quot;/&gt;&lt;wsp:rsid wsp:val=&quot;3B871F63&quot;/&gt;&lt;wsp:rsid wsp:val=&quot;3B89701D&quot;/&gt;&lt;wsp:rsid wsp:val=&quot;3B950463&quot;/&gt;&lt;wsp:rsid wsp:val=&quot;3B9D0661&quot;/&gt;&lt;wsp:rsid wsp:val=&quot;3B9F3F95&quot;/&gt;&lt;wsp:rsid wsp:val=&quot;3BA65DA5&quot;/&gt;&lt;wsp:rsid wsp:val=&quot;3BB56E13&quot;/&gt;&lt;wsp:rsid wsp:val=&quot;3BC25DE6&quot;/&gt;&lt;wsp:rsid wsp:val=&quot;3BD335CE&quot;/&gt;&lt;wsp:rsid wsp:val=&quot;3BD46078&quot;/&gt;&lt;wsp:rsid wsp:val=&quot;3BD808F5&quot;/&gt;&lt;wsp:rsid wsp:val=&quot;3BDC6857&quot;/&gt;&lt;wsp:rsid wsp:val=&quot;3BE11726&quot;/&gt;&lt;wsp:rsid wsp:val=&quot;3BED4F3D&quot;/&gt;&lt;wsp:rsid wsp:val=&quot;3BF770DE&quot;/&gt;&lt;wsp:rsid wsp:val=&quot;3BF845BC&quot;/&gt;&lt;wsp:rsid wsp:val=&quot;3BFF2436&quot;/&gt;&lt;wsp:rsid wsp:val=&quot;3C0D4E04&quot;/&gt;&lt;wsp:rsid wsp:val=&quot;3C12216A&quot;/&gt;&lt;wsp:rsid wsp:val=&quot;3C134257&quot;/&gt;&lt;wsp:rsid wsp:val=&quot;3C1D526E&quot;/&gt;&lt;wsp:rsid wsp:val=&quot;3C263997&quot;/&gt;&lt;wsp:rsid wsp:val=&quot;3C2F6E1E&quot;/&gt;&lt;wsp:rsid wsp:val=&quot;3C302214&quot;/&gt;&lt;wsp:rsid wsp:val=&quot;3C353A3D&quot;/&gt;&lt;wsp:rsid wsp:val=&quot;3C436C1A&quot;/&gt;&lt;wsp:rsid wsp:val=&quot;3C4B2C81&quot;/&gt;&lt;wsp:rsid wsp:val=&quot;3C4F64BA&quot;/&gt;&lt;wsp:rsid wsp:val=&quot;3C6222FA&quot;/&gt;&lt;wsp:rsid wsp:val=&quot;3C623987&quot;/&gt;&lt;wsp:rsid wsp:val=&quot;3C6330EE&quot;/&gt;&lt;wsp:rsid wsp:val=&quot;3C644D46&quot;/&gt;&lt;wsp:rsid wsp:val=&quot;3C660919&quot;/&gt;&lt;wsp:rsid wsp:val=&quot;3C6752CE&quot;/&gt;&lt;wsp:rsid wsp:val=&quot;3C6E37A5&quot;/&gt;&lt;wsp:rsid wsp:val=&quot;3C7301F1&quot;/&gt;&lt;wsp:rsid wsp:val=&quot;3C7E0BCA&quot;/&gt;&lt;wsp:rsid wsp:val=&quot;3C8B6ACE&quot;/&gt;&lt;wsp:rsid wsp:val=&quot;3C9D7B11&quot;/&gt;&lt;wsp:rsid wsp:val=&quot;3CA50841&quot;/&gt;&lt;wsp:rsid wsp:val=&quot;3CBF4C38&quot;/&gt;&lt;wsp:rsid wsp:val=&quot;3CC12563&quot;/&gt;&lt;wsp:rsid wsp:val=&quot;3CC37D92&quot;/&gt;&lt;wsp:rsid wsp:val=&quot;3CD53327&quot;/&gt;&lt;wsp:rsid wsp:val=&quot;3CD864F4&quot;/&gt;&lt;wsp:rsid wsp:val=&quot;3CDA245A&quot;/&gt;&lt;wsp:rsid wsp:val=&quot;3CE34C04&quot;/&gt;&lt;wsp:rsid wsp:val=&quot;3CE86A81&quot;/&gt;&lt;wsp:rsid wsp:val=&quot;3CF25AF7&quot;/&gt;&lt;wsp:rsid wsp:val=&quot;3CF542C1&quot;/&gt;&lt;wsp:rsid wsp:val=&quot;3D036D02&quot;/&gt;&lt;wsp:rsid wsp:val=&quot;3D1E06B7&quot;/&gt;&lt;wsp:rsid wsp:val=&quot;3D253F5B&quot;/&gt;&lt;wsp:rsid wsp:val=&quot;3D370C87&quot;/&gt;&lt;wsp:rsid wsp:val=&quot;3D452414&quot;/&gt;&lt;wsp:rsid wsp:val=&quot;3D7334A8&quot;/&gt;&lt;wsp:rsid wsp:val=&quot;3D7B789B&quot;/&gt;&lt;wsp:rsid wsp:val=&quot;3D820C29&quot;/&gt;&lt;wsp:rsid wsp:val=&quot;3D886D8F&quot;/&gt;&lt;wsp:rsid wsp:val=&quot;3D960144&quot;/&gt;&lt;wsp:rsid wsp:val=&quot;3D997F87&quot;/&gt;&lt;wsp:rsid wsp:val=&quot;3D9F3BA1&quot;/&gt;&lt;wsp:rsid wsp:val=&quot;3D9F600A&quot;/&gt;&lt;wsp:rsid wsp:val=&quot;3DAD406A&quot;/&gt;&lt;wsp:rsid wsp:val=&quot;3DB54D71&quot;/&gt;&lt;wsp:rsid wsp:val=&quot;3DB71D9A&quot;/&gt;&lt;wsp:rsid wsp:val=&quot;3DBB1F49&quot;/&gt;&lt;wsp:rsid wsp:val=&quot;3DBE0E0E&quot;/&gt;&lt;wsp:rsid wsp:val=&quot;3DD66094&quot;/&gt;&lt;wsp:rsid wsp:val=&quot;3DDC1B63&quot;/&gt;&lt;wsp:rsid wsp:val=&quot;3DDD2303&quot;/&gt;&lt;wsp:rsid wsp:val=&quot;3DF2531F&quot;/&gt;&lt;wsp:rsid wsp:val=&quot;3E0424E1&quot;/&gt;&lt;wsp:rsid wsp:val=&quot;3E127FC7&quot;/&gt;&lt;wsp:rsid wsp:val=&quot;3E242535&quot;/&gt;&lt;wsp:rsid wsp:val=&quot;3E2B46BB&quot;/&gt;&lt;wsp:rsid wsp:val=&quot;3E3E013F&quot;/&gt;&lt;wsp:rsid wsp:val=&quot;3E6B10BD&quot;/&gt;&lt;wsp:rsid wsp:val=&quot;3E6F67E0&quot;/&gt;&lt;wsp:rsid wsp:val=&quot;3E74207E&quot;/&gt;&lt;wsp:rsid wsp:val=&quot;3E7633E9&quot;/&gt;&lt;wsp:rsid wsp:val=&quot;3E795FB3&quot;/&gt;&lt;wsp:rsid wsp:val=&quot;3E8962ED&quot;/&gt;&lt;wsp:rsid wsp:val=&quot;3E8C6495&quot;/&gt;&lt;wsp:rsid wsp:val=&quot;3E8D5AD7&quot;/&gt;&lt;wsp:rsid wsp:val=&quot;3E8D7689&quot;/&gt;&lt;wsp:rsid wsp:val=&quot;3E9A453E&quot;/&gt;&lt;wsp:rsid wsp:val=&quot;3E9F7300&quot;/&gt;&lt;wsp:rsid wsp:val=&quot;3EA05824&quot;/&gt;&lt;wsp:rsid wsp:val=&quot;3EA90A54&quot;/&gt;&lt;wsp:rsid wsp:val=&quot;3EAD7F28&quot;/&gt;&lt;wsp:rsid wsp:val=&quot;3ED10285&quot;/&gt;&lt;wsp:rsid wsp:val=&quot;3EDA0523&quot;/&gt;&lt;wsp:rsid wsp:val=&quot;3EE15F87&quot;/&gt;&lt;wsp:rsid wsp:val=&quot;3EE73376&quot;/&gt;&lt;wsp:rsid wsp:val=&quot;3EF1224D&quot;/&gt;&lt;wsp:rsid wsp:val=&quot;3EFA3768&quot;/&gt;&lt;wsp:rsid wsp:val=&quot;3F037354&quot;/&gt;&lt;wsp:rsid wsp:val=&quot;3F0902C9&quot;/&gt;&lt;wsp:rsid wsp:val=&quot;3F112F5F&quot;/&gt;&lt;wsp:rsid wsp:val=&quot;3F182155&quot;/&gt;&lt;wsp:rsid wsp:val=&quot;3F3B75CE&quot;/&gt;&lt;wsp:rsid wsp:val=&quot;3F495D48&quot;/&gt;&lt;wsp:rsid wsp:val=&quot;3F4C6F8D&quot;/&gt;&lt;wsp:rsid wsp:val=&quot;3F5F61B5&quot;/&gt;&lt;wsp:rsid wsp:val=&quot;3F877C43&quot;/&gt;&lt;wsp:rsid wsp:val=&quot;3F987B1A&quot;/&gt;&lt;wsp:rsid wsp:val=&quot;3F9B1232&quot;/&gt;&lt;wsp:rsid wsp:val=&quot;3F9D6F75&quot;/&gt;&lt;wsp:rsid wsp:val=&quot;3FA44527&quot;/&gt;&lt;wsp:rsid wsp:val=&quot;3FA7373C&quot;/&gt;&lt;wsp:rsid wsp:val=&quot;3FAD15FB&quot;/&gt;&lt;wsp:rsid wsp:val=&quot;3FAE6157&quot;/&gt;&lt;wsp:rsid wsp:val=&quot;3FBD08A8&quot;/&gt;&lt;wsp:rsid wsp:val=&quot;3FC13F77&quot;/&gt;&lt;wsp:rsid wsp:val=&quot;3FCB7F56&quot;/&gt;&lt;wsp:rsid wsp:val=&quot;3FCF6328&quot;/&gt;&lt;wsp:rsid wsp:val=&quot;3FD61C25&quot;/&gt;&lt;wsp:rsid wsp:val=&quot;3FDF1AE9&quot;/&gt;&lt;wsp:rsid wsp:val=&quot;3FE13309&quot;/&gt;&lt;wsp:rsid wsp:val=&quot;3FEA152B&quot;/&gt;&lt;wsp:rsid wsp:val=&quot;3FFD38BE&quot;/&gt;&lt;wsp:rsid wsp:val=&quot;40014000&quot;/&gt;&lt;wsp:rsid wsp:val=&quot;4001677D&quot;/&gt;&lt;wsp:rsid wsp:val=&quot;400C5E08&quot;/&gt;&lt;wsp:rsid wsp:val=&quot;40274F98&quot;/&gt;&lt;wsp:rsid wsp:val=&quot;403D447F&quot;/&gt;&lt;wsp:rsid wsp:val=&quot;40407373&quot;/&gt;&lt;wsp:rsid wsp:val=&quot;404F2978&quot;/&gt;&lt;wsp:rsid wsp:val=&quot;4050076B&quot;/&gt;&lt;wsp:rsid wsp:val=&quot;40712EDE&quot;/&gt;&lt;wsp:rsid wsp:val=&quot;407A6407&quot;/&gt;&lt;wsp:rsid wsp:val=&quot;407B2581&quot;/&gt;&lt;wsp:rsid wsp:val=&quot;407E1780&quot;/&gt;&lt;wsp:rsid wsp:val=&quot;408F5298&quot;/&gt;&lt;wsp:rsid wsp:val=&quot;409C3F8C&quot;/&gt;&lt;wsp:rsid wsp:val=&quot;409D1612&quot;/&gt;&lt;wsp:rsid wsp:val=&quot;40A203AD&quot;/&gt;&lt;wsp:rsid wsp:val=&quot;40AD25FD&quot;/&gt;&lt;wsp:rsid wsp:val=&quot;40B63DB3&quot;/&gt;&lt;wsp:rsid wsp:val=&quot;40B7221B&quot;/&gt;&lt;wsp:rsid wsp:val=&quot;40BC1044&quot;/&gt;&lt;wsp:rsid wsp:val=&quot;40C112D3&quot;/&gt;&lt;wsp:rsid wsp:val=&quot;40CF0629&quot;/&gt;&lt;wsp:rsid wsp:val=&quot;40DB6278&quot;/&gt;&lt;wsp:rsid wsp:val=&quot;40DC2D46&quot;/&gt;&lt;wsp:rsid wsp:val=&quot;40EB1383&quot;/&gt;&lt;wsp:rsid wsp:val=&quot;40EC329C&quot;/&gt;&lt;wsp:rsid wsp:val=&quot;40F53FEC&quot;/&gt;&lt;wsp:rsid wsp:val=&quot;410F677C&quot;/&gt;&lt;wsp:rsid wsp:val=&quot;412451C6&quot;/&gt;&lt;wsp:rsid wsp:val=&quot;41275AA6&quot;/&gt;&lt;wsp:rsid wsp:val=&quot;41337396&quot;/&gt;&lt;wsp:rsid wsp:val=&quot;41377F7D&quot;/&gt;&lt;wsp:rsid wsp:val=&quot;414B735B&quot;/&gt;&lt;wsp:rsid wsp:val=&quot;415574F3&quot;/&gt;&lt;wsp:rsid wsp:val=&quot;41765F5A&quot;/&gt;&lt;wsp:rsid wsp:val=&quot;41792343&quot;/&gt;&lt;wsp:rsid wsp:val=&quot;417F114F&quot;/&gt;&lt;wsp:rsid wsp:val=&quot;418F7DB9&quot;/&gt;&lt;wsp:rsid wsp:val=&quot;41943019&quot;/&gt;&lt;wsp:rsid wsp:val=&quot;419B3998&quot;/&gt;&lt;wsp:rsid wsp:val=&quot;419D15B3&quot;/&gt;&lt;wsp:rsid wsp:val=&quot;41AB7285&quot;/&gt;&lt;wsp:rsid wsp:val=&quot;41B07D66&quot;/&gt;&lt;wsp:rsid wsp:val=&quot;41B22235&quot;/&gt;&lt;wsp:rsid wsp:val=&quot;41C2790E&quot;/&gt;&lt;wsp:rsid wsp:val=&quot;41CA0DF1&quot;/&gt;&lt;wsp:rsid wsp:val=&quot;41CD0302&quot;/&gt;&lt;wsp:rsid wsp:val=&quot;41DC0177&quot;/&gt;&lt;wsp:rsid wsp:val=&quot;4200449D&quot;/&gt;&lt;wsp:rsid wsp:val=&quot;421D7172&quot;/&gt;&lt;wsp:rsid wsp:val=&quot;42257BCD&quot;/&gt;&lt;wsp:rsid wsp:val=&quot;422717CE&quot;/&gt;&lt;wsp:rsid wsp:val=&quot;422C6D26&quot;/&gt;&lt;wsp:rsid wsp:val=&quot;42322967&quot;/&gt;&lt;wsp:rsid wsp:val=&quot;423A3BCC&quot;/&gt;&lt;wsp:rsid wsp:val=&quot;42404F2E&quot;/&gt;&lt;wsp:rsid wsp:val=&quot;424E57D2&quot;/&gt;&lt;wsp:rsid wsp:val=&quot;42507F9E&quot;/&gt;&lt;wsp:rsid wsp:val=&quot;425F241E&quot;/&gt;&lt;wsp:rsid wsp:val=&quot;4264772E&quot;/&gt;&lt;wsp:rsid wsp:val=&quot;426E4935&quot;/&gt;&lt;wsp:rsid wsp:val=&quot;42857A73&quot;/&gt;&lt;wsp:rsid wsp:val=&quot;42884F34&quot;/&gt;&lt;wsp:rsid wsp:val=&quot;42890035&quot;/&gt;&lt;wsp:rsid wsp:val=&quot;428A1185&quot;/&gt;&lt;wsp:rsid wsp:val=&quot;428F79EB&quot;/&gt;&lt;wsp:rsid wsp:val=&quot;42926756&quot;/&gt;&lt;wsp:rsid wsp:val=&quot;429F2355&quot;/&gt;&lt;wsp:rsid wsp:val=&quot;42A82D2C&quot;/&gt;&lt;wsp:rsid wsp:val=&quot;42B26C49&quot;/&gt;&lt;wsp:rsid wsp:val=&quot;42B42798&quot;/&gt;&lt;wsp:rsid wsp:val=&quot;42CF5743&quot;/&gt;&lt;wsp:rsid wsp:val=&quot;42ED4847&quot;/&gt;&lt;wsp:rsid wsp:val=&quot;42F30A76&quot;/&gt;&lt;wsp:rsid wsp:val=&quot;42F51935&quot;/&gt;&lt;wsp:rsid wsp:val=&quot;42F61C3A&quot;/&gt;&lt;wsp:rsid wsp:val=&quot;42F72F45&quot;/&gt;&lt;wsp:rsid wsp:val=&quot;4305152A&quot;/&gt;&lt;wsp:rsid wsp:val=&quot;43056584&quot;/&gt;&lt;wsp:rsid wsp:val=&quot;430A611E&quot;/&gt;&lt;wsp:rsid wsp:val=&quot;43261AA6&quot;/&gt;&lt;wsp:rsid wsp:val=&quot;43377F31&quot;/&gt;&lt;wsp:rsid wsp:val=&quot;433A6FE6&quot;/&gt;&lt;wsp:rsid wsp:val=&quot;43480868&quot;/&gt;&lt;wsp:rsid wsp:val=&quot;434D2D2B&quot;/&gt;&lt;wsp:rsid wsp:val=&quot;4350713C&quot;/&gt;&lt;wsp:rsid wsp:val=&quot;435724EB&quot;/&gt;&lt;wsp:rsid wsp:val=&quot;43617533&quot;/&gt;&lt;wsp:rsid wsp:val=&quot;436653E0&quot;/&gt;&lt;wsp:rsid wsp:val=&quot;436D4740&quot;/&gt;&lt;wsp:rsid wsp:val=&quot;43734BF8&quot;/&gt;&lt;wsp:rsid wsp:val=&quot;43736DBA&quot;/&gt;&lt;wsp:rsid wsp:val=&quot;437E0267&quot;/&gt;&lt;wsp:rsid wsp:val=&quot;43800A50&quot;/&gt;&lt;wsp:rsid wsp:val=&quot;43896A39&quot;/&gt;&lt;wsp:rsid wsp:val=&quot;439E42E3&quot;/&gt;&lt;wsp:rsid wsp:val=&quot;43A010D1&quot;/&gt;&lt;wsp:rsid wsp:val=&quot;43AD4512&quot;/&gt;&lt;wsp:rsid wsp:val=&quot;43BA5344&quot;/&gt;&lt;wsp:rsid wsp:val=&quot;43BF2BD7&quot;/&gt;&lt;wsp:rsid wsp:val=&quot;43C4431A&quot;/&gt;&lt;wsp:rsid wsp:val=&quot;43D04EA2&quot;/&gt;&lt;wsp:rsid wsp:val=&quot;43D14F8C&quot;/&gt;&lt;wsp:rsid wsp:val=&quot;43DE2113&quot;/&gt;&lt;wsp:rsid wsp:val=&quot;43DF2FA1&quot;/&gt;&lt;wsp:rsid wsp:val=&quot;43EB4717&quot;/&gt;&lt;wsp:rsid wsp:val=&quot;43FA6E1D&quot;/&gt;&lt;wsp:rsid wsp:val=&quot;43FF6362&quot;/&gt;&lt;wsp:rsid wsp:val=&quot;440444F4&quot;/&gt;&lt;wsp:rsid wsp:val=&quot;440C73CF&quot;/&gt;&lt;wsp:rsid wsp:val=&quot;44192C4E&quot;/&gt;&lt;wsp:rsid wsp:val=&quot;441C429A&quot;/&gt;&lt;wsp:rsid wsp:val=&quot;443C2D43&quot;/&gt;&lt;wsp:rsid wsp:val=&quot;444113EF&quot;/&gt;&lt;wsp:rsid wsp:val=&quot;44422AAA&quot;/&gt;&lt;wsp:rsid wsp:val=&quot;444405AD&quot;/&gt;&lt;wsp:rsid wsp:val=&quot;444C1428&quot;/&gt;&lt;wsp:rsid wsp:val=&quot;444D2334&quot;/&gt;&lt;wsp:rsid wsp:val=&quot;44570FEB&quot;/&gt;&lt;wsp:rsid wsp:val=&quot;445D43E0&quot;/&gt;&lt;wsp:rsid wsp:val=&quot;4466072C&quot;/&gt;&lt;wsp:rsid wsp:val=&quot;446A0DB2&quot;/&gt;&lt;wsp:rsid wsp:val=&quot;446C2AD2&quot;/&gt;&lt;wsp:rsid wsp:val=&quot;44786418&quot;/&gt;&lt;wsp:rsid wsp:val=&quot;447F5B2E&quot;/&gt;&lt;wsp:rsid wsp:val=&quot;44873A1C&quot;/&gt;&lt;wsp:rsid wsp:val=&quot;44874450&quot;/&gt;&lt;wsp:rsid wsp:val=&quot;449A5066&quot;/&gt;&lt;wsp:rsid wsp:val=&quot;44B951CC&quot;/&gt;&lt;wsp:rsid wsp:val=&quot;44C152BA&quot;/&gt;&lt;wsp:rsid wsp:val=&quot;44CD14E0&quot;/&gt;&lt;wsp:rsid wsp:val=&quot;44F20B0B&quot;/&gt;&lt;wsp:rsid wsp:val=&quot;45077C02&quot;/&gt;&lt;wsp:rsid wsp:val=&quot;450847A9&quot;/&gt;&lt;wsp:rsid wsp:val=&quot;451631A0&quot;/&gt;&lt;wsp:rsid wsp:val=&quot;451829DF&quot;/&gt;&lt;wsp:rsid wsp:val=&quot;451E4B31&quot;/&gt;&lt;wsp:rsid wsp:val=&quot;451F7F85&quot;/&gt;&lt;wsp:rsid wsp:val=&quot;4521501C&quot;/&gt;&lt;wsp:rsid wsp:val=&quot;452B7DF8&quot;/&gt;&lt;wsp:rsid wsp:val=&quot;452E5F4C&quot;/&gt;&lt;wsp:rsid wsp:val=&quot;453B1ED0&quot;/&gt;&lt;wsp:rsid wsp:val=&quot;4540096A&quot;/&gt;&lt;wsp:rsid wsp:val=&quot;454168E5&quot;/&gt;&lt;wsp:rsid wsp:val=&quot;45492A37&quot;/&gt;&lt;wsp:rsid wsp:val=&quot;454C1A80&quot;/&gt;&lt;wsp:rsid wsp:val=&quot;45516873&quot;/&gt;&lt;wsp:rsid wsp:val=&quot;455B5A46&quot;/&gt;&lt;wsp:rsid wsp:val=&quot;45612018&quot;/&gt;&lt;wsp:rsid wsp:val=&quot;456663CD&quot;/&gt;&lt;wsp:rsid wsp:val=&quot;457E261E&quot;/&gt;&lt;wsp:rsid wsp:val=&quot;458946E9&quot;/&gt;&lt;wsp:rsid wsp:val=&quot;458F4A05&quot;/&gt;&lt;wsp:rsid wsp:val=&quot;45997F37&quot;/&gt;&lt;wsp:rsid wsp:val=&quot;45A47C0E&quot;/&gt;&lt;wsp:rsid wsp:val=&quot;45A831F7&quot;/&gt;&lt;wsp:rsid wsp:val=&quot;45A94723&quot;/&gt;&lt;wsp:rsid wsp:val=&quot;45C637E5&quot;/&gt;&lt;wsp:rsid wsp:val=&quot;45C67890&quot;/&gt;&lt;wsp:rsid wsp:val=&quot;45CC353D&quot;/&gt;&lt;wsp:rsid wsp:val=&quot;45EA6E49&quot;/&gt;&lt;wsp:rsid wsp:val=&quot;45EC777E&quot;/&gt;&lt;wsp:rsid wsp:val=&quot;45EE64D4&quot;/&gt;&lt;wsp:rsid wsp:val=&quot;45F33F22&quot;/&gt;&lt;wsp:rsid wsp:val=&quot;46195DB6&quot;/&gt;&lt;wsp:rsid wsp:val=&quot;461D5410&quot;/&gt;&lt;wsp:rsid wsp:val=&quot;4620004A&quot;/&gt;&lt;wsp:rsid wsp:val=&quot;46262FAA&quot;/&gt;&lt;wsp:rsid wsp:val=&quot;462C366B&quot;/&gt;&lt;wsp:rsid wsp:val=&quot;462D6C1B&quot;/&gt;&lt;wsp:rsid wsp:val=&quot;463D3759&quot;/&gt;&lt;wsp:rsid wsp:val=&quot;46461101&quot;/&gt;&lt;wsp:rsid wsp:val=&quot;465144BC&quot;/&gt;&lt;wsp:rsid wsp:val=&quot;46577FD6&quot;/&gt;&lt;wsp:rsid wsp:val=&quot;465A0995&quot;/&gt;&lt;wsp:rsid wsp:val=&quot;46662ED9&quot;/&gt;&lt;wsp:rsid wsp:val=&quot;468224D1&quot;/&gt;&lt;wsp:rsid wsp:val=&quot;469A68D7&quot;/&gt;&lt;wsp:rsid wsp:val=&quot;469B1673&quot;/&gt;&lt;wsp:rsid wsp:val=&quot;469B2D5C&quot;/&gt;&lt;wsp:rsid wsp:val=&quot;46B10C75&quot;/&gt;&lt;wsp:rsid wsp:val=&quot;46CD4D51&quot;/&gt;&lt;wsp:rsid wsp:val=&quot;46CE7F64&quot;/&gt;&lt;wsp:rsid wsp:val=&quot;46D955A7&quot;/&gt;&lt;wsp:rsid wsp:val=&quot;46DB2BB3&quot;/&gt;&lt;wsp:rsid wsp:val=&quot;46EB0A69&quot;/&gt;&lt;wsp:rsid wsp:val=&quot;46EC7EED&quot;/&gt;&lt;wsp:rsid wsp:val=&quot;46ED6EF6&quot;/&gt;&lt;wsp:rsid wsp:val=&quot;46F4765C&quot;/&gt;&lt;wsp:rsid wsp:val=&quot;46F963F2&quot;/&gt;&lt;wsp:rsid wsp:val=&quot;470832A5&quot;/&gt;&lt;wsp:rsid wsp:val=&quot;470C4C67&quot;/&gt;&lt;wsp:rsid wsp:val=&quot;47133957&quot;/&gt;&lt;wsp:rsid wsp:val=&quot;471C7F42&quot;/&gt;&lt;wsp:rsid wsp:val=&quot;472463A2&quot;/&gt;&lt;wsp:rsid wsp:val=&quot;473D1B30&quot;/&gt;&lt;wsp:rsid wsp:val=&quot;474F375B&quot;/&gt;&lt;wsp:rsid wsp:val=&quot;475F3361&quot;/&gt;&lt;wsp:rsid wsp:val=&quot;476615BC&quot;/&gt;&lt;wsp:rsid wsp:val=&quot;477D29CB&quot;/&gt;&lt;wsp:rsid wsp:val=&quot;47901DF8&quot;/&gt;&lt;wsp:rsid wsp:val=&quot;47A07E0C&quot;/&gt;&lt;wsp:rsid wsp:val=&quot;47A55748&quot;/&gt;&lt;wsp:rsid wsp:val=&quot;47BC567F&quot;/&gt;&lt;wsp:rsid wsp:val=&quot;47C02A7A&quot;/&gt;&lt;wsp:rsid wsp:val=&quot;47C55FFE&quot;/&gt;&lt;wsp:rsid wsp:val=&quot;47C66890&quot;/&gt;&lt;wsp:rsid wsp:val=&quot;47CA1A03&quot;/&gt;&lt;wsp:rsid wsp:val=&quot;47CE774B&quot;/&gt;&lt;wsp:rsid wsp:val=&quot;47F76365&quot;/&gt;&lt;wsp:rsid wsp:val=&quot;4803367C&quot;/&gt;&lt;wsp:rsid wsp:val=&quot;481C4F33&quot;/&gt;&lt;wsp:rsid wsp:val=&quot;48300B21&quot;/&gt;&lt;wsp:rsid wsp:val=&quot;483E49A9&quot;/&gt;&lt;wsp:rsid wsp:val=&quot;48491B49&quot;/&gt;&lt;wsp:rsid wsp:val=&quot;48545A7F&quot;/&gt;&lt;wsp:rsid wsp:val=&quot;48605B8E&quot;/&gt;&lt;wsp:rsid wsp:val=&quot;48690518&quot;/&gt;&lt;wsp:rsid wsp:val=&quot;4870272E&quot;/&gt;&lt;wsp:rsid wsp:val=&quot;487A7447&quot;/&gt;&lt;wsp:rsid wsp:val=&quot;48906018&quot;/&gt;&lt;wsp:rsid wsp:val=&quot;48A16297&quot;/&gt;&lt;wsp:rsid wsp:val=&quot;48A6407A&quot;/&gt;&lt;wsp:rsid wsp:val=&quot;48AA0918&quot;/&gt;&lt;wsp:rsid wsp:val=&quot;48AB1F1A&quot;/&gt;&lt;wsp:rsid wsp:val=&quot;48B83D06&quot;/&gt;&lt;wsp:rsid wsp:val=&quot;48D152C3&quot;/&gt;&lt;wsp:rsid wsp:val=&quot;48D2004E&quot;/&gt;&lt;wsp:rsid wsp:val=&quot;48EB6544&quot;/&gt;&lt;wsp:rsid wsp:val=&quot;490F67D8&quot;/&gt;&lt;wsp:rsid wsp:val=&quot;49231F40&quot;/&gt;&lt;wsp:rsid wsp:val=&quot;493973FC&quot;/&gt;&lt;wsp:rsid wsp:val=&quot;493D1A71&quot;/&gt;&lt;wsp:rsid wsp:val=&quot;495E25D0&quot;/&gt;&lt;wsp:rsid wsp:val=&quot;49635EC9&quot;/&gt;&lt;wsp:rsid wsp:val=&quot;497110E1&quot;/&gt;&lt;wsp:rsid wsp:val=&quot;497556A7&quot;/&gt;&lt;wsp:rsid wsp:val=&quot;49874E68&quot;/&gt;&lt;wsp:rsid wsp:val=&quot;498F6B2E&quot;/&gt;&lt;wsp:rsid wsp:val=&quot;499F7D64&quot;/&gt;&lt;wsp:rsid wsp:val=&quot;49AF724A&quot;/&gt;&lt;wsp:rsid wsp:val=&quot;49BD6252&quot;/&gt;&lt;wsp:rsid wsp:val=&quot;49BE02FD&quot;/&gt;&lt;wsp:rsid wsp:val=&quot;49BF0834&quot;/&gt;&lt;wsp:rsid wsp:val=&quot;49C9005F&quot;/&gt;&lt;wsp:rsid wsp:val=&quot;49DA5C0C&quot;/&gt;&lt;wsp:rsid wsp:val=&quot;49DC7715&quot;/&gt;&lt;wsp:rsid wsp:val=&quot;4A023139&quot;/&gt;&lt;wsp:rsid wsp:val=&quot;4A0706B8&quot;/&gt;&lt;wsp:rsid wsp:val=&quot;4A1F0476&quot;/&gt;&lt;wsp:rsid wsp:val=&quot;4A2C41A5&quot;/&gt;&lt;wsp:rsid wsp:val=&quot;4A3724C0&quot;/&gt;&lt;wsp:rsid wsp:val=&quot;4A42614C&quot;/&gt;&lt;wsp:rsid wsp:val=&quot;4A4E6A63&quot;/&gt;&lt;wsp:rsid wsp:val=&quot;4A520AB3&quot;/&gt;&lt;wsp:rsid wsp:val=&quot;4A560724&quot;/&gt;&lt;wsp:rsid wsp:val=&quot;4A571162&quot;/&gt;&lt;wsp:rsid wsp:val=&quot;4A62606A&quot;/&gt;&lt;wsp:rsid wsp:val=&quot;4A7B576F&quot;/&gt;&lt;wsp:rsid wsp:val=&quot;4A832C90&quot;/&gt;&lt;wsp:rsid wsp:val=&quot;4A8C6560&quot;/&gt;&lt;wsp:rsid wsp:val=&quot;4A9449E8&quot;/&gt;&lt;wsp:rsid wsp:val=&quot;4A983915&quot;/&gt;&lt;wsp:rsid wsp:val=&quot;4AA90CE5&quot;/&gt;&lt;wsp:rsid wsp:val=&quot;4AAD01EC&quot;/&gt;&lt;wsp:rsid wsp:val=&quot;4ABB39CC&quot;/&gt;&lt;wsp:rsid wsp:val=&quot;4AC24D5B&quot;/&gt;&lt;wsp:rsid wsp:val=&quot;4AF207F7&quot;/&gt;&lt;wsp:rsid wsp:val=&quot;4AF561A9&quot;/&gt;&lt;wsp:rsid wsp:val=&quot;4B0F597E&quot;/&gt;&lt;wsp:rsid wsp:val=&quot;4B105C3D&quot;/&gt;&lt;wsp:rsid wsp:val=&quot;4B1F01D0&quot;/&gt;&lt;wsp:rsid wsp:val=&quot;4B282637&quot;/&gt;&lt;wsp:rsid wsp:val=&quot;4B2E6D15&quot;/&gt;&lt;wsp:rsid wsp:val=&quot;4B513B37&quot;/&gt;&lt;wsp:rsid wsp:val=&quot;4B521438&quot;/&gt;&lt;wsp:rsid wsp:val=&quot;4B5C51AF&quot;/&gt;&lt;wsp:rsid wsp:val=&quot;4B5E4DF4&quot;/&gt;&lt;wsp:rsid wsp:val=&quot;4B663697&quot;/&gt;&lt;wsp:rsid wsp:val=&quot;4B6B68CE&quot;/&gt;&lt;wsp:rsid wsp:val=&quot;4B7D7970&quot;/&gt;&lt;wsp:rsid wsp:val=&quot;4B81128A&quot;/&gt;&lt;wsp:rsid wsp:val=&quot;4B82399D&quot;/&gt;&lt;wsp:rsid wsp:val=&quot;4B885A53&quot;/&gt;&lt;wsp:rsid wsp:val=&quot;4BA16207&quot;/&gt;&lt;wsp:rsid wsp:val=&quot;4BB061E0&quot;/&gt;&lt;wsp:rsid wsp:val=&quot;4BBC369E&quot;/&gt;&lt;wsp:rsid wsp:val=&quot;4BD4259D&quot;/&gt;&lt;wsp:rsid wsp:val=&quot;4BDE3E16&quot;/&gt;&lt;wsp:rsid wsp:val=&quot;4BEF63BC&quot;/&gt;&lt;wsp:rsid wsp:val=&quot;4BF45399&quot;/&gt;&lt;wsp:rsid wsp:val=&quot;4BF663FF&quot;/&gt;&lt;wsp:rsid wsp:val=&quot;4C011E0F&quot;/&gt;&lt;wsp:rsid wsp:val=&quot;4C092759&quot;/&gt;&lt;wsp:rsid wsp:val=&quot;4C1541CB&quot;/&gt;&lt;wsp:rsid wsp:val=&quot;4C4001F2&quot;/&gt;&lt;wsp:rsid wsp:val=&quot;4C4A0649&quot;/&gt;&lt;wsp:rsid wsp:val=&quot;4C4F219F&quot;/&gt;&lt;wsp:rsid wsp:val=&quot;4C551F09&quot;/&gt;&lt;wsp:rsid wsp:val=&quot;4C6B5DD0&quot;/&gt;&lt;wsp:rsid wsp:val=&quot;4C767255&quot;/&gt;&lt;wsp:rsid wsp:val=&quot;4C7E5ECA&quot;/&gt;&lt;wsp:rsid wsp:val=&quot;4C8057DC&quot;/&gt;&lt;wsp:rsid wsp:val=&quot;4C876AA5&quot;/&gt;&lt;wsp:rsid wsp:val=&quot;4C880B39&quot;/&gt;&lt;wsp:rsid wsp:val=&quot;4C8A7AFA&quot;/&gt;&lt;wsp:rsid wsp:val=&quot;4CA67275&quot;/&gt;&lt;wsp:rsid wsp:val=&quot;4CAF0683&quot;/&gt;&lt;wsp:rsid wsp:val=&quot;4CB02DF1&quot;/&gt;&lt;wsp:rsid wsp:val=&quot;4CC52A7C&quot;/&gt;&lt;wsp:rsid wsp:val=&quot;4CE07CE4&quot;/&gt;&lt;wsp:rsid wsp:val=&quot;4CE10E12&quot;/&gt;&lt;wsp:rsid wsp:val=&quot;4CEF0A91&quot;/&gt;&lt;wsp:rsid wsp:val=&quot;4CFA4C80&quot;/&gt;&lt;wsp:rsid wsp:val=&quot;4CFB7EA9&quot;/&gt;&lt;wsp:rsid wsp:val=&quot;4D0454E9&quot;/&gt;&lt;wsp:rsid wsp:val=&quot;4D0641E2&quot;/&gt;&lt;wsp:rsid wsp:val=&quot;4D073FAA&quot;/&gt;&lt;wsp:rsid wsp:val=&quot;4D0E00FB&quot;/&gt;&lt;wsp:rsid wsp:val=&quot;4D176606&quot;/&gt;&lt;wsp:rsid wsp:val=&quot;4D186DBE&quot;/&gt;&lt;wsp:rsid wsp:val=&quot;4D4C15C3&quot;/&gt;&lt;wsp:rsid wsp:val=&quot;4D4C43B8&quot;/&gt;&lt;wsp:rsid wsp:val=&quot;4D541000&quot;/&gt;&lt;wsp:rsid wsp:val=&quot;4D553095&quot;/&gt;&lt;wsp:rsid wsp:val=&quot;4D5817FD&quot;/&gt;&lt;wsp:rsid wsp:val=&quot;4D5C1C0C&quot;/&gt;&lt;wsp:rsid wsp:val=&quot;4D6549D4&quot;/&gt;&lt;wsp:rsid wsp:val=&quot;4D70453D&quot;/&gt;&lt;wsp:rsid wsp:val=&quot;4D70509A&quot;/&gt;&lt;wsp:rsid wsp:val=&quot;4D7942B4&quot;/&gt;&lt;wsp:rsid wsp:val=&quot;4D983DE0&quot;/&gt;&lt;wsp:rsid wsp:val=&quot;4D9E061F&quot;/&gt;&lt;wsp:rsid wsp:val=&quot;4DAF77C9&quot;/&gt;&lt;wsp:rsid wsp:val=&quot;4DBE5CAD&quot;/&gt;&lt;wsp:rsid wsp:val=&quot;4DC70296&quot;/&gt;&lt;wsp:rsid wsp:val=&quot;4DD80C2B&quot;/&gt;&lt;wsp:rsid wsp:val=&quot;4DDC568C&quot;/&gt;&lt;wsp:rsid wsp:val=&quot;4DDD7DAF&quot;/&gt;&lt;wsp:rsid wsp:val=&quot;4DEC4FB0&quot;/&gt;&lt;wsp:rsid wsp:val=&quot;4DEE37F4&quot;/&gt;&lt;wsp:rsid wsp:val=&quot;4DEF215B&quot;/&gt;&lt;wsp:rsid wsp:val=&quot;4DF07B85&quot;/&gt;&lt;wsp:rsid wsp:val=&quot;4DF90A6C&quot;/&gt;&lt;wsp:rsid wsp:val=&quot;4E06624E&quot;/&gt;&lt;wsp:rsid wsp:val=&quot;4E075D8A&quot;/&gt;&lt;wsp:rsid wsp:val=&quot;4E0F2A2A&quot;/&gt;&lt;wsp:rsid wsp:val=&quot;4E124F6A&quot;/&gt;&lt;wsp:rsid wsp:val=&quot;4E3008A2&quot;/&gt;&lt;wsp:rsid wsp:val=&quot;4E340E30&quot;/&gt;&lt;wsp:rsid wsp:val=&quot;4E387A48&quot;/&gt;&lt;wsp:rsid wsp:val=&quot;4E3C284F&quot;/&gt;&lt;wsp:rsid wsp:val=&quot;4E495A99&quot;/&gt;&lt;wsp:rsid wsp:val=&quot;4E533960&quot;/&gt;&lt;wsp:rsid wsp:val=&quot;4E5722CC&quot;/&gt;&lt;wsp:rsid wsp:val=&quot;4E5763E8&quot;/&gt;&lt;wsp:rsid wsp:val=&quot;4E8140CC&quot;/&gt;&lt;wsp:rsid wsp:val=&quot;4E8642F1&quot;/&gt;&lt;wsp:rsid wsp:val=&quot;4E886911&quot;/&gt;&lt;wsp:rsid wsp:val=&quot;4E8D48AD&quot;/&gt;&lt;wsp:rsid wsp:val=&quot;4E953C7C&quot;/&gt;&lt;wsp:rsid wsp:val=&quot;4E972981&quot;/&gt;&lt;wsp:rsid wsp:val=&quot;4E9C3796&quot;/&gt;&lt;wsp:rsid wsp:val=&quot;4EB32846&quot;/&gt;&lt;wsp:rsid wsp:val=&quot;4EB57366&quot;/&gt;&lt;wsp:rsid wsp:val=&quot;4EC00FAD&quot;/&gt;&lt;wsp:rsid wsp:val=&quot;4EC10D40&quot;/&gt;&lt;wsp:rsid wsp:val=&quot;4EC76B3D&quot;/&gt;&lt;wsp:rsid wsp:val=&quot;4ECB6814&quot;/&gt;&lt;wsp:rsid wsp:val=&quot;4ECC1E91&quot;/&gt;&lt;wsp:rsid wsp:val=&quot;4ED604D4&quot;/&gt;&lt;wsp:rsid wsp:val=&quot;4EDB3AAB&quot;/&gt;&lt;wsp:rsid wsp:val=&quot;4EDE793C&quot;/&gt;&lt;wsp:rsid wsp:val=&quot;4EFD4219&quot;/&gt;&lt;wsp:rsid wsp:val=&quot;4F027E1C&quot;/&gt;&lt;wsp:rsid wsp:val=&quot;4F081E9D&quot;/&gt;&lt;wsp:rsid wsp:val=&quot;4F160DB9&quot;/&gt;&lt;wsp:rsid wsp:val=&quot;4F1F5E3A&quot;/&gt;&lt;wsp:rsid wsp:val=&quot;4F26750A&quot;/&gt;&lt;wsp:rsid wsp:val=&quot;4F38759B&quot;/&gt;&lt;wsp:rsid wsp:val=&quot;4F391364&quot;/&gt;&lt;wsp:rsid wsp:val=&quot;4F626994&quot;/&gt;&lt;wsp:rsid wsp:val=&quot;4F714FA1&quot;/&gt;&lt;wsp:rsid wsp:val=&quot;4F716291&quot;/&gt;&lt;wsp:rsid wsp:val=&quot;4F8275E8&quot;/&gt;&lt;wsp:rsid wsp:val=&quot;4F8422C0&quot;/&gt;&lt;wsp:rsid wsp:val=&quot;4F9843DC&quot;/&gt;&lt;wsp:rsid wsp:val=&quot;4FA6683D&quot;/&gt;&lt;wsp:rsid wsp:val=&quot;4FAF7166&quot;/&gt;&lt;wsp:rsid wsp:val=&quot;4FB05ACA&quot;/&gt;&lt;wsp:rsid wsp:val=&quot;4FC62A8C&quot;/&gt;&lt;wsp:rsid wsp:val=&quot;4FD01CC8&quot;/&gt;&lt;wsp:rsid wsp:val=&quot;4FD83119&quot;/&gt;&lt;wsp:rsid wsp:val=&quot;4FE20F0D&quot;/&gt;&lt;wsp:rsid wsp:val=&quot;4FE51552&quot;/&gt;&lt;wsp:rsid wsp:val=&quot;4FED4228&quot;/&gt;&lt;wsp:rsid wsp:val=&quot;4FF31F0E&quot;/&gt;&lt;wsp:rsid wsp:val=&quot;4FFE672D&quot;/&gt;&lt;wsp:rsid wsp:val=&quot;50143C04&quot;/&gt;&lt;wsp:rsid wsp:val=&quot;50212524&quot;/&gt;&lt;wsp:rsid wsp:val=&quot;50287764&quot;/&gt;&lt;wsp:rsid wsp:val=&quot;502A7769&quot;/&gt;&lt;wsp:rsid wsp:val=&quot;502F4725&quot;/&gt;&lt;wsp:rsid wsp:val=&quot;503F0BFC&quot;/&gt;&lt;wsp:rsid wsp:val=&quot;504306EC&quot;/&gt;&lt;wsp:rsid wsp:val=&quot;50443DFB&quot;/&gt;&lt;wsp:rsid wsp:val=&quot;504A51D7&quot;/&gt;&lt;wsp:rsid wsp:val=&quot;50504C4B&quot;/&gt;&lt;wsp:rsid wsp:val=&quot;505F0FDC&quot;/&gt;&lt;wsp:rsid wsp:val=&quot;50607F6E&quot;/&gt;&lt;wsp:rsid wsp:val=&quot;5075243A&quot;/&gt;&lt;wsp:rsid wsp:val=&quot;50781210&quot;/&gt;&lt;wsp:rsid wsp:val=&quot;507816F2&quot;/&gt;&lt;wsp:rsid wsp:val=&quot;507A1C34&quot;/&gt;&lt;wsp:rsid wsp:val=&quot;508A31CF&quot;/&gt;&lt;wsp:rsid wsp:val=&quot;508C0995&quot;/&gt;&lt;wsp:rsid wsp:val=&quot;50946015&quot;/&gt;&lt;wsp:rsid wsp:val=&quot;50964218&quot;/&gt;&lt;wsp:rsid wsp:val=&quot;50996FE1&quot;/&gt;&lt;wsp:rsid wsp:val=&quot;509B0549&quot;/&gt;&lt;wsp:rsid wsp:val=&quot;509B1A23&quot;/&gt;&lt;wsp:rsid wsp:val=&quot;509C6E7C&quot;/&gt;&lt;wsp:rsid wsp:val=&quot;50AF4E84&quot;/&gt;&lt;wsp:rsid wsp:val=&quot;50B0103A&quot;/&gt;&lt;wsp:rsid wsp:val=&quot;50CB1417&quot;/&gt;&lt;wsp:rsid wsp:val=&quot;50D531EC&quot;/&gt;&lt;wsp:rsid wsp:val=&quot;50D66039&quot;/&gt;&lt;wsp:rsid wsp:val=&quot;50D8235D&quot;/&gt;&lt;wsp:rsid wsp:val=&quot;50DD1B6F&quot;/&gt;&lt;wsp:rsid wsp:val=&quot;50E014FA&quot;/&gt;&lt;wsp:rsid wsp:val=&quot;50EE1EB6&quot;/&gt;&lt;wsp:rsid wsp:val=&quot;50F46C84&quot;/&gt;&lt;wsp:rsid wsp:val=&quot;50F71328&quot;/&gt;&lt;wsp:rsid wsp:val=&quot;50FF71F7&quot;/&gt;&lt;wsp:rsid wsp:val=&quot;510029CF&quot;/&gt;&lt;wsp:rsid wsp:val=&quot;51007CAB&quot;/&gt;&lt;wsp:rsid wsp:val=&quot;51034531&quot;/&gt;&lt;wsp:rsid wsp:val=&quot;51062822&quot;/&gt;&lt;wsp:rsid wsp:val=&quot;51173240&quot;/&gt;&lt;wsp:rsid wsp:val=&quot;51271891&quot;/&gt;&lt;wsp:rsid wsp:val=&quot;51283D83&quot;/&gt;&lt;wsp:rsid wsp:val=&quot;51314777&quot;/&gt;&lt;wsp:rsid wsp:val=&quot;51322A6D&quot;/&gt;&lt;wsp:rsid wsp:val=&quot;514021AB&quot;/&gt;&lt;wsp:rsid wsp:val=&quot;51414746&quot;/&gt;&lt;wsp:rsid wsp:val=&quot;51446B9A&quot;/&gt;&lt;wsp:rsid wsp:val=&quot;51477D68&quot;/&gt;&lt;wsp:rsid wsp:val=&quot;51497574&quot;/&gt;&lt;wsp:rsid wsp:val=&quot;514D7CC5&quot;/&gt;&lt;wsp:rsid wsp:val=&quot;51595F77&quot;/&gt;&lt;wsp:rsid wsp:val=&quot;515E0BB3&quot;/&gt;&lt;wsp:rsid wsp:val=&quot;5162104E&quot;/&gt;&lt;wsp:rsid wsp:val=&quot;51666A97&quot;/&gt;&lt;wsp:rsid wsp:val=&quot;516926DD&quot;/&gt;&lt;wsp:rsid wsp:val=&quot;51787700&quot;/&gt;&lt;wsp:rsid wsp:val=&quot;51934C13&quot;/&gt;&lt;wsp:rsid wsp:val=&quot;51947BAD&quot;/&gt;&lt;wsp:rsid wsp:val=&quot;519A02E5&quot;/&gt;&lt;wsp:rsid wsp:val=&quot;51A34BC9&quot;/&gt;&lt;wsp:rsid wsp:val=&quot;51C5369D&quot;/&gt;&lt;wsp:rsid wsp:val=&quot;51CF72FC&quot;/&gt;&lt;wsp:rsid wsp:val=&quot;51D4599B&quot;/&gt;&lt;wsp:rsid wsp:val=&quot;51E956A5&quot;/&gt;&lt;wsp:rsid wsp:val=&quot;51EF75A1&quot;/&gt;&lt;wsp:rsid wsp:val=&quot;51FA256E&quot;/&gt;&lt;wsp:rsid wsp:val=&quot;51FB7BE3&quot;/&gt;&lt;wsp:rsid wsp:val=&quot;52006227&quot;/&gt;&lt;wsp:rsid wsp:val=&quot;52011CB2&quot;/&gt;&lt;wsp:rsid wsp:val=&quot;52137536&quot;/&gt;&lt;wsp:rsid wsp:val=&quot;521D328A&quot;/&gt;&lt;wsp:rsid wsp:val=&quot;52217292&quot;/&gt;&lt;wsp:rsid wsp:val=&quot;522662FA&quot;/&gt;&lt;wsp:rsid wsp:val=&quot;522B1C97&quot;/&gt;&lt;wsp:rsid wsp:val=&quot;523A5D19&quot;/&gt;&lt;wsp:rsid wsp:val=&quot;523F5DA8&quot;/&gt;&lt;wsp:rsid wsp:val=&quot;525C48EA&quot;/&gt;&lt;wsp:rsid wsp:val=&quot;525E6503&quot;/&gt;&lt;wsp:rsid wsp:val=&quot;5266728D&quot;/&gt;&lt;wsp:rsid wsp:val=&quot;52740F3A&quot;/&gt;&lt;wsp:rsid wsp:val=&quot;5285323E&quot;/&gt;&lt;wsp:rsid wsp:val=&quot;52862B12&quot;/&gt;&lt;wsp:rsid wsp:val=&quot;52936C79&quot;/&gt;&lt;wsp:rsid wsp:val=&quot;52981A4E&quot;/&gt;&lt;wsp:rsid wsp:val=&quot;529D742A&quot;/&gt;&lt;wsp:rsid wsp:val=&quot;529F6E3D&quot;/&gt;&lt;wsp:rsid wsp:val=&quot;52A03B00&quot;/&gt;&lt;wsp:rsid wsp:val=&quot;52A21756&quot;/&gt;&lt;wsp:rsid wsp:val=&quot;52AA2CA4&quot;/&gt;&lt;wsp:rsid wsp:val=&quot;52BB0F4B&quot;/&gt;&lt;wsp:rsid wsp:val=&quot;52C86F99&quot;/&gt;&lt;wsp:rsid wsp:val=&quot;52D12550&quot;/&gt;&lt;wsp:rsid wsp:val=&quot;52D970E6&quot;/&gt;&lt;wsp:rsid wsp:val=&quot;52E837CD&quot;/&gt;&lt;wsp:rsid wsp:val=&quot;52F50D34&quot;/&gt;&lt;wsp:rsid wsp:val=&quot;53096844&quot;/&gt;&lt;wsp:rsid wsp:val=&quot;530A729F&quot;/&gt;&lt;wsp:rsid wsp:val=&quot;53126014&quot;/&gt;&lt;wsp:rsid wsp:val=&quot;53196087&quot;/&gt;&lt;wsp:rsid wsp:val=&quot;5325057D&quot;/&gt;&lt;wsp:rsid wsp:val=&quot;534516DE&quot;/&gt;&lt;wsp:rsid wsp:val=&quot;534F1156&quot;/&gt;&lt;wsp:rsid wsp:val=&quot;53507662&quot;/&gt;&lt;wsp:rsid wsp:val=&quot;536E4AEE&quot;/&gt;&lt;wsp:rsid wsp:val=&quot;536F6AE8&quot;/&gt;&lt;wsp:rsid wsp:val=&quot;53A039CC&quot;/&gt;&lt;wsp:rsid wsp:val=&quot;53A1505A&quot;/&gt;&lt;wsp:rsid wsp:val=&quot;53A677EB&quot;/&gt;&lt;wsp:rsid wsp:val=&quot;53AF1CC2&quot;/&gt;&lt;wsp:rsid wsp:val=&quot;53BF0356&quot;/&gt;&lt;wsp:rsid wsp:val=&quot;53C315D6&quot;/&gt;&lt;wsp:rsid wsp:val=&quot;53C57773&quot;/&gt;&lt;wsp:rsid wsp:val=&quot;53C702D5&quot;/&gt;&lt;wsp:rsid wsp:val=&quot;53C93D09&quot;/&gt;&lt;wsp:rsid wsp:val=&quot;53CE24C0&quot;/&gt;&lt;wsp:rsid wsp:val=&quot;53DF697E&quot;/&gt;&lt;wsp:rsid wsp:val=&quot;53E001FC&quot;/&gt;&lt;wsp:rsid wsp:val=&quot;53EF1818&quot;/&gt;&lt;wsp:rsid wsp:val=&quot;53FC1D8B&quot;/&gt;&lt;wsp:rsid wsp:val=&quot;54063E08&quot;/&gt;&lt;wsp:rsid wsp:val=&quot;540B4B6C&quot;/&gt;&lt;wsp:rsid wsp:val=&quot;541668D5&quot;/&gt;&lt;wsp:rsid wsp:val=&quot;541F781D&quot;/&gt;&lt;wsp:rsid wsp:val=&quot;54230542&quot;/&gt;&lt;wsp:rsid wsp:val=&quot;5424518B&quot;/&gt;&lt;wsp:rsid wsp:val=&quot;543437E8&quot;/&gt;&lt;wsp:rsid wsp:val=&quot;543642A3&quot;/&gt;&lt;wsp:rsid wsp:val=&quot;54395097&quot;/&gt;&lt;wsp:rsid wsp:val=&quot;54455546&quot;/&gt;&lt;wsp:rsid wsp:val=&quot;545A24A8&quot;/&gt;&lt;wsp:rsid wsp:val=&quot;545D49A3&quot;/&gt;&lt;wsp:rsid wsp:val=&quot;545D6F6D&quot;/&gt;&lt;wsp:rsid wsp:val=&quot;545E7C1D&quot;/&gt;&lt;wsp:rsid wsp:val=&quot;54694CCB&quot;/&gt;&lt;wsp:rsid wsp:val=&quot;54822F53&quot;/&gt;&lt;wsp:rsid wsp:val=&quot;549E14F7&quot;/&gt;&lt;wsp:rsid wsp:val=&quot;54A10752&quot;/&gt;&lt;wsp:rsid wsp:val=&quot;54A67FC7&quot;/&gt;&lt;wsp:rsid wsp:val=&quot;54B40903&quot;/&gt;&lt;wsp:rsid wsp:val=&quot;54C50D44&quot;/&gt;&lt;wsp:rsid wsp:val=&quot;54F11F33&quot;/&gt;&lt;wsp:rsid wsp:val=&quot;54F73313&quot;/&gt;&lt;wsp:rsid wsp:val=&quot;54F80955&quot;/&gt;&lt;wsp:rsid wsp:val=&quot;55156B3F&quot;/&gt;&lt;wsp:rsid wsp:val=&quot;551657D6&quot;/&gt;&lt;wsp:rsid wsp:val=&quot;551F3B9A&quot;/&gt;&lt;wsp:rsid wsp:val=&quot;552C5349&quot;/&gt;&lt;wsp:rsid wsp:val=&quot;5533009A&quot;/&gt;&lt;wsp:rsid wsp:val=&quot;554904CA&quot;/&gt;&lt;wsp:rsid wsp:val=&quot;554A3878&quot;/&gt;&lt;wsp:rsid wsp:val=&quot;555170A7&quot;/&gt;&lt;wsp:rsid wsp:val=&quot;55524F2D&quot;/&gt;&lt;wsp:rsid wsp:val=&quot;55576924&quot;/&gt;&lt;wsp:rsid wsp:val=&quot;556601C1&quot;/&gt;&lt;wsp:rsid wsp:val=&quot;5566710A&quot;/&gt;&lt;wsp:rsid wsp:val=&quot;55707F73&quot;/&gt;&lt;wsp:rsid wsp:val=&quot;557257AC&quot;/&gt;&lt;wsp:rsid wsp:val=&quot;55760700&quot;/&gt;&lt;wsp:rsid wsp:val=&quot;557B6F46&quot;/&gt;&lt;wsp:rsid wsp:val=&quot;558068D2&quot;/&gt;&lt;wsp:rsid wsp:val=&quot;55852E44&quot;/&gt;&lt;wsp:rsid wsp:val=&quot;5587536D&quot;/&gt;&lt;wsp:rsid wsp:val=&quot;55887DCB&quot;/&gt;&lt;wsp:rsid wsp:val=&quot;558C63F0&quot;/&gt;&lt;wsp:rsid wsp:val=&quot;55905E03&quot;/&gt;&lt;wsp:rsid wsp:val=&quot;559334FE&quot;/&gt;&lt;wsp:rsid wsp:val=&quot;559B174B&quot;/&gt;&lt;wsp:rsid wsp:val=&quot;55AC3BAE&quot;/&gt;&lt;wsp:rsid wsp:val=&quot;55B87486&quot;/&gt;&lt;wsp:rsid wsp:val=&quot;55BB2782&quot;/&gt;&lt;wsp:rsid wsp:val=&quot;55BC36B8&quot;/&gt;&lt;wsp:rsid wsp:val=&quot;55C41DEB&quot;/&gt;&lt;wsp:rsid wsp:val=&quot;55CC4CE0&quot;/&gt;&lt;wsp:rsid wsp:val=&quot;55CE0CF4&quot;/&gt;&lt;wsp:rsid wsp:val=&quot;55CF6A73&quot;/&gt;&lt;wsp:rsid wsp:val=&quot;55DA15EA&quot;/&gt;&lt;wsp:rsid wsp:val=&quot;55DB13C7&quot;/&gt;&lt;wsp:rsid wsp:val=&quot;55E22755&quot;/&gt;&lt;wsp:rsid wsp:val=&quot;55EE4C56&quot;/&gt;&lt;wsp:rsid wsp:val=&quot;55EE73DB&quot;/&gt;&lt;wsp:rsid wsp:val=&quot;560721BC&quot;/&gt;&lt;wsp:rsid wsp:val=&quot;560A3B37&quot;/&gt;&lt;wsp:rsid wsp:val=&quot;561A3281&quot;/&gt;&lt;wsp:rsid wsp:val=&quot;561A774B&quot;/&gt;&lt;wsp:rsid wsp:val=&quot;56221550&quot;/&gt;&lt;wsp:rsid wsp:val=&quot;56282E9D&quot;/&gt;&lt;wsp:rsid wsp:val=&quot;562C5B54&quot;/&gt;&lt;wsp:rsid wsp:val=&quot;562D63B6&quot;/&gt;&lt;wsp:rsid wsp:val=&quot;562F3EBC&quot;/&gt;&lt;wsp:rsid wsp:val=&quot;563230B2&quot;/&gt;&lt;wsp:rsid wsp:val=&quot;563D16B5&quot;/&gt;&lt;wsp:rsid wsp:val=&quot;563E7736&quot;/&gt;&lt;wsp:rsid wsp:val=&quot;56400BAE&quot;/&gt;&lt;wsp:rsid wsp:val=&quot;56436DEA&quot;/&gt;&lt;wsp:rsid wsp:val=&quot;56466840&quot;/&gt;&lt;wsp:rsid wsp:val=&quot;56545C38&quot;/&gt;&lt;wsp:rsid wsp:val=&quot;565630BD&quot;/&gt;&lt;wsp:rsid wsp:val=&quot;56584C31&quot;/&gt;&lt;wsp:rsid wsp:val=&quot;56632DAB&quot;/&gt;&lt;wsp:rsid wsp:val=&quot;56680EAC&quot;/&gt;&lt;wsp:rsid wsp:val=&quot;566F7524&quot;/&gt;&lt;wsp:rsid wsp:val=&quot;56710779&quot;/&gt;&lt;wsp:rsid wsp:val=&quot;567F5B69&quot;/&gt;&lt;wsp:rsid wsp:val=&quot;56834428&quot;/&gt;&lt;wsp:rsid wsp:val=&quot;568367B8&quot;/&gt;&lt;wsp:rsid wsp:val=&quot;569234CD&quot;/&gt;&lt;wsp:rsid wsp:val=&quot;569A4429&quot;/&gt;&lt;wsp:rsid wsp:val=&quot;56B22A9C&quot;/&gt;&lt;wsp:rsid wsp:val=&quot;56C34899&quot;/&gt;&lt;wsp:rsid wsp:val=&quot;56C50387&quot;/&gt;&lt;wsp:rsid wsp:val=&quot;56CE14ED&quot;/&gt;&lt;wsp:rsid wsp:val=&quot;56DC71A4&quot;/&gt;&lt;wsp:rsid wsp:val=&quot;56FA61B6&quot;/&gt;&lt;wsp:rsid wsp:val=&quot;56FB574C&quot;/&gt;&lt;wsp:rsid wsp:val=&quot;56FF4F3E&quot;/&gt;&lt;wsp:rsid wsp:val=&quot;57334F76&quot;/&gt;&lt;wsp:rsid wsp:val=&quot;573C40E7&quot;/&gt;&lt;wsp:rsid wsp:val=&quot;574D6B80&quot;/&gt;&lt;wsp:rsid wsp:val=&quot;575F1533&quot;/&gt;&lt;wsp:rsid wsp:val=&quot;57774EDC&quot;/&gt;&lt;wsp:rsid wsp:val=&quot;57803CDA&quot;/&gt;&lt;wsp:rsid wsp:val=&quot;578810DA&quot;/&gt;&lt;wsp:rsid wsp:val=&quot;579161E1&quot;/&gt;&lt;wsp:rsid wsp:val=&quot;57932527&quot;/&gt;&lt;wsp:rsid wsp:val=&quot;5797074A&quot;/&gt;&lt;wsp:rsid wsp:val=&quot;57A41393&quot;/&gt;&lt;wsp:rsid wsp:val=&quot;57A54D6A&quot;/&gt;&lt;wsp:rsid wsp:val=&quot;57B72A76&quot;/&gt;&lt;wsp:rsid wsp:val=&quot;57B72E89&quot;/&gt;&lt;wsp:rsid wsp:val=&quot;57C3426C&quot;/&gt;&lt;wsp:rsid wsp:val=&quot;57C70A05&quot;/&gt;&lt;wsp:rsid wsp:val=&quot;57CE1F93&quot;/&gt;&lt;wsp:rsid wsp:val=&quot;57D04BC4&quot;/&gt;&lt;wsp:rsid wsp:val=&quot;57D460CD&quot;/&gt;&lt;wsp:rsid wsp:val=&quot;57D936E4&quot;/&gt;&lt;wsp:rsid wsp:val=&quot;57DB27E2&quot;/&gt;&lt;wsp:rsid wsp:val=&quot;57F51E33&quot;/&gt;&lt;wsp:rsid wsp:val=&quot;5811130E&quot;/&gt;&lt;wsp:rsid wsp:val=&quot;58115D78&quot;/&gt;&lt;wsp:rsid wsp:val=&quot;583A0779&quot;/&gt;&lt;wsp:rsid wsp:val=&quot;58452F4C&quot;/&gt;&lt;wsp:rsid wsp:val=&quot;58466AB7&quot;/&gt;&lt;wsp:rsid wsp:val=&quot;58466E37&quot;/&gt;&lt;wsp:rsid wsp:val=&quot;584B7844&quot;/&gt;&lt;wsp:rsid wsp:val=&quot;586D5A14&quot;/&gt;&lt;wsp:rsid wsp:val=&quot;58704B5D&quot;/&gt;&lt;wsp:rsid wsp:val=&quot;58873026&quot;/&gt;&lt;wsp:rsid wsp:val=&quot;588743D1&quot;/&gt;&lt;wsp:rsid wsp:val=&quot;58876E0A&quot;/&gt;&lt;wsp:rsid wsp:val=&quot;5887701A&quot;/&gt;&lt;wsp:rsid wsp:val=&quot;588A3D0F&quot;/&gt;&lt;wsp:rsid wsp:val=&quot;588B3DC9&quot;/&gt;&lt;wsp:rsid wsp:val=&quot;58AF6841&quot;/&gt;&lt;wsp:rsid wsp:val=&quot;58B702DB&quot;/&gt;&lt;wsp:rsid wsp:val=&quot;58BE2751&quot;/&gt;&lt;wsp:rsid wsp:val=&quot;58C36EE9&quot;/&gt;&lt;wsp:rsid wsp:val=&quot;58CD2411&quot;/&gt;&lt;wsp:rsid wsp:val=&quot;58D51CE6&quot;/&gt;&lt;wsp:rsid wsp:val=&quot;58DC2B67&quot;/&gt;&lt;wsp:rsid wsp:val=&quot;58DF3D9A&quot;/&gt;&lt;wsp:rsid wsp:val=&quot;58F509F1&quot;/&gt;&lt;wsp:rsid wsp:val=&quot;59081577&quot;/&gt;&lt;wsp:rsid wsp:val=&quot;59157509&quot;/&gt;&lt;wsp:rsid wsp:val=&quot;592075D4&quot;/&gt;&lt;wsp:rsid wsp:val=&quot;59267297&quot;/&gt;&lt;wsp:rsid wsp:val=&quot;59305E4B&quot;/&gt;&lt;wsp:rsid wsp:val=&quot;59320195&quot;/&gt;&lt;wsp:rsid wsp:val=&quot;59366DFC&quot;/&gt;&lt;wsp:rsid wsp:val=&quot;59433B27&quot;/&gt;&lt;wsp:rsid wsp:val=&quot;594560AB&quot;/&gt;&lt;wsp:rsid wsp:val=&quot;594E21EE&quot;/&gt;&lt;wsp:rsid wsp:val=&quot;59511195&quot;/&gt;&lt;wsp:rsid wsp:val=&quot;59551ADB&quot;/&gt;&lt;wsp:rsid wsp:val=&quot;595557D9&quot;/&gt;&lt;wsp:rsid wsp:val=&quot;596260DC&quot;/&gt;&lt;wsp:rsid wsp:val=&quot;596B05CA&quot;/&gt;&lt;wsp:rsid wsp:val=&quot;596F344F&quot;/&gt;&lt;wsp:rsid wsp:val=&quot;598679E0&quot;/&gt;&lt;wsp:rsid wsp:val=&quot;59A80757&quot;/&gt;&lt;wsp:rsid wsp:val=&quot;59B30532&quot;/&gt;&lt;wsp:rsid wsp:val=&quot;59C0439F&quot;/&gt;&lt;wsp:rsid wsp:val=&quot;59C10AB4&quot;/&gt;&lt;wsp:rsid wsp:val=&quot;59C2088C&quot;/&gt;&lt;wsp:rsid wsp:val=&quot;59C32D98&quot;/&gt;&lt;wsp:rsid wsp:val=&quot;59C83A10&quot;/&gt;&lt;wsp:rsid wsp:val=&quot;59CF7EE7&quot;/&gt;&lt;wsp:rsid wsp:val=&quot;59D61682&quot;/&gt;&lt;wsp:rsid wsp:val=&quot;59E52B83&quot;/&gt;&lt;wsp:rsid wsp:val=&quot;59E62C66&quot;/&gt;&lt;wsp:rsid wsp:val=&quot;59EB3206&quot;/&gt;&lt;wsp:rsid wsp:val=&quot;59EF5C27&quot;/&gt;&lt;wsp:rsid wsp:val=&quot;59F02FE1&quot;/&gt;&lt;wsp:rsid wsp:val=&quot;59F93809&quot;/&gt;&lt;wsp:rsid wsp:val=&quot;59F97F13&quot;/&gt;&lt;wsp:rsid wsp:val=&quot;59FC3607&quot;/&gt;&lt;wsp:rsid wsp:val=&quot;5A132245&quot;/&gt;&lt;wsp:rsid wsp:val=&quot;5A1C589B&quot;/&gt;&lt;wsp:rsid wsp:val=&quot;5A24333C&quot;/&gt;&lt;wsp:rsid wsp:val=&quot;5A313DD0&quot;/&gt;&lt;wsp:rsid wsp:val=&quot;5A332B49&quot;/&gt;&lt;wsp:rsid wsp:val=&quot;5A4B4758&quot;/&gt;&lt;wsp:rsid wsp:val=&quot;5A53641C&quot;/&gt;&lt;wsp:rsid wsp:val=&quot;5A746279&quot;/&gt;&lt;wsp:rsid wsp:val=&quot;5A817D18&quot;/&gt;&lt;wsp:rsid wsp:val=&quot;5A885764&quot;/&gt;&lt;wsp:rsid wsp:val=&quot;5A8F1AF0&quot;/&gt;&lt;wsp:rsid wsp:val=&quot;5A9153C1&quot;/&gt;&lt;wsp:rsid wsp:val=&quot;5A952931&quot;/&gt;&lt;wsp:rsid wsp:val=&quot;5A955B8D&quot;/&gt;&lt;wsp:rsid wsp:val=&quot;5AA906B6&quot;/&gt;&lt;wsp:rsid wsp:val=&quot;5AB434FE&quot;/&gt;&lt;wsp:rsid wsp:val=&quot;5ABB5765&quot;/&gt;&lt;wsp:rsid wsp:val=&quot;5ABE2233&quot;/&gt;&lt;wsp:rsid wsp:val=&quot;5ABE7745&quot;/&gt;&lt;wsp:rsid wsp:val=&quot;5AC41A44&quot;/&gt;&lt;wsp:rsid wsp:val=&quot;5AC95C92&quot;/&gt;&lt;wsp:rsid wsp:val=&quot;5ACF4540&quot;/&gt;&lt;wsp:rsid wsp:val=&quot;5AF365A6&quot;/&gt;&lt;wsp:rsid wsp:val=&quot;5B081AB1&quot;/&gt;&lt;wsp:rsid wsp:val=&quot;5B21787C&quot;/&gt;&lt;wsp:rsid wsp:val=&quot;5B247BDA&quot;/&gt;&lt;wsp:rsid wsp:val=&quot;5B3103DE&quot;/&gt;&lt;wsp:rsid wsp:val=&quot;5B3204EB&quot;/&gt;&lt;wsp:rsid wsp:val=&quot;5B320CFC&quot;/&gt;&lt;wsp:rsid wsp:val=&quot;5B340819&quot;/&gt;&lt;wsp:rsid wsp:val=&quot;5B461090&quot;/&gt;&lt;wsp:rsid wsp:val=&quot;5B705AB6&quot;/&gt;&lt;wsp:rsid wsp:val=&quot;5B706171&quot;/&gt;&lt;wsp:rsid wsp:val=&quot;5B9048ED&quot;/&gt;&lt;wsp:rsid wsp:val=&quot;5B93080E&quot;/&gt;&lt;wsp:rsid wsp:val=&quot;5B975968&quot;/&gt;&lt;wsp:rsid wsp:val=&quot;5B9B6CC5&quot;/&gt;&lt;wsp:rsid wsp:val=&quot;5B9E3A4D&quot;/&gt;&lt;wsp:rsid wsp:val=&quot;5BA216A9&quot;/&gt;&lt;wsp:rsid wsp:val=&quot;5BBD4A2F&quot;/&gt;&lt;wsp:rsid wsp:val=&quot;5BDF5D95&quot;/&gt;&lt;wsp:rsid wsp:val=&quot;5BE014E5&quot;/&gt;&lt;wsp:rsid wsp:val=&quot;5BE508A9&quot;/&gt;&lt;wsp:rsid wsp:val=&quot;5BE90D2F&quot;/&gt;&lt;wsp:rsid wsp:val=&quot;5BEF34D6&quot;/&gt;&lt;wsp:rsid wsp:val=&quot;5BFE7528&quot;/&gt;&lt;wsp:rsid wsp:val=&quot;5C197303&quot;/&gt;&lt;wsp:rsid wsp:val=&quot;5C1D57B0&quot;/&gt;&lt;wsp:rsid wsp:val=&quot;5C25755E&quot;/&gt;&lt;wsp:rsid wsp:val=&quot;5C4A7263&quot;/&gt;&lt;wsp:rsid wsp:val=&quot;5C5030D5&quot;/&gt;&lt;wsp:rsid wsp:val=&quot;5C51268C&quot;/&gt;&lt;wsp:rsid wsp:val=&quot;5C6E71B6&quot;/&gt;&lt;wsp:rsid wsp:val=&quot;5C8271B2&quot;/&gt;&lt;wsp:rsid wsp:val=&quot;5C886ECF&quot;/&gt;&lt;wsp:rsid wsp:val=&quot;5C8F717E&quot;/&gt;&lt;wsp:rsid wsp:val=&quot;5C943DF3&quot;/&gt;&lt;wsp:rsid wsp:val=&quot;5CBF0AD5&quot;/&gt;&lt;wsp:rsid wsp:val=&quot;5CD1185B&quot;/&gt;&lt;wsp:rsid wsp:val=&quot;5CD728D9&quot;/&gt;&lt;wsp:rsid wsp:val=&quot;5CD80B32&quot;/&gt;&lt;wsp:rsid wsp:val=&quot;5CE52203&quot;/&gt;&lt;wsp:rsid wsp:val=&quot;5CF473A1&quot;/&gt;&lt;wsp:rsid wsp:val=&quot;5CF8460C&quot;/&gt;&lt;wsp:rsid wsp:val=&quot;5D031046&quot;/&gt;&lt;wsp:rsid wsp:val=&quot;5D0A7893&quot;/&gt;&lt;wsp:rsid wsp:val=&quot;5D12579E&quot;/&gt;&lt;wsp:rsid wsp:val=&quot;5D1F7E48&quot;/&gt;&lt;wsp:rsid wsp:val=&quot;5D203D40&quot;/&gt;&lt;wsp:rsid wsp:val=&quot;5D2E0980&quot;/&gt;&lt;wsp:rsid wsp:val=&quot;5D3B0324&quot;/&gt;&lt;wsp:rsid wsp:val=&quot;5D407B47&quot;/&gt;&lt;wsp:rsid wsp:val=&quot;5D481DCB&quot;/&gt;&lt;wsp:rsid wsp:val=&quot;5D4F6768&quot;/&gt;&lt;wsp:rsid wsp:val=&quot;5D7353F3&quot;/&gt;&lt;wsp:rsid wsp:val=&quot;5D782E5F&quot;/&gt;&lt;wsp:rsid wsp:val=&quot;5D78456B&quot;/&gt;&lt;wsp:rsid wsp:val=&quot;5D7A371B&quot;/&gt;&lt;wsp:rsid wsp:val=&quot;5D81714F&quot;/&gt;&lt;wsp:rsid wsp:val=&quot;5D9E2770&quot;/&gt;&lt;wsp:rsid wsp:val=&quot;5D9E7ED1&quot;/&gt;&lt;wsp:rsid wsp:val=&quot;5DA404B8&quot;/&gt;&lt;wsp:rsid wsp:val=&quot;5DA7517A&quot;/&gt;&lt;wsp:rsid wsp:val=&quot;5DBC217B&quot;/&gt;&lt;wsp:rsid wsp:val=&quot;5DC170F4&quot;/&gt;&lt;wsp:rsid wsp:val=&quot;5DC3008B&quot;/&gt;&lt;wsp:rsid wsp:val=&quot;5DC76D7D&quot;/&gt;&lt;wsp:rsid wsp:val=&quot;5DCC36BB&quot;/&gt;&lt;wsp:rsid wsp:val=&quot;5DCC72BC&quot;/&gt;&lt;wsp:rsid wsp:val=&quot;5DD36312&quot;/&gt;&lt;wsp:rsid wsp:val=&quot;5DD4397B&quot;/&gt;&lt;wsp:rsid wsp:val=&quot;5DD9443E&quot;/&gt;&lt;wsp:rsid wsp:val=&quot;5DE400C5&quot;/&gt;&lt;wsp:rsid wsp:val=&quot;5DF9688E&quot;/&gt;&lt;wsp:rsid wsp:val=&quot;5DFF3B6B&quot;/&gt;&lt;wsp:rsid wsp:val=&quot;5E123555&quot;/&gt;&lt;wsp:rsid wsp:val=&quot;5E2467F1&quot;/&gt;&lt;wsp:rsid wsp:val=&quot;5E37408E&quot;/&gt;&lt;wsp:rsid wsp:val=&quot;5E451C9F&quot;/&gt;&lt;wsp:rsid wsp:val=&quot;5E452E98&quot;/&gt;&lt;wsp:rsid wsp:val=&quot;5E4B74CC&quot;/&gt;&lt;wsp:rsid wsp:val=&quot;5E4C10B3&quot;/&gt;&lt;wsp:rsid wsp:val=&quot;5E575493&quot;/&gt;&lt;wsp:rsid wsp:val=&quot;5E59557E&quot;/&gt;&lt;wsp:rsid wsp:val=&quot;5E616CC8&quot;/&gt;&lt;wsp:rsid wsp:val=&quot;5E744A59&quot;/&gt;&lt;wsp:rsid wsp:val=&quot;5E8723C4&quot;/&gt;&lt;wsp:rsid wsp:val=&quot;5EA00E30&quot;/&gt;&lt;wsp:rsid wsp:val=&quot;5EA3434D&quot;/&gt;&lt;wsp:rsid wsp:val=&quot;5EA644DB&quot;/&gt;&lt;wsp:rsid wsp:val=&quot;5EBC2B08&quot;/&gt;&lt;wsp:rsid wsp:val=&quot;5EC12033&quot;/&gt;&lt;wsp:rsid wsp:val=&quot;5EC93E2B&quot;/&gt;&lt;wsp:rsid wsp:val=&quot;5ECF669E&quot;/&gt;&lt;wsp:rsid wsp:val=&quot;5ED67C15&quot;/&gt;&lt;wsp:rsid wsp:val=&quot;5EE00ED2&quot;/&gt;&lt;wsp:rsid wsp:val=&quot;5EEE2144&quot;/&gt;&lt;wsp:rsid wsp:val=&quot;5EF47580&quot;/&gt;&lt;wsp:rsid wsp:val=&quot;5F011BBE&quot;/&gt;&lt;wsp:rsid wsp:val=&quot;5F1A2B43&quot;/&gt;&lt;wsp:rsid wsp:val=&quot;5F263873&quot;/&gt;&lt;wsp:rsid wsp:val=&quot;5F2D48AB&quot;/&gt;&lt;wsp:rsid wsp:val=&quot;5F342BF5&quot;/&gt;&lt;wsp:rsid wsp:val=&quot;5F36282D&quot;/&gt;&lt;wsp:rsid wsp:val=&quot;5F367635&quot;/&gt;&lt;wsp:rsid wsp:val=&quot;5F517FEB&quot;/&gt;&lt;wsp:rsid wsp:val=&quot;5F697E94&quot;/&gt;&lt;wsp:rsid wsp:val=&quot;5F6C76F4&quot;/&gt;&lt;wsp:rsid wsp:val=&quot;5F76780E&quot;/&gt;&lt;wsp:rsid wsp:val=&quot;5F771493&quot;/&gt;&lt;wsp:rsid wsp:val=&quot;5F806979&quot;/&gt;&lt;wsp:rsid wsp:val=&quot;5F8142A4&quot;/&gt;&lt;wsp:rsid wsp:val=&quot;5F887568&quot;/&gt;&lt;wsp:rsid wsp:val=&quot;5F9467B8&quot;/&gt;&lt;wsp:rsid wsp:val=&quot;5F95509B&quot;/&gt;&lt;wsp:rsid wsp:val=&quot;5FA27AE7&quot;/&gt;&lt;wsp:rsid wsp:val=&quot;5FAA7EBE&quot;/&gt;&lt;wsp:rsid wsp:val=&quot;5FB70719&quot;/&gt;&lt;wsp:rsid wsp:val=&quot;5FB837BB&quot;/&gt;&lt;wsp:rsid wsp:val=&quot;5FBB1776&quot;/&gt;&lt;wsp:rsid wsp:val=&quot;5FC07E46&quot;/&gt;&lt;wsp:rsid wsp:val=&quot;5FCA5107&quot;/&gt;&lt;wsp:rsid wsp:val=&quot;5FD64512&quot;/&gt;&lt;wsp:rsid wsp:val=&quot;5FEC27F4&quot;/&gt;&lt;wsp:rsid wsp:val=&quot;5FF67529&quot;/&gt;&lt;wsp:rsid wsp:val=&quot;60086481&quot;/&gt;&lt;wsp:rsid wsp:val=&quot;60093E5D&quot;/&gt;&lt;wsp:rsid wsp:val=&quot;600E3E9F&quot;/&gt;&lt;wsp:rsid wsp:val=&quot;600E415F&quot;/&gt;&lt;wsp:rsid wsp:val=&quot;601305BA&quot;/&gt;&lt;wsp:rsid wsp:val=&quot;60500CD6&quot;/&gt;&lt;wsp:rsid wsp:val=&quot;605835C4&quot;/&gt;&lt;wsp:rsid wsp:val=&quot;60726495&quot;/&gt;&lt;wsp:rsid wsp:val=&quot;608217EC&quot;/&gt;&lt;wsp:rsid wsp:val=&quot;60874774&quot;/&gt;&lt;wsp:rsid wsp:val=&quot;60994EF4&quot;/&gt;&lt;wsp:rsid wsp:val=&quot;60AB55CD&quot;/&gt;&lt;wsp:rsid wsp:val=&quot;60C20973&quot;/&gt;&lt;wsp:rsid wsp:val=&quot;60CA0D14&quot;/&gt;&lt;wsp:rsid wsp:val=&quot;60CC405A&quot;/&gt;&lt;wsp:rsid wsp:val=&quot;60CD0DB1&quot;/&gt;&lt;wsp:rsid wsp:val=&quot;60DC1B01&quot;/&gt;&lt;wsp:rsid wsp:val=&quot;60EF3D76&quot;/&gt;&lt;wsp:rsid wsp:val=&quot;60F12370&quot;/&gt;&lt;wsp:rsid wsp:val=&quot;60F7492E&quot;/&gt;&lt;wsp:rsid wsp:val=&quot;60FF5A53&quot;/&gt;&lt;wsp:rsid wsp:val=&quot;6103669A&quot;/&gt;&lt;wsp:rsid wsp:val=&quot;611008D8&quot;/&gt;&lt;wsp:rsid wsp:val=&quot;61133825&quot;/&gt;&lt;wsp:rsid wsp:val=&quot;612B4E7F&quot;/&gt;&lt;wsp:rsid wsp:val=&quot;6131719E&quot;/&gt;&lt;wsp:rsid wsp:val=&quot;61355541&quot;/&gt;&lt;wsp:rsid wsp:val=&quot;61366996&quot;/&gt;&lt;wsp:rsid wsp:val=&quot;61397A61&quot;/&gt;&lt;wsp:rsid wsp:val=&quot;61525EF0&quot;/&gt;&lt;wsp:rsid wsp:val=&quot;615564D1&quot;/&gt;&lt;wsp:rsid wsp:val=&quot;61574CB9&quot;/&gt;&lt;wsp:rsid wsp:val=&quot;61623F9C&quot;/&gt;&lt;wsp:rsid wsp:val=&quot;616C02D3&quot;/&gt;&lt;wsp:rsid wsp:val=&quot;61712450&quot;/&gt;&lt;wsp:rsid wsp:val=&quot;619A0E62&quot;/&gt;&lt;wsp:rsid wsp:val=&quot;61A27980&quot;/&gt;&lt;wsp:rsid wsp:val=&quot;61AE78D5&quot;/&gt;&lt;wsp:rsid wsp:val=&quot;61B12461&quot;/&gt;&lt;wsp:rsid wsp:val=&quot;61B17215&quot;/&gt;&lt;wsp:rsid wsp:val=&quot;61B9586C&quot;/&gt;&lt;wsp:rsid wsp:val=&quot;61C1375D&quot;/&gt;&lt;wsp:rsid wsp:val=&quot;61D2367E&quot;/&gt;&lt;wsp:rsid wsp:val=&quot;61D645A1&quot;/&gt;&lt;wsp:rsid wsp:val=&quot;61DE0341&quot;/&gt;&lt;wsp:rsid wsp:val=&quot;61E215D8&quot;/&gt;&lt;wsp:rsid wsp:val=&quot;61E57C05&quot;/&gt;&lt;wsp:rsid wsp:val=&quot;61F4615F&quot;/&gt;&lt;wsp:rsid wsp:val=&quot;61F51F86&quot;/&gt;&lt;wsp:rsid wsp:val=&quot;62012F2D&quot;/&gt;&lt;wsp:rsid wsp:val=&quot;620E5785&quot;/&gt;&lt;wsp:rsid wsp:val=&quot;62110360&quot;/&gt;&lt;wsp:rsid wsp:val=&quot;62111352&quot;/&gt;&lt;wsp:rsid wsp:val=&quot;62113B38&quot;/&gt;&lt;wsp:rsid wsp:val=&quot;621927E1&quot;/&gt;&lt;wsp:rsid wsp:val=&quot;621B3775&quot;/&gt;&lt;wsp:rsid wsp:val=&quot;621D245F&quot;/&gt;&lt;wsp:rsid wsp:val=&quot;62257C51&quot;/&gt;&lt;wsp:rsid wsp:val=&quot;622E0628&quot;/&gt;&lt;wsp:rsid wsp:val=&quot;62364782&quot;/&gt;&lt;wsp:rsid wsp:val=&quot;62426A55&quot;/&gt;&lt;wsp:rsid wsp:val=&quot;624E2D4A&quot;/&gt;&lt;wsp:rsid wsp:val=&quot;6254671A&quot;/&gt;&lt;wsp:rsid wsp:val=&quot;62570C7D&quot;/&gt;&lt;wsp:rsid wsp:val=&quot;62665D4D&quot;/&gt;&lt;wsp:rsid wsp:val=&quot;6272022C&quot;/&gt;&lt;wsp:rsid wsp:val=&quot;62733235&quot;/&gt;&lt;wsp:rsid wsp:val=&quot;627F2DA5&quot;/&gt;&lt;wsp:rsid wsp:val=&quot;627F7895&quot;/&gt;&lt;wsp:rsid wsp:val=&quot;62814E2B&quot;/&gt;&lt;wsp:rsid wsp:val=&quot;62981A2C&quot;/&gt;&lt;wsp:rsid wsp:val=&quot;629847A3&quot;/&gt;&lt;wsp:rsid wsp:val=&quot;62A55A55&quot;/&gt;&lt;wsp:rsid wsp:val=&quot;62AC2121&quot;/&gt;&lt;wsp:rsid wsp:val=&quot;62B56103&quot;/&gt;&lt;wsp:rsid wsp:val=&quot;62C6236D&quot;/&gt;&lt;wsp:rsid wsp:val=&quot;62D27AEC&quot;/&gt;&lt;wsp:rsid wsp:val=&quot;62D8441B&quot;/&gt;&lt;wsp:rsid wsp:val=&quot;62F17AC5&quot;/&gt;&lt;wsp:rsid wsp:val=&quot;6300653C&quot;/&gt;&lt;wsp:rsid wsp:val=&quot;6309501A&quot;/&gt;&lt;wsp:rsid wsp:val=&quot;631A03C3&quot;/&gt;&lt;wsp:rsid wsp:val=&quot;6320666B&quot;/&gt;&lt;wsp:rsid wsp:val=&quot;63281BD4&quot;/&gt;&lt;wsp:rsid wsp:val=&quot;632C14B3&quot;/&gt;&lt;wsp:rsid wsp:val=&quot;633873AA&quot;/&gt;&lt;wsp:rsid wsp:val=&quot;633A21A0&quot;/&gt;&lt;wsp:rsid wsp:val=&quot;6350731D&quot;/&gt;&lt;wsp:rsid wsp:val=&quot;6351180B&quot;/&gt;&lt;wsp:rsid wsp:val=&quot;63622330&quot;/&gt;&lt;wsp:rsid wsp:val=&quot;63701C83&quot;/&gt;&lt;wsp:rsid wsp:val=&quot;63764B8F&quot;/&gt;&lt;wsp:rsid wsp:val=&quot;637D61BE&quot;/&gt;&lt;wsp:rsid wsp:val=&quot;638169AB&quot;/&gt;&lt;wsp:rsid wsp:val=&quot;638A1E53&quot;/&gt;&lt;wsp:rsid wsp:val=&quot;6394356A&quot;/&gt;&lt;wsp:rsid wsp:val=&quot;63AD7882&quot;/&gt;&lt;wsp:rsid wsp:val=&quot;63B616FE&quot;/&gt;&lt;wsp:rsid wsp:val=&quot;63C61B2C&quot;/&gt;&lt;wsp:rsid wsp:val=&quot;63C9687B&quot;/&gt;&lt;wsp:rsid wsp:val=&quot;63CD7716&quot;/&gt;&lt;wsp:rsid wsp:val=&quot;63D40BE9&quot;/&gt;&lt;wsp:rsid wsp:val=&quot;63E35DF8&quot;/&gt;&lt;wsp:rsid wsp:val=&quot;63E52407&quot;/&gt;&lt;wsp:rsid wsp:val=&quot;63ED6FCB&quot;/&gt;&lt;wsp:rsid wsp:val=&quot;63F17E5D&quot;/&gt;&lt;wsp:rsid wsp:val=&quot;63FF21DF&quot;/&gt;&lt;wsp:rsid wsp:val=&quot;64033AEE&quot;/&gt;&lt;wsp:rsid wsp:val=&quot;64102431&quot;/&gt;&lt;wsp:rsid wsp:val=&quot;64115C47&quot;/&gt;&lt;wsp:rsid wsp:val=&quot;64141CD3&quot;/&gt;&lt;wsp:rsid wsp:val=&quot;64183B7B&quot;/&gt;&lt;wsp:rsid wsp:val=&quot;641F561C&quot;/&gt;&lt;wsp:rsid wsp:val=&quot;642A4ED3&quot;/&gt;&lt;wsp:rsid wsp:val=&quot;6431668F&quot;/&gt;&lt;wsp:rsid wsp:val=&quot;64620447&quot;/&gt;&lt;wsp:rsid wsp:val=&quot;64685A75&quot;/&gt;&lt;wsp:rsid wsp:val=&quot;646A4041&quot;/&gt;&lt;wsp:rsid wsp:val=&quot;646B7D4B&quot;/&gt;&lt;wsp:rsid wsp:val=&quot;647F3823&quot;/&gt;&lt;wsp:rsid wsp:val=&quot;648D1B4A&quot;/&gt;&lt;wsp:rsid wsp:val=&quot;64932BAB&quot;/&gt;&lt;wsp:rsid wsp:val=&quot;64942E6C&quot;/&gt;&lt;wsp:rsid wsp:val=&quot;64976153&quot;/&gt;&lt;wsp:rsid wsp:val=&quot;649C4A00&quot;/&gt;&lt;wsp:rsid wsp:val=&quot;64A34087&quot;/&gt;&lt;wsp:rsid wsp:val=&quot;64A433B8&quot;/&gt;&lt;wsp:rsid wsp:val=&quot;64A5243A&quot;/&gt;&lt;wsp:rsid wsp:val=&quot;64AB46FF&quot;/&gt;&lt;wsp:rsid wsp:val=&quot;64AF208B&quot;/&gt;&lt;wsp:rsid wsp:val=&quot;64C10CC4&quot;/&gt;&lt;wsp:rsid wsp:val=&quot;64C2737D&quot;/&gt;&lt;wsp:rsid wsp:val=&quot;64D75D04&quot;/&gt;&lt;wsp:rsid wsp:val=&quot;64F44746&quot;/&gt;&lt;wsp:rsid wsp:val=&quot;64F531DE&quot;/&gt;&lt;wsp:rsid wsp:val=&quot;64FC3F3D&quot;/&gt;&lt;wsp:rsid wsp:val=&quot;64FD6EFF&quot;/&gt;&lt;wsp:rsid wsp:val=&quot;65001BD3&quot;/&gt;&lt;wsp:rsid wsp:val=&quot;650469BC&quot;/&gt;&lt;wsp:rsid wsp:val=&quot;65055B18&quot;/&gt;&lt;wsp:rsid wsp:val=&quot;651D567F&quot;/&gt;&lt;wsp:rsid wsp:val=&quot;65297A59&quot;/&gt;&lt;wsp:rsid wsp:val=&quot;65373578&quot;/&gt;&lt;wsp:rsid wsp:val=&quot;653E3421&quot;/&gt;&lt;wsp:rsid wsp:val=&quot;65442581&quot;/&gt;&lt;wsp:rsid wsp:val=&quot;655672D1&quot;/&gt;&lt;wsp:rsid wsp:val=&quot;655B1841&quot;/&gt;&lt;wsp:rsid wsp:val=&quot;65647DB9&quot;/&gt;&lt;wsp:rsid wsp:val=&quot;65651C0D&quot;/&gt;&lt;wsp:rsid wsp:val=&quot;65672076&quot;/&gt;&lt;wsp:rsid wsp:val=&quot;6574244B&quot;/&gt;&lt;wsp:rsid wsp:val=&quot;65784102&quot;/&gt;&lt;wsp:rsid wsp:val=&quot;6580503D&quot;/&gt;&lt;wsp:rsid wsp:val=&quot;65A43583&quot;/&gt;&lt;wsp:rsid wsp:val=&quot;65AA25C1&quot;/&gt;&lt;wsp:rsid wsp:val=&quot;65B455A1&quot;/&gt;&lt;wsp:rsid wsp:val=&quot;65B5753E&quot;/&gt;&lt;wsp:rsid wsp:val=&quot;65B84A97&quot;/&gt;&lt;wsp:rsid wsp:val=&quot;65BD72CF&quot;/&gt;&lt;wsp:rsid wsp:val=&quot;65CB435F&quot;/&gt;&lt;wsp:rsid wsp:val=&quot;65DB5E9C&quot;/&gt;&lt;wsp:rsid wsp:val=&quot;65EF6B80&quot;/&gt;&lt;wsp:rsid wsp:val=&quot;660B282C&quot;/&gt;&lt;wsp:rsid wsp:val=&quot;66266ED5&quot;/&gt;&lt;wsp:rsid wsp:val=&quot;663C7466&quot;/&gt;&lt;wsp:rsid wsp:val=&quot;663D41B3&quot;/&gt;&lt;wsp:rsid wsp:val=&quot;66415276&quot;/&gt;&lt;wsp:rsid wsp:val=&quot;66445FC2&quot;/&gt;&lt;wsp:rsid wsp:val=&quot;66507267&quot;/&gt;&lt;wsp:rsid wsp:val=&quot;665E09E7&quot;/&gt;&lt;wsp:rsid wsp:val=&quot;66636222&quot;/&gt;&lt;wsp:rsid wsp:val=&quot;66667DC4&quot;/&gt;&lt;wsp:rsid wsp:val=&quot;66705C12&quot;/&gt;&lt;wsp:rsid wsp:val=&quot;667D3158&quot;/&gt;&lt;wsp:rsid wsp:val=&quot;668006C5&quot;/&gt;&lt;wsp:rsid wsp:val=&quot;66813D52&quot;/&gt;&lt;wsp:rsid wsp:val=&quot;668621E5&quot;/&gt;&lt;wsp:rsid wsp:val=&quot;6695137E&quot;/&gt;&lt;wsp:rsid wsp:val=&quot;66A8411A&quot;/&gt;&lt;wsp:rsid wsp:val=&quot;66AB2A9B&quot;/&gt;&lt;wsp:rsid wsp:val=&quot;66C02F86&quot;/&gt;&lt;wsp:rsid wsp:val=&quot;66EB7AEB&quot;/&gt;&lt;wsp:rsid wsp:val=&quot;66F3165E&quot;/&gt;&lt;wsp:rsid wsp:val=&quot;66F51B26&quot;/&gt;&lt;wsp:rsid wsp:val=&quot;66FA17E9&quot;/&gt;&lt;wsp:rsid wsp:val=&quot;66FD4415&quot;/&gt;&lt;wsp:rsid wsp:val=&quot;6703077D&quot;/&gt;&lt;wsp:rsid wsp:val=&quot;67055442&quot;/&gt;&lt;wsp:rsid wsp:val=&quot;670D3C67&quot;/&gt;&lt;wsp:rsid wsp:val=&quot;671250BE&quot;/&gt;&lt;wsp:rsid wsp:val=&quot;671771FC&quot;/&gt;&lt;wsp:rsid wsp:val=&quot;671A63CB&quot;/&gt;&lt;wsp:rsid wsp:val=&quot;671F124A&quot;/&gt;&lt;wsp:rsid wsp:val=&quot;67354103&quot;/&gt;&lt;wsp:rsid wsp:val=&quot;674C23C4&quot;/&gt;&lt;wsp:rsid wsp:val=&quot;674E0FD2&quot;/&gt;&lt;wsp:rsid wsp:val=&quot;676605D0&quot;/&gt;&lt;wsp:rsid wsp:val=&quot;676C3ACC&quot;/&gt;&lt;wsp:rsid wsp:val=&quot;676E7F65&quot;/&gt;&lt;wsp:rsid wsp:val=&quot;677A33C6&quot;/&gt;&lt;wsp:rsid wsp:val=&quot;679073F3&quot;/&gt;&lt;wsp:rsid wsp:val=&quot;67A27AB5&quot;/&gt;&lt;wsp:rsid wsp:val=&quot;67A34901&quot;/&gt;&lt;wsp:rsid wsp:val=&quot;67A62862&quot;/&gt;&lt;wsp:rsid wsp:val=&quot;67AA53C7&quot;/&gt;&lt;wsp:rsid wsp:val=&quot;67B766A0&quot;/&gt;&lt;wsp:rsid wsp:val=&quot;67C50C16&quot;/&gt;&lt;wsp:rsid wsp:val=&quot;67CF0DBE&quot;/&gt;&lt;wsp:rsid wsp:val=&quot;67D73F78&quot;/&gt;&lt;wsp:rsid wsp:val=&quot;67EA2859&quot;/&gt;&lt;wsp:rsid wsp:val=&quot;67EC2950&quot;/&gt;&lt;wsp:rsid wsp:val=&quot;67ED6103&quot;/&gt;&lt;wsp:rsid wsp:val=&quot;68036093&quot;/&gt;&lt;wsp:rsid wsp:val=&quot;68061AF4&quot;/&gt;&lt;wsp:rsid wsp:val=&quot;681F6961&quot;/&gt;&lt;wsp:rsid wsp:val=&quot;682B563B&quot;/&gt;&lt;wsp:rsid wsp:val=&quot;68302E24&quot;/&gt;&lt;wsp:rsid wsp:val=&quot;68390DEA&quot;/&gt;&lt;wsp:rsid wsp:val=&quot;6844165D&quot;/&gt;&lt;wsp:rsid wsp:val=&quot;685925C6&quot;/&gt;&lt;wsp:rsid wsp:val=&quot;685C08A8&quot;/&gt;&lt;wsp:rsid wsp:val=&quot;68610A2F&quot;/&gt;&lt;wsp:rsid wsp:val=&quot;686955CF&quot;/&gt;&lt;wsp:rsid wsp:val=&quot;68711D67&quot;/&gt;&lt;wsp:rsid wsp:val=&quot;687436E1&quot;/&gt;&lt;wsp:rsid wsp:val=&quot;687542C4&quot;/&gt;&lt;wsp:rsid wsp:val=&quot;687C2106&quot;/&gt;&lt;wsp:rsid wsp:val=&quot;68805514&quot;/&gt;&lt;wsp:rsid wsp:val=&quot;689622FD&quot;/&gt;&lt;wsp:rsid wsp:val=&quot;68AB2054&quot;/&gt;&lt;wsp:rsid wsp:val=&quot;68AE7788&quot;/&gt;&lt;wsp:rsid wsp:val=&quot;68B80A00&quot;/&gt;&lt;wsp:rsid wsp:val=&quot;68C062AF&quot;/&gt;&lt;wsp:rsid wsp:val=&quot;68CB644C&quot;/&gt;&lt;wsp:rsid wsp:val=&quot;68CE165E&quot;/&gt;&lt;wsp:rsid wsp:val=&quot;68E93E8F&quot;/&gt;&lt;wsp:rsid wsp:val=&quot;690507E0&quot;/&gt;&lt;wsp:rsid wsp:val=&quot;69095BB3&quot;/&gt;&lt;wsp:rsid wsp:val=&quot;691553C3&quot;/&gt;&lt;wsp:rsid wsp:val=&quot;691678D8&quot;/&gt;&lt;wsp:rsid wsp:val=&quot;691C0CBD&quot;/&gt;&lt;wsp:rsid wsp:val=&quot;6921095D&quot;/&gt;&lt;wsp:rsid wsp:val=&quot;69267AE1&quot;/&gt;&lt;wsp:rsid wsp:val=&quot;692F7961&quot;/&gt;&lt;wsp:rsid wsp:val=&quot;69316E2F&quot;/&gt;&lt;wsp:rsid wsp:val=&quot;693A751F&quot;/&gt;&lt;wsp:rsid wsp:val=&quot;694170D7&quot;/&gt;&lt;wsp:rsid wsp:val=&quot;694B5A94&quot;/&gt;&lt;wsp:rsid wsp:val=&quot;694C1F68&quot;/&gt;&lt;wsp:rsid wsp:val=&quot;694E2071&quot;/&gt;&lt;wsp:rsid wsp:val=&quot;69523F40&quot;/&gt;&lt;wsp:rsid wsp:val=&quot;695E7DBC&quot;/&gt;&lt;wsp:rsid wsp:val=&quot;696728B1&quot;/&gt;&lt;wsp:rsid wsp:val=&quot;69690D6B&quot;/&gt;&lt;wsp:rsid wsp:val=&quot;69695723&quot;/&gt;&lt;wsp:rsid wsp:val=&quot;69766163&quot;/&gt;&lt;wsp:rsid wsp:val=&quot;697957B8&quot;/&gt;&lt;wsp:rsid wsp:val=&quot;697A3B33&quot;/&gt;&lt;wsp:rsid wsp:val=&quot;69904335&quot;/&gt;&lt;wsp:rsid wsp:val=&quot;69910EE1&quot;/&gt;&lt;wsp:rsid wsp:val=&quot;69A00191&quot;/&gt;&lt;wsp:rsid wsp:val=&quot;69A264F1&quot;/&gt;&lt;wsp:rsid wsp:val=&quot;69A26A9C&quot;/&gt;&lt;wsp:rsid wsp:val=&quot;69B047D3&quot;/&gt;&lt;wsp:rsid wsp:val=&quot;69B952EC&quot;/&gt;&lt;wsp:rsid wsp:val=&quot;69BB44D0&quot;/&gt;&lt;wsp:rsid wsp:val=&quot;69D44760&quot;/&gt;&lt;wsp:rsid wsp:val=&quot;69DB086B&quot;/&gt;&lt;wsp:rsid wsp:val=&quot;69DF2DDC&quot;/&gt;&lt;wsp:rsid wsp:val=&quot;69EB24FD&quot;/&gt;&lt;wsp:rsid wsp:val=&quot;69ED1655&quot;/&gt;&lt;wsp:rsid wsp:val=&quot;69EF0C31&quot;/&gt;&lt;wsp:rsid wsp:val=&quot;69F50773&quot;/&gt;&lt;wsp:rsid wsp:val=&quot;69FB0C13&quot;/&gt;&lt;wsp:rsid wsp:val=&quot;6A032094&quot;/&gt;&lt;wsp:rsid wsp:val=&quot;6A0C7756&quot;/&gt;&lt;wsp:rsid wsp:val=&quot;6A0D133E&quot;/&gt;&lt;wsp:rsid wsp:val=&quot;6A1879E8&quot;/&gt;&lt;wsp:rsid wsp:val=&quot;6A1A7CF2&quot;/&gt;&lt;wsp:rsid wsp:val=&quot;6A1E305E&quot;/&gt;&lt;wsp:rsid wsp:val=&quot;6A242EE4&quot;/&gt;&lt;wsp:rsid wsp:val=&quot;6A2F2C51&quot;/&gt;&lt;wsp:rsid wsp:val=&quot;6A2F7E93&quot;/&gt;&lt;wsp:rsid wsp:val=&quot;6A38076F&quot;/&gt;&lt;wsp:rsid wsp:val=&quot;6A3A41E8&quot;/&gt;&lt;wsp:rsid wsp:val=&quot;6A3B1FF1&quot;/&gt;&lt;wsp:rsid wsp:val=&quot;6A4769EB&quot;/&gt;&lt;wsp:rsid wsp:val=&quot;6A520EC7&quot;/&gt;&lt;wsp:rsid wsp:val=&quot;6A5D4556&quot;/&gt;&lt;wsp:rsid wsp:val=&quot;6A5F0158&quot;/&gt;&lt;wsp:rsid wsp:val=&quot;6A641FA6&quot;/&gt;&lt;wsp:rsid wsp:val=&quot;6A6C0858&quot;/&gt;&lt;wsp:rsid wsp:val=&quot;6A8676FB&quot;/&gt;&lt;wsp:rsid wsp:val=&quot;6A977C84&quot;/&gt;&lt;wsp:rsid wsp:val=&quot;6A995F75&quot;/&gt;&lt;wsp:rsid wsp:val=&quot;6A9D781F&quot;/&gt;&lt;wsp:rsid wsp:val=&quot;6AA25AA8&quot;/&gt;&lt;wsp:rsid wsp:val=&quot;6AA96D0A&quot;/&gt;&lt;wsp:rsid wsp:val=&quot;6AAC227F&quot;/&gt;&lt;wsp:rsid wsp:val=&quot;6AB95096&quot;/&gt;&lt;wsp:rsid wsp:val=&quot;6AC83870&quot;/&gt;&lt;wsp:rsid wsp:val=&quot;6ACB15B2&quot;/&gt;&lt;wsp:rsid wsp:val=&quot;6ADC3549&quot;/&gt;&lt;wsp:rsid wsp:val=&quot;6ADE0BE1&quot;/&gt;&lt;wsp:rsid wsp:val=&quot;6AEA3E04&quot;/&gt;&lt;wsp:rsid wsp:val=&quot;6AF87E20&quot;/&gt;&lt;wsp:rsid wsp:val=&quot;6B0369FE&quot;/&gt;&lt;wsp:rsid wsp:val=&quot;6B0A7257&quot;/&gt;&lt;wsp:rsid wsp:val=&quot;6B295E62&quot;/&gt;&lt;wsp:rsid wsp:val=&quot;6B2A6098&quot;/&gt;&lt;wsp:rsid wsp:val=&quot;6B321B3B&quot;/&gt;&lt;wsp:rsid wsp:val=&quot;6B322639&quot;/&gt;&lt;wsp:rsid wsp:val=&quot;6B387E22&quot;/&gt;&lt;wsp:rsid wsp:val=&quot;6B46623C&quot;/&gt;&lt;wsp:rsid wsp:val=&quot;6B4A12F3&quot;/&gt;&lt;wsp:rsid wsp:val=&quot;6B520095&quot;/&gt;&lt;wsp:rsid wsp:val=&quot;6B5769F1&quot;/&gt;&lt;wsp:rsid wsp:val=&quot;6B632832&quot;/&gt;&lt;wsp:rsid wsp:val=&quot;6B637C63&quot;/&gt;&lt;wsp:rsid wsp:val=&quot;6B8163A1&quot;/&gt;&lt;wsp:rsid wsp:val=&quot;6B845AB7&quot;/&gt;&lt;wsp:rsid wsp:val=&quot;6B986E60&quot;/&gt;&lt;wsp:rsid wsp:val=&quot;6B9B38AD&quot;/&gt;&lt;wsp:rsid wsp:val=&quot;6BA23FFF&quot;/&gt;&lt;wsp:rsid wsp:val=&quot;6BA75D4E&quot;/&gt;&lt;wsp:rsid wsp:val=&quot;6BB06E97&quot;/&gt;&lt;wsp:rsid wsp:val=&quot;6BBF293E&quot;/&gt;&lt;wsp:rsid wsp:val=&quot;6BCE30C3&quot;/&gt;&lt;wsp:rsid wsp:val=&quot;6BD3071E&quot;/&gt;&lt;wsp:rsid wsp:val=&quot;6BD91AAD&quot;/&gt;&lt;wsp:rsid wsp:val=&quot;6BE466E1&quot;/&gt;&lt;wsp:rsid wsp:val=&quot;6BF64E30&quot;/&gt;&lt;wsp:rsid wsp:val=&quot;6BF840A2&quot;/&gt;&lt;wsp:rsid wsp:val=&quot;6C0F0B2F&quot;/&gt;&lt;wsp:rsid wsp:val=&quot;6C1825D5&quot;/&gt;&lt;wsp:rsid wsp:val=&quot;6C23785A&quot;/&gt;&lt;wsp:rsid wsp:val=&quot;6C272092&quot;/&gt;&lt;wsp:rsid wsp:val=&quot;6C292A34&quot;/&gt;&lt;wsp:rsid wsp:val=&quot;6C3D27C7&quot;/&gt;&lt;wsp:rsid wsp:val=&quot;6C4C227F&quot;/&gt;&lt;wsp:rsid wsp:val=&quot;6C5954CB&quot;/&gt;&lt;wsp:rsid wsp:val=&quot;6C5B34E7&quot;/&gt;&lt;wsp:rsid wsp:val=&quot;6C5F0342&quot;/&gt;&lt;wsp:rsid wsp:val=&quot;6C636C38&quot;/&gt;&lt;wsp:rsid wsp:val=&quot;6C7410F4&quot;/&gt;&lt;wsp:rsid wsp:val=&quot;6C792D7D&quot;/&gt;&lt;wsp:rsid wsp:val=&quot;6C7D63BA&quot;/&gt;&lt;wsp:rsid wsp:val=&quot;6C7F0B6B&quot;/&gt;&lt;wsp:rsid wsp:val=&quot;6C824DA9&quot;/&gt;&lt;wsp:rsid wsp:val=&quot;6C9D2D4A&quot;/&gt;&lt;wsp:rsid wsp:val=&quot;6CA33B4D&quot;/&gt;&lt;wsp:rsid wsp:val=&quot;6CAC1AE4&quot;/&gt;&lt;wsp:rsid wsp:val=&quot;6CAE6A95&quot;/&gt;&lt;wsp:rsid wsp:val=&quot;6CB56076&quot;/&gt;&lt;wsp:rsid wsp:val=&quot;6CB91913&quot;/&gt;&lt;wsp:rsid wsp:val=&quot;6CC517F3&quot;/&gt;&lt;wsp:rsid wsp:val=&quot;6CD02EB0&quot;/&gt;&lt;wsp:rsid wsp:val=&quot;6CD56356&quot;/&gt;&lt;wsp:rsid wsp:val=&quot;6CDD0508&quot;/&gt;&lt;wsp:rsid wsp:val=&quot;6CE12EDC&quot;/&gt;&lt;wsp:rsid wsp:val=&quot;6CE81868&quot;/&gt;&lt;wsp:rsid wsp:val=&quot;6CF86CAE&quot;/&gt;&lt;wsp:rsid wsp:val=&quot;6D0C0889&quot;/&gt;&lt;wsp:rsid wsp:val=&quot;6D1246FB&quot;/&gt;&lt;wsp:rsid wsp:val=&quot;6D126093&quot;/&gt;&lt;wsp:rsid wsp:val=&quot;6D1F4F4D&quot;/&gt;&lt;wsp:rsid wsp:val=&quot;6D2228E2&quot;/&gt;&lt;wsp:rsid wsp:val=&quot;6D230B1A&quot;/&gt;&lt;wsp:rsid wsp:val=&quot;6D356354&quot;/&gt;&lt;wsp:rsid wsp:val=&quot;6D364DDC&quot;/&gt;&lt;wsp:rsid wsp:val=&quot;6D3E606B&quot;/&gt;&lt;wsp:rsid wsp:val=&quot;6D5B09CB&quot;/&gt;&lt;wsp:rsid wsp:val=&quot;6D5B40A3&quot;/&gt;&lt;wsp:rsid wsp:val=&quot;6D686AB5&quot;/&gt;&lt;wsp:rsid wsp:val=&quot;6D78549D&quot;/&gt;&lt;wsp:rsid wsp:val=&quot;6D7E5FDA&quot;/&gt;&lt;wsp:rsid wsp:val=&quot;6D847C40&quot;/&gt;&lt;wsp:rsid wsp:val=&quot;6D8544AF&quot;/&gt;&lt;wsp:rsid wsp:val=&quot;6D893E22&quot;/&gt;&lt;wsp:rsid wsp:val=&quot;6D8F2035&quot;/&gt;&lt;wsp:rsid wsp:val=&quot;6D914BEF&quot;/&gt;&lt;wsp:rsid wsp:val=&quot;6D957B9D&quot;/&gt;&lt;wsp:rsid wsp:val=&quot;6D9B526C&quot;/&gt;&lt;wsp:rsid wsp:val=&quot;6DA12E99&quot;/&gt;&lt;wsp:rsid wsp:val=&quot;6DA859BE&quot;/&gt;&lt;wsp:rsid wsp:val=&quot;6DB34098&quot;/&gt;&lt;wsp:rsid wsp:val=&quot;6DB545B6&quot;/&gt;&lt;wsp:rsid wsp:val=&quot;6DB86735&quot;/&gt;&lt;wsp:rsid wsp:val=&quot;6DBA119D&quot;/&gt;&lt;wsp:rsid wsp:val=&quot;6DC36570&quot;/&gt;&lt;wsp:rsid wsp:val=&quot;6DC47E86&quot;/&gt;&lt;wsp:rsid wsp:val=&quot;6DC62D4E&quot;/&gt;&lt;wsp:rsid wsp:val=&quot;6DCA4A38&quot;/&gt;&lt;wsp:rsid wsp:val=&quot;6DD32D72&quot;/&gt;&lt;wsp:rsid wsp:val=&quot;6DE02FB4&quot;/&gt;&lt;wsp:rsid wsp:val=&quot;6DF65465&quot;/&gt;&lt;wsp:rsid wsp:val=&quot;6DF83EB4&quot;/&gt;&lt;wsp:rsid wsp:val=&quot;6E0E0001&quot;/&gt;&lt;wsp:rsid wsp:val=&quot;6E1C2A86&quot;/&gt;&lt;wsp:rsid wsp:val=&quot;6E301BE4&quot;/&gt;&lt;wsp:rsid wsp:val=&quot;6E35359F&quot;/&gt;&lt;wsp:rsid wsp:val=&quot;6E3A4248&quot;/&gt;&lt;wsp:rsid wsp:val=&quot;6E3C279B&quot;/&gt;&lt;wsp:rsid wsp:val=&quot;6E440E44&quot;/&gt;&lt;wsp:rsid wsp:val=&quot;6E514CED&quot;/&gt;&lt;wsp:rsid wsp:val=&quot;6E531FEA&quot;/&gt;&lt;wsp:rsid wsp:val=&quot;6E5711BD&quot;/&gt;&lt;wsp:rsid wsp:val=&quot;6E5E46AE&quot;/&gt;&lt;wsp:rsid wsp:val=&quot;6E662DA3&quot;/&gt;&lt;wsp:rsid wsp:val=&quot;6E6833D9&quot;/&gt;&lt;wsp:rsid wsp:val=&quot;6E74248C&quot;/&gt;&lt;wsp:rsid wsp:val=&quot;6E7F4B8D&quot;/&gt;&lt;wsp:rsid wsp:val=&quot;6E8C7E5C&quot;/&gt;&lt;wsp:rsid wsp:val=&quot;6E8F6156&quot;/&gt;&lt;wsp:rsid wsp:val=&quot;6E923C2D&quot;/&gt;&lt;wsp:rsid wsp:val=&quot;6E9248C1&quot;/&gt;&lt;wsp:rsid wsp:val=&quot;6EA55897&quot;/&gt;&lt;wsp:rsid wsp:val=&quot;6EA94186&quot;/&gt;&lt;wsp:rsid wsp:val=&quot;6EAB1E23&quot;/&gt;&lt;wsp:rsid wsp:val=&quot;6EAB68D3&quot;/&gt;&lt;wsp:rsid wsp:val=&quot;6EB365E5&quot;/&gt;&lt;wsp:rsid wsp:val=&quot;6EB563D5&quot;/&gt;&lt;wsp:rsid wsp:val=&quot;6ED92677&quot;/&gt;&lt;wsp:rsid wsp:val=&quot;6EEF1EA6&quot;/&gt;&lt;wsp:rsid wsp:val=&quot;6F2030BB&quot;/&gt;&lt;wsp:rsid wsp:val=&quot;6F225983&quot;/&gt;&lt;wsp:rsid wsp:val=&quot;6F265009&quot;/&gt;&lt;wsp:rsid wsp:val=&quot;6F2720D2&quot;/&gt;&lt;wsp:rsid wsp:val=&quot;6F382729&quot;/&gt;&lt;wsp:rsid wsp:val=&quot;6F3B5394&quot;/&gt;&lt;wsp:rsid wsp:val=&quot;6F540E72&quot;/&gt;&lt;wsp:rsid wsp:val=&quot;6F5A541F&quot;/&gt;&lt;wsp:rsid wsp:val=&quot;6F616744&quot;/&gt;&lt;wsp:rsid wsp:val=&quot;6F642BE1&quot;/&gt;&lt;wsp:rsid wsp:val=&quot;6F782DA8&quot;/&gt;&lt;wsp:rsid wsp:val=&quot;6F7A29DF&quot;/&gt;&lt;wsp:rsid wsp:val=&quot;6F7D7B9E&quot;/&gt;&lt;wsp:rsid wsp:val=&quot;6F904C6B&quot;/&gt;&lt;wsp:rsid wsp:val=&quot;6F926B42&quot;/&gt;&lt;wsp:rsid wsp:val=&quot;6F9714DE&quot;/&gt;&lt;wsp:rsid wsp:val=&quot;6FAD34D8&quot;/&gt;&lt;wsp:rsid wsp:val=&quot;6FAF143B&quot;/&gt;&lt;wsp:rsid wsp:val=&quot;6FB2356B&quot;/&gt;&lt;wsp:rsid wsp:val=&quot;6FB75A30&quot;/&gt;&lt;wsp:rsid wsp:val=&quot;6FB77062&quot;/&gt;&lt;wsp:rsid wsp:val=&quot;6FBA4D81&quot;/&gt;&lt;wsp:rsid wsp:val=&quot;6FC809F6&quot;/&gt;&lt;wsp:rsid wsp:val=&quot;6FCD6331&quot;/&gt;&lt;wsp:rsid wsp:val=&quot;6FCF5B76&quot;/&gt;&lt;wsp:rsid wsp:val=&quot;6FD63AC0&quot;/&gt;&lt;wsp:rsid wsp:val=&quot;6FEA3214&quot;/&gt;&lt;wsp:rsid wsp:val=&quot;6FF61221&quot;/&gt;&lt;wsp:rsid wsp:val=&quot;6FFC5590&quot;/&gt;&lt;wsp:rsid wsp:val=&quot;700C5310&quot;/&gt;&lt;wsp:rsid wsp:val=&quot;700C7DA0&quot;/&gt;&lt;wsp:rsid wsp:val=&quot;702E5C5E&quot;/&gt;&lt;wsp:rsid wsp:val=&quot;70686623&quot;/&gt;&lt;wsp:rsid wsp:val=&quot;706D1DD0&quot;/&gt;&lt;wsp:rsid wsp:val=&quot;707D4C7F&quot;/&gt;&lt;wsp:rsid wsp:val=&quot;707E6791&quot;/&gt;&lt;wsp:rsid wsp:val=&quot;70817FC6&quot;/&gt;&lt;wsp:rsid wsp:val=&quot;70856B87&quot;/&gt;&lt;wsp:rsid wsp:val=&quot;709E0966&quot;/&gt;&lt;wsp:rsid wsp:val=&quot;70A555D1&quot;/&gt;&lt;wsp:rsid wsp:val=&quot;70B14DA6&quot;/&gt;&lt;wsp:rsid wsp:val=&quot;70B76C4F&quot;/&gt;&lt;wsp:rsid wsp:val=&quot;70BA01A5&quot;/&gt;&lt;wsp:rsid wsp:val=&quot;70BD1A04&quot;/&gt;&lt;wsp:rsid wsp:val=&quot;70C057FD&quot;/&gt;&lt;wsp:rsid wsp:val=&quot;70C119F1&quot;/&gt;&lt;wsp:rsid wsp:val=&quot;70D527EE&quot;/&gt;&lt;wsp:rsid wsp:val=&quot;70DA2E39&quot;/&gt;&lt;wsp:rsid wsp:val=&quot;70ED4030&quot;/&gt;&lt;wsp:rsid wsp:val=&quot;70EF34CA&quot;/&gt;&lt;wsp:rsid wsp:val=&quot;70EF69CA&quot;/&gt;&lt;wsp:rsid wsp:val=&quot;70FD27CA&quot;/&gt;&lt;wsp:rsid wsp:val=&quot;70FF032C&quot;/&gt;&lt;wsp:rsid wsp:val=&quot;711C352D&quot;/&gt;&lt;wsp:rsid wsp:val=&quot;711E1809&quot;/&gt;&lt;wsp:rsid wsp:val=&quot;712048C0&quot;/&gt;&lt;wsp:rsid wsp:val=&quot;712706EE&quot;/&gt;&lt;wsp:rsid wsp:val=&quot;714170CA&quot;/&gt;&lt;wsp:rsid wsp:val=&quot;715851FD&quot;/&gt;&lt;wsp:rsid wsp:val=&quot;715A3E9A&quot;/&gt;&lt;wsp:rsid wsp:val=&quot;715B5300&quot;/&gt;&lt;wsp:rsid wsp:val=&quot;715E4F2E&quot;/&gt;&lt;wsp:rsid wsp:val=&quot;716772A9&quot;/&gt;&lt;wsp:rsid wsp:val=&quot;716B0E46&quot;/&gt;&lt;wsp:rsid wsp:val=&quot;71703B38&quot;/&gt;&lt;wsp:rsid wsp:val=&quot;71725102&quot;/&gt;&lt;wsp:rsid wsp:val=&quot;717835AD&quot;/&gt;&lt;wsp:rsid wsp:val=&quot;717B788E&quot;/&gt;&lt;wsp:rsid wsp:val=&quot;717E06D0&quot;/&gt;&lt;wsp:rsid wsp:val=&quot;71854F84&quot;/&gt;&lt;wsp:rsid wsp:val=&quot;71863061&quot;/&gt;&lt;wsp:rsid wsp:val=&quot;718E5303&quot;/&gt;&lt;wsp:rsid wsp:val=&quot;7195247B&quot;/&gt;&lt;wsp:rsid wsp:val=&quot;71B12624&quot;/&gt;&lt;wsp:rsid wsp:val=&quot;71BA40BB&quot;/&gt;&lt;wsp:rsid wsp:val=&quot;71BA448C&quot;/&gt;&lt;wsp:rsid wsp:val=&quot;71C70183&quot;/&gt;&lt;wsp:rsid wsp:val=&quot;71C73400&quot;/&gt;&lt;wsp:rsid wsp:val=&quot;71C97EDF&quot;/&gt;&lt;wsp:rsid wsp:val=&quot;71CD285F&quot;/&gt;&lt;wsp:rsid wsp:val=&quot;71D27F8A&quot;/&gt;&lt;wsp:rsid wsp:val=&quot;71D837FD&quot;/&gt;&lt;wsp:rsid wsp:val=&quot;71DE606F&quot;/&gt;&lt;wsp:rsid wsp:val=&quot;71F05CF6&quot;/&gt;&lt;wsp:rsid wsp:val=&quot;71FB5066&quot;/&gt;&lt;wsp:rsid wsp:val=&quot;72083B4D&quot;/&gt;&lt;wsp:rsid wsp:val=&quot;72333656&quot;/&gt;&lt;wsp:rsid wsp:val=&quot;72367E5D&quot;/&gt;&lt;wsp:rsid wsp:val=&quot;72404C37&quot;/&gt;&lt;wsp:rsid wsp:val=&quot;72490779&quot;/&gt;&lt;wsp:rsid wsp:val=&quot;724B11CA&quot;/&gt;&lt;wsp:rsid wsp:val=&quot;724E5A41&quot;/&gt;&lt;wsp:rsid wsp:val=&quot;725300CF&quot;/&gt;&lt;wsp:rsid wsp:val=&quot;72553024&quot;/&gt;&lt;wsp:rsid wsp:val=&quot;7257744A&quot;/&gt;&lt;wsp:rsid wsp:val=&quot;725A686D&quot;/&gt;&lt;wsp:rsid wsp:val=&quot;725B7D61&quot;/&gt;&lt;wsp:rsid wsp:val=&quot;726A4649&quot;/&gt;&lt;wsp:rsid wsp:val=&quot;726A6534&quot;/&gt;&lt;wsp:rsid wsp:val=&quot;726B31D7&quot;/&gt;&lt;wsp:rsid wsp:val=&quot;72762D44&quot;/&gt;&lt;wsp:rsid wsp:val=&quot;727B2210&quot;/&gt;&lt;wsp:rsid wsp:val=&quot;727B7064&quot;/&gt;&lt;wsp:rsid wsp:val=&quot;72945907&quot;/&gt;&lt;wsp:rsid wsp:val=&quot;72A01827&quot;/&gt;&lt;wsp:rsid wsp:val=&quot;72A16DD5&quot;/&gt;&lt;wsp:rsid wsp:val=&quot;72C47C50&quot;/&gt;&lt;wsp:rsid wsp:val=&quot;72C81D85&quot;/&gt;&lt;wsp:rsid wsp:val=&quot;72D0056D&quot;/&gt;&lt;wsp:rsid wsp:val=&quot;72D07886&quot;/&gt;&lt;wsp:rsid wsp:val=&quot;72D162D1&quot;/&gt;&lt;wsp:rsid wsp:val=&quot;72EE6E06&quot;/&gt;&lt;wsp:rsid wsp:val=&quot;72F01BB6&quot;/&gt;&lt;wsp:rsid wsp:val=&quot;72F83160&quot;/&gt;&lt;wsp:rsid wsp:val=&quot;72FB7842&quot;/&gt;&lt;wsp:rsid wsp:val=&quot;73025627&quot;/&gt;&lt;wsp:rsid wsp:val=&quot;73091755&quot;/&gt;&lt;wsp:rsid wsp:val=&quot;73122968&quot;/&gt;&lt;wsp:rsid wsp:val=&quot;731E0651&quot;/&gt;&lt;wsp:rsid wsp:val=&quot;731E7FAE&quot;/&gt;&lt;wsp:rsid wsp:val=&quot;731F5D5E&quot;/&gt;&lt;wsp:rsid wsp:val=&quot;73206A63&quot;/&gt;&lt;wsp:rsid wsp:val=&quot;733022A3&quot;/&gt;&lt;wsp:rsid wsp:val=&quot;7341384C&quot;/&gt;&lt;wsp:rsid wsp:val=&quot;73566043&quot;/&gt;&lt;wsp:rsid wsp:val=&quot;73575910&quot;/&gt;&lt;wsp:rsid wsp:val=&quot;73750441&quot;/&gt;&lt;wsp:rsid wsp:val=&quot;73787B50&quot;/&gt;&lt;wsp:rsid wsp:val=&quot;737A3B75&quot;/&gt;&lt;wsp:rsid wsp:val=&quot;739E43F6&quot;/&gt;&lt;wsp:rsid wsp:val=&quot;73A447A4&quot;/&gt;&lt;wsp:rsid wsp:val=&quot;73A80C55&quot;/&gt;&lt;wsp:rsid wsp:val=&quot;73BC5C0E&quot;/&gt;&lt;wsp:rsid wsp:val=&quot;73C51AD5&quot;/&gt;&lt;wsp:rsid wsp:val=&quot;73C60C4B&quot;/&gt;&lt;wsp:rsid wsp:val=&quot;73CC5BC1&quot;/&gt;&lt;wsp:rsid wsp:val=&quot;73E11576&quot;/&gt;&lt;wsp:rsid wsp:val=&quot;73EE3A5B&quot;/&gt;&lt;wsp:rsid wsp:val=&quot;73F17932&quot;/&gt;&lt;wsp:rsid wsp:val=&quot;73F47DE9&quot;/&gt;&lt;wsp:rsid wsp:val=&quot;73FC5591&quot;/&gt;&lt;wsp:rsid wsp:val=&quot;740D5A1F&quot;/&gt;&lt;wsp:rsid wsp:val=&quot;740E434E&quot;/&gt;&lt;wsp:rsid wsp:val=&quot;740E759C&quot;/&gt;&lt;wsp:rsid wsp:val=&quot;741E4468&quot;/&gt;&lt;wsp:rsid wsp:val=&quot;741E793C&quot;/&gt;&lt;wsp:rsid wsp:val=&quot;742064CB&quot;/&gt;&lt;wsp:rsid wsp:val=&quot;742C6A4A&quot;/&gt;&lt;wsp:rsid wsp:val=&quot;74392BD3&quot;/&gt;&lt;wsp:rsid wsp:val=&quot;743A5E62&quot;/&gt;&lt;wsp:rsid wsp:val=&quot;743B2F14&quot;/&gt;&lt;wsp:rsid wsp:val=&quot;74420E29&quot;/&gt;&lt;wsp:rsid wsp:val=&quot;74446F14&quot;/&gt;&lt;wsp:rsid wsp:val=&quot;745E3944&quot;/&gt;&lt;wsp:rsid wsp:val=&quot;746C0A3B&quot;/&gt;&lt;wsp:rsid wsp:val=&quot;746D2B87&quot;/&gt;&lt;wsp:rsid wsp:val=&quot;747644DD&quot;/&gt;&lt;wsp:rsid wsp:val=&quot;747A263E&quot;/&gt;&lt;wsp:rsid wsp:val=&quot;7490755E&quot;/&gt;&lt;wsp:rsid wsp:val=&quot;7493553C&quot;/&gt;&lt;wsp:rsid wsp:val=&quot;74B11B86&quot;/&gt;&lt;wsp:rsid wsp:val=&quot;74CA21E1&quot;/&gt;&lt;wsp:rsid wsp:val=&quot;75122CCD&quot;/&gt;&lt;wsp:rsid wsp:val=&quot;75184E64&quot;/&gt;&lt;wsp:rsid wsp:val=&quot;752C202D&quot;/&gt;&lt;wsp:rsid wsp:val=&quot;75332A49&quot;/&gt;&lt;wsp:rsid wsp:val=&quot;753F73EE&quot;/&gt;&lt;wsp:rsid wsp:val=&quot;75471091&quot;/&gt;&lt;wsp:rsid wsp:val=&quot;75545D00&quot;/&gt;&lt;wsp:rsid wsp:val=&quot;755B0DFA&quot;/&gt;&lt;wsp:rsid wsp:val=&quot;755E6196&quot;/&gt;&lt;wsp:rsid wsp:val=&quot;757E33E6&quot;/&gt;&lt;wsp:rsid wsp:val=&quot;75884B36&quot;/&gt;&lt;wsp:rsid wsp:val=&quot;75937C94&quot;/&gt;&lt;wsp:rsid wsp:val=&quot;75982AF8&quot;/&gt;&lt;wsp:rsid wsp:val=&quot;759A4F42&quot;/&gt;&lt;wsp:rsid wsp:val=&quot;759B6003&quot;/&gt;&lt;wsp:rsid wsp:val=&quot;75A90742&quot;/&gt;&lt;wsp:rsid wsp:val=&quot;75C047E7&quot;/&gt;&lt;wsp:rsid wsp:val=&quot;75C073ED&quot;/&gt;&lt;wsp:rsid wsp:val=&quot;75D35D09&quot;/&gt;&lt;wsp:rsid wsp:val=&quot;75EA3101&quot;/&gt;&lt;wsp:rsid wsp:val=&quot;75EC6FFA&quot;/&gt;&lt;wsp:rsid wsp:val=&quot;75FE283B&quot;/&gt;&lt;wsp:rsid wsp:val=&quot;76017535&quot;/&gt;&lt;wsp:rsid wsp:val=&quot;760531F7&quot;/&gt;&lt;wsp:rsid wsp:val=&quot;76075A89&quot;/&gt;&lt;wsp:rsid wsp:val=&quot;7609631F&quot;/&gt;&lt;wsp:rsid wsp:val=&quot;76124A8D&quot;/&gt;&lt;wsp:rsid wsp:val=&quot;761626F1&quot;/&gt;&lt;wsp:rsid wsp:val=&quot;76175E98&quot;/&gt;&lt;wsp:rsid wsp:val=&quot;761A4999&quot;/&gt;&lt;wsp:rsid wsp:val=&quot;761D64FD&quot;/&gt;&lt;wsp:rsid wsp:val=&quot;762F0C78&quot;/&gt;&lt;wsp:rsid wsp:val=&quot;7635099D&quot;/&gt;&lt;wsp:rsid wsp:val=&quot;76377AFB&quot;/&gt;&lt;wsp:rsid wsp:val=&quot;76556A4E&quot;/&gt;&lt;wsp:rsid wsp:val=&quot;7664249B&quot;/&gt;&lt;wsp:rsid wsp:val=&quot;7665090A&quot;/&gt;&lt;wsp:rsid wsp:val=&quot;767103C8&quot;/&gt;&lt;wsp:rsid wsp:val=&quot;76724FD8&quot;/&gt;&lt;wsp:rsid wsp:val=&quot;767478C0&quot;/&gt;&lt;wsp:rsid wsp:val=&quot;76811F4D&quot;/&gt;&lt;wsp:rsid wsp:val=&quot;76867722&quot;/&gt;&lt;wsp:rsid wsp:val=&quot;768A55A3&quot;/&gt;&lt;wsp:rsid wsp:val=&quot;768B3667&quot;/&gt;&lt;wsp:rsid wsp:val=&quot;769102BB&quot;/&gt;&lt;wsp:rsid wsp:val=&quot;76980B7D&quot;/&gt;&lt;wsp:rsid wsp:val=&quot;76A43C1D&quot;/&gt;&lt;wsp:rsid wsp:val=&quot;76A809F9&quot;/&gt;&lt;wsp:rsid wsp:val=&quot;76B52FC5&quot;/&gt;&lt;wsp:rsid wsp:val=&quot;76B81BEA&quot;/&gt;&lt;wsp:rsid wsp:val=&quot;76BC58CC&quot;/&gt;&lt;wsp:rsid wsp:val=&quot;76C62D39&quot;/&gt;&lt;wsp:rsid wsp:val=&quot;76C846B2&quot;/&gt;&lt;wsp:rsid wsp:val=&quot;76CC071C&quot;/&gt;&lt;wsp:rsid wsp:val=&quot;76D12FD3&quot;/&gt;&lt;wsp:rsid wsp:val=&quot;76DD0BF8&quot;/&gt;&lt;wsp:rsid wsp:val=&quot;76DE401C&quot;/&gt;&lt;wsp:rsid wsp:val=&quot;76DE403B&quot;/&gt;&lt;wsp:rsid wsp:val=&quot;76F047FF&quot;/&gt;&lt;wsp:rsid wsp:val=&quot;76F304BC&quot;/&gt;&lt;wsp:rsid wsp:val=&quot;76F37EC6&quot;/&gt;&lt;wsp:rsid wsp:val=&quot;77261969&quot;/&gt;&lt;wsp:rsid wsp:val=&quot;772B6DB7&quot;/&gt;&lt;wsp:rsid wsp:val=&quot;773652BF&quot;/&gt;&lt;wsp:rsid wsp:val=&quot;773F4B3C&quot;/&gt;&lt;wsp:rsid wsp:val=&quot;77485A94&quot;/&gt;&lt;wsp:rsid wsp:val=&quot;77494157&quot;/&gt;&lt;wsp:rsid wsp:val=&quot;775B6EA5&quot;/&gt;&lt;wsp:rsid wsp:val=&quot;775C7F95&quot;/&gt;&lt;wsp:rsid wsp:val=&quot;77671DCD&quot;/&gt;&lt;wsp:rsid wsp:val=&quot;77682B5E&quot;/&gt;&lt;wsp:rsid wsp:val=&quot;77762421&quot;/&gt;&lt;wsp:rsid wsp:val=&quot;777A65C8&quot;/&gt;&lt;wsp:rsid wsp:val=&quot;777E751B&quot;/&gt;&lt;wsp:rsid wsp:val=&quot;77947B83&quot;/&gt;&lt;wsp:rsid wsp:val=&quot;779510A3&quot;/&gt;&lt;wsp:rsid wsp:val=&quot;779773C0&quot;/&gt;&lt;wsp:rsid wsp:val=&quot;77985367&quot;/&gt;&lt;wsp:rsid wsp:val=&quot;779B6EBF&quot;/&gt;&lt;wsp:rsid wsp:val=&quot;779F5BC7&quot;/&gt;&lt;wsp:rsid wsp:val=&quot;77A53362&quot;/&gt;&lt;wsp:rsid wsp:val=&quot;77B56B1F&quot;/&gt;&lt;wsp:rsid wsp:val=&quot;77B75E73&quot;/&gt;&lt;wsp:rsid wsp:val=&quot;77BB7A6F&quot;/&gt;&lt;wsp:rsid wsp:val=&quot;77BC650A&quot;/&gt;&lt;wsp:rsid wsp:val=&quot;77C45195&quot;/&gt;&lt;wsp:rsid wsp:val=&quot;77C5754B&quot;/&gt;&lt;wsp:rsid wsp:val=&quot;77CB5C2E&quot;/&gt;&lt;wsp:rsid wsp:val=&quot;77D61FFD&quot;/&gt;&lt;wsp:rsid wsp:val=&quot;77E141C3&quot;/&gt;&lt;wsp:rsid wsp:val=&quot;77E45604&quot;/&gt;&lt;wsp:rsid wsp:val=&quot;77F40556&quot;/&gt;&lt;wsp:rsid wsp:val=&quot;780F09F4&quot;/&gt;&lt;wsp:rsid wsp:val=&quot;7810407B&quot;/&gt;&lt;wsp:rsid wsp:val=&quot;783A4ECE&quot;/&gt;&lt;wsp:rsid wsp:val=&quot;784F4642&quot;/&gt;&lt;wsp:rsid wsp:val=&quot;789944A6&quot;/&gt;&lt;wsp:rsid wsp:val=&quot;789B29C9&quot;/&gt;&lt;wsp:rsid wsp:val=&quot;78A90480&quot;/&gt;&lt;wsp:rsid wsp:val=&quot;78B23730&quot;/&gt;&lt;wsp:rsid wsp:val=&quot;78B6108A&quot;/&gt;&lt;wsp:rsid wsp:val=&quot;78C838FF&quot;/&gt;&lt;wsp:rsid wsp:val=&quot;78D70D09&quot;/&gt;&lt;wsp:rsid wsp:val=&quot;78E6261E&quot;/&gt;&lt;wsp:rsid wsp:val=&quot;79020895&quot;/&gt;&lt;wsp:rsid wsp:val=&quot;79094CF5&quot;/&gt;&lt;wsp:rsid wsp:val=&quot;790C1713&quot;/&gt;&lt;wsp:rsid wsp:val=&quot;79112886&quot;/&gt;&lt;wsp:rsid wsp:val=&quot;79171079&quot;/&gt;&lt;wsp:rsid wsp:val=&quot;79394A97&quot;/&gt;&lt;wsp:rsid wsp:val=&quot;794B4235&quot;/&gt;&lt;wsp:rsid wsp:val=&quot;7952603A&quot;/&gt;&lt;wsp:rsid wsp:val=&quot;795F235B&quot;/&gt;&lt;wsp:rsid wsp:val=&quot;7962311D&quot;/&gt;&lt;wsp:rsid wsp:val=&quot;796D2349&quot;/&gt;&lt;wsp:rsid wsp:val=&quot;79794B7D&quot;/&gt;&lt;wsp:rsid wsp:val=&quot;79805F3C&quot;/&gt;&lt;wsp:rsid wsp:val=&quot;798A3716&quot;/&gt;&lt;wsp:rsid wsp:val=&quot;798C7B87&quot;/&gt;&lt;wsp:rsid wsp:val=&quot;798F3E4C&quot;/&gt;&lt;wsp:rsid wsp:val=&quot;79B3354A&quot;/&gt;&lt;wsp:rsid wsp:val=&quot;79C8388C&quot;/&gt;&lt;wsp:rsid wsp:val=&quot;79D42883&quot;/&gt;&lt;wsp:rsid wsp:val=&quot;79D818A0&quot;/&gt;&lt;wsp:rsid wsp:val=&quot;79E66132&quot;/&gt;&lt;wsp:rsid wsp:val=&quot;79EA5885&quot;/&gt;&lt;wsp:rsid wsp:val=&quot;79EE4851&quot;/&gt;&lt;wsp:rsid wsp:val=&quot;79F31A57&quot;/&gt;&lt;wsp:rsid wsp:val=&quot;79F709A5&quot;/&gt;&lt;wsp:rsid wsp:val=&quot;7A010B4C&quot;/&gt;&lt;wsp:rsid wsp:val=&quot;7A075DF4&quot;/&gt;&lt;wsp:rsid wsp:val=&quot;7A106405&quot;/&gt;&lt;wsp:rsid wsp:val=&quot;7A1654FA&quot;/&gt;&lt;wsp:rsid wsp:val=&quot;7A1A5B66&quot;/&gt;&lt;wsp:rsid wsp:val=&quot;7A304192&quot;/&gt;&lt;wsp:rsid wsp:val=&quot;7A364017&quot;/&gt;&lt;wsp:rsid wsp:val=&quot;7A3C006E&quot;/&gt;&lt;wsp:rsid wsp:val=&quot;7A4171D2&quot;/&gt;&lt;wsp:rsid wsp:val=&quot;7A49008B&quot;/&gt;&lt;wsp:rsid wsp:val=&quot;7A4C3736&quot;/&gt;&lt;wsp:rsid wsp:val=&quot;7A583B82&quot;/&gt;&lt;wsp:rsid wsp:val=&quot;7A5F0950&quot;/&gt;&lt;wsp:rsid wsp:val=&quot;7A7B4D27&quot;/&gt;&lt;wsp:rsid wsp:val=&quot;7A8265E1&quot;/&gt;&lt;wsp:rsid wsp:val=&quot;7AA02113&quot;/&gt;&lt;wsp:rsid wsp:val=&quot;7AA93949&quot;/&gt;&lt;wsp:rsid wsp:val=&quot;7AAC0272&quot;/&gt;&lt;wsp:rsid wsp:val=&quot;7AAC0AB8&quot;/&gt;&lt;wsp:rsid wsp:val=&quot;7ABB5863&quot;/&gt;&lt;wsp:rsid wsp:val=&quot;7ACA4DFF&quot;/&gt;&lt;wsp:rsid wsp:val=&quot;7ACF198C&quot;/&gt;&lt;wsp:rsid wsp:val=&quot;7ADC162B&quot;/&gt;&lt;wsp:rsid wsp:val=&quot;7AE25524&quot;/&gt;&lt;wsp:rsid wsp:val=&quot;7AE8553D&quot;/&gt;&lt;wsp:rsid wsp:val=&quot;7AF01053&quot;/&gt;&lt;wsp:rsid wsp:val=&quot;7AF4480E&quot;/&gt;&lt;wsp:rsid wsp:val=&quot;7AF47374&quot;/&gt;&lt;wsp:rsid wsp:val=&quot;7B091644&quot;/&gt;&lt;wsp:rsid wsp:val=&quot;7B1110F2&quot;/&gt;&lt;wsp:rsid wsp:val=&quot;7B1975C5&quot;/&gt;&lt;wsp:rsid wsp:val=&quot;7B3E69C5&quot;/&gt;&lt;wsp:rsid wsp:val=&quot;7B49230C&quot;/&gt;&lt;wsp:rsid wsp:val=&quot;7B4C229B&quot;/&gt;&lt;wsp:rsid wsp:val=&quot;7B542DBF&quot;/&gt;&lt;wsp:rsid wsp:val=&quot;7B542FB9&quot;/&gt;&lt;wsp:rsid wsp:val=&quot;7B5F2201&quot;/&gt;&lt;wsp:rsid wsp:val=&quot;7B676C1A&quot;/&gt;&lt;wsp:rsid wsp:val=&quot;7B686D42&quot;/&gt;&lt;wsp:rsid wsp:val=&quot;7B726208&quot;/&gt;&lt;wsp:rsid wsp:val=&quot;7B7C0263&quot;/&gt;&lt;wsp:rsid wsp:val=&quot;7B7F0DC3&quot;/&gt;&lt;wsp:rsid wsp:val=&quot;7B841746&quot;/&gt;&lt;wsp:rsid wsp:val=&quot;7B8A370F&quot;/&gt;&lt;wsp:rsid wsp:val=&quot;7B8B21FA&quot;/&gt;&lt;wsp:rsid wsp:val=&quot;7B910A2C&quot;/&gt;&lt;wsp:rsid wsp:val=&quot;7B9358A4&quot;/&gt;&lt;wsp:rsid wsp:val=&quot;7B93683C&quot;/&gt;&lt;wsp:rsid wsp:val=&quot;7B972C1B&quot;/&gt;&lt;wsp:rsid wsp:val=&quot;7B9800C8&quot;/&gt;&lt;wsp:rsid wsp:val=&quot;7BA0784E&quot;/&gt;&lt;wsp:rsid wsp:val=&quot;7BA668E4&quot;/&gt;&lt;wsp:rsid wsp:val=&quot;7BAE724A&quot;/&gt;&lt;wsp:rsid wsp:val=&quot;7BB3142A&quot;/&gt;&lt;wsp:rsid wsp:val=&quot;7BB66243&quot;/&gt;&lt;wsp:rsid wsp:val=&quot;7BB72DA9&quot;/&gt;&lt;wsp:rsid wsp:val=&quot;7BCA0688&quot;/&gt;&lt;wsp:rsid wsp:val=&quot;7BDB4CCE&quot;/&gt;&lt;wsp:rsid wsp:val=&quot;7BE32BDD&quot;/&gt;&lt;wsp:rsid wsp:val=&quot;7BE4480F&quot;/&gt;&lt;wsp:rsid wsp:val=&quot;7BEB7DE9&quot;/&gt;&lt;wsp:rsid wsp:val=&quot;7BF431D7&quot;/&gt;&lt;wsp:rsid wsp:val=&quot;7C0478BC&quot;/&gt;&lt;wsp:rsid wsp:val=&quot;7C160AE8&quot;/&gt;&lt;wsp:rsid wsp:val=&quot;7C1910DF&quot;/&gt;&lt;wsp:rsid wsp:val=&quot;7C1B48DE&quot;/&gt;&lt;wsp:rsid wsp:val=&quot;7C273F54&quot;/&gt;&lt;wsp:rsid wsp:val=&quot;7C315F76&quot;/&gt;&lt;wsp:rsid wsp:val=&quot;7C3654F3&quot;/&gt;&lt;wsp:rsid wsp:val=&quot;7C394410&quot;/&gt;&lt;wsp:rsid wsp:val=&quot;7C4D4FF4&quot;/&gt;&lt;wsp:rsid wsp:val=&quot;7C5533D1&quot;/&gt;&lt;wsp:rsid wsp:val=&quot;7C5F1B82&quot;/&gt;&lt;wsp:rsid wsp:val=&quot;7C5F204D&quot;/&gt;&lt;wsp:rsid wsp:val=&quot;7C605B15&quot;/&gt;&lt;wsp:rsid wsp:val=&quot;7C680FAB&quot;/&gt;&lt;wsp:rsid wsp:val=&quot;7C6C5AC7&quot;/&gt;&lt;wsp:rsid wsp:val=&quot;7C756F79&quot;/&gt;&lt;wsp:rsid wsp:val=&quot;7C77285B&quot;/&gt;&lt;wsp:rsid wsp:val=&quot;7C7F3FAA&quot;/&gt;&lt;wsp:rsid wsp:val=&quot;7C82645C&quot;/&gt;&lt;wsp:rsid wsp:val=&quot;7C8D50A1&quot;/&gt;&lt;wsp:rsid wsp:val=&quot;7C9A0DE4&quot;/&gt;&lt;wsp:rsid wsp:val=&quot;7CB27956&quot;/&gt;&lt;wsp:rsid wsp:val=&quot;7CB43861&quot;/&gt;&lt;wsp:rsid wsp:val=&quot;7CBD2B4C&quot;/&gt;&lt;wsp:rsid wsp:val=&quot;7CBE1054&quot;/&gt;&lt;wsp:rsid wsp:val=&quot;7CC6544B&quot;/&gt;&lt;wsp:rsid wsp:val=&quot;7CC7607D&quot;/&gt;&lt;wsp:rsid wsp:val=&quot;7CC92A6A&quot;/&gt;&lt;wsp:rsid wsp:val=&quot;7CCF1D50&quot;/&gt;&lt;wsp:rsid wsp:val=&quot;7CDC6150&quot;/&gt;&lt;wsp:rsid wsp:val=&quot;7CF16F95&quot;/&gt;&lt;wsp:rsid wsp:val=&quot;7CFA6F25&quot;/&gt;&lt;wsp:rsid wsp:val=&quot;7D012C11&quot;/&gt;&lt;wsp:rsid wsp:val=&quot;7D0239FF&quot;/&gt;&lt;wsp:rsid wsp:val=&quot;7D0821F2&quot;/&gt;&lt;wsp:rsid wsp:val=&quot;7D100919&quot;/&gt;&lt;wsp:rsid wsp:val=&quot;7D1B4B6E&quot;/&gt;&lt;wsp:rsid wsp:val=&quot;7D1E635E&quot;/&gt;&lt;wsp:rsid wsp:val=&quot;7D1F4EFA&quot;/&gt;&lt;wsp:rsid wsp:val=&quot;7D2D6D92&quot;/&gt;&lt;wsp:rsid wsp:val=&quot;7D2E700C&quot;/&gt;&lt;wsp:rsid wsp:val=&quot;7D2F2B92&quot;/&gt;&lt;wsp:rsid wsp:val=&quot;7D315035&quot;/&gt;&lt;wsp:rsid wsp:val=&quot;7D414724&quot;/&gt;&lt;wsp:rsid wsp:val=&quot;7D4E22FA&quot;/&gt;&lt;wsp:rsid wsp:val=&quot;7D561C7E&quot;/&gt;&lt;wsp:rsid wsp:val=&quot;7D5A1DA3&quot;/&gt;&lt;wsp:rsid wsp:val=&quot;7D5E40CD&quot;/&gt;&lt;wsp:rsid wsp:val=&quot;7D924A0A&quot;/&gt;&lt;wsp:rsid wsp:val=&quot;7D930592&quot;/&gt;&lt;wsp:rsid wsp:val=&quot;7DAC659A&quot;/&gt;&lt;wsp:rsid wsp:val=&quot;7DAF52EF&quot;/&gt;&lt;wsp:rsid wsp:val=&quot;7DB54CF6&quot;/&gt;&lt;wsp:rsid wsp:val=&quot;7DCB55B3&quot;/&gt;&lt;wsp:rsid wsp:val=&quot;7DCB688E&quot;/&gt;&lt;wsp:rsid wsp:val=&quot;7DCD56F2&quot;/&gt;&lt;wsp:rsid wsp:val=&quot;7DE76069&quot;/&gt;&lt;wsp:rsid wsp:val=&quot;7DFE3724&quot;/&gt;&lt;wsp:rsid wsp:val=&quot;7E1C0AFE&quot;/&gt;&lt;wsp:rsid wsp:val=&quot;7E22202D&quot;/&gt;&lt;wsp:rsid wsp:val=&quot;7E22466A&quot;/&gt;&lt;wsp:rsid wsp:val=&quot;7E2950C8&quot;/&gt;&lt;wsp:rsid wsp:val=&quot;7E2A4418&quot;/&gt;&lt;wsp:rsid wsp:val=&quot;7E2B7F1D&quot;/&gt;&lt;wsp:rsid wsp:val=&quot;7E2E6078&quot;/&gt;&lt;wsp:rsid wsp:val=&quot;7E307F44&quot;/&gt;&lt;wsp:rsid wsp:val=&quot;7E324779&quot;/&gt;&lt;wsp:rsid wsp:val=&quot;7E3A4C98&quot;/&gt;&lt;wsp:rsid wsp:val=&quot;7E3C03A5&quot;/&gt;&lt;wsp:rsid wsp:val=&quot;7E4234E1&quot;/&gt;&lt;wsp:rsid wsp:val=&quot;7E4D5B60&quot;/&gt;&lt;wsp:rsid wsp:val=&quot;7E5B1939&quot;/&gt;&lt;wsp:rsid wsp:val=&quot;7E5F6222&quot;/&gt;&lt;wsp:rsid wsp:val=&quot;7E6337D1&quot;/&gt;&lt;wsp:rsid wsp:val=&quot;7E71462F&quot;/&gt;&lt;wsp:rsid wsp:val=&quot;7E75207D&quot;/&gt;&lt;wsp:rsid wsp:val=&quot;7E775881&quot;/&gt;&lt;wsp:rsid wsp:val=&quot;7E823BED&quot;/&gt;&lt;wsp:rsid wsp:val=&quot;7E867872&quot;/&gt;&lt;wsp:rsid wsp:val=&quot;7E9148F6&quot;/&gt;&lt;wsp:rsid wsp:val=&quot;7E931112&quot;/&gt;&lt;wsp:rsid wsp:val=&quot;7EC37E4E&quot;/&gt;&lt;wsp:rsid wsp:val=&quot;7EC860DC&quot;/&gt;&lt;wsp:rsid wsp:val=&quot;7ED35439&quot;/&gt;&lt;wsp:rsid wsp:val=&quot;7ED86A6B&quot;/&gt;&lt;wsp:rsid wsp:val=&quot;7EDF116C&quot;/&gt;&lt;wsp:rsid wsp:val=&quot;7EFF7A60&quot;/&gt;&lt;wsp:rsid wsp:val=&quot;7F001CE7&quot;/&gt;&lt;wsp:rsid wsp:val=&quot;7F0974E4&quot;/&gt;&lt;wsp:rsid wsp:val=&quot;7F0B0B56&quot;/&gt;&lt;wsp:rsid wsp:val=&quot;7F1D0DCD&quot;/&gt;&lt;wsp:rsid wsp:val=&quot;7F272B88&quot;/&gt;&lt;wsp:rsid wsp:val=&quot;7F423A73&quot;/&gt;&lt;wsp:rsid wsp:val=&quot;7F4274E3&quot;/&gt;&lt;wsp:rsid wsp:val=&quot;7F4356E0&quot;/&gt;&lt;wsp:rsid wsp:val=&quot;7F466689&quot;/&gt;&lt;wsp:rsid wsp:val=&quot;7F674C93&quot;/&gt;&lt;wsp:rsid wsp:val=&quot;7F6E0445&quot;/&gt;&lt;wsp:rsid wsp:val=&quot;7F6F0306&quot;/&gt;&lt;wsp:rsid wsp:val=&quot;7F701C16&quot;/&gt;&lt;wsp:rsid wsp:val=&quot;7F74300A&quot;/&gt;&lt;wsp:rsid wsp:val=&quot;7F7F6276&quot;/&gt;&lt;wsp:rsid wsp:val=&quot;7F840DF7&quot;/&gt;&lt;wsp:rsid wsp:val=&quot;7F873D31&quot;/&gt;&lt;wsp:rsid wsp:val=&quot;7F8D24A4&quot;/&gt;&lt;wsp:rsid wsp:val=&quot;7F9D7AC4&quot;/&gt;&lt;wsp:rsid wsp:val=&quot;7FAD5BBA&quot;/&gt;&lt;wsp:rsid wsp:val=&quot;7FC327EA&quot;/&gt;&lt;wsp:rsid wsp:val=&quot;7FE47E50&quot;/&gt;&lt;wsp:rsid wsp:val=&quot;7FE72A0D&quot;/&gt;&lt;wsp:rsid wsp:val=&quot;7FF66531&quot;/&gt;&lt;/wsp:rsids&gt;&lt;/w:docPr&gt;&lt;w:body&gt;&lt;wx:sect&gt;&lt;w:p wsp:rsidR=&quot;00000000&quot; wsp:rsidRDefault=&quot;00B07F4E&quot; wsp:rsidP=&quot;00B07F4E&quot;&gt;&lt;m:oMathPara&gt;&lt;m:oMath&gt;&lt;m:sSub&gt;&lt;m:sSubPr&gt;&lt;m:ctrlPr&gt;&lt;w:rPr&gt;&lt;w:rFonts w:ascii=&quot;Cambria Math&quot; w:h-ansi=&quot;Cambria Math&quot;/&gt;&lt;wx:font wx:val=&quot;Cambria Math&quot;/&gt;&lt;w:i/&gt;&lt;w:color w:val=&quot;000000&quot;/&gt;&lt;w:sz w:val=&quot;24&quot;/&gt;&lt;w:sz-cs w:val=&quot;32&quot;/&gt;&lt;/w:rPr&gt;&lt;/m:ctrlPr&gt;&lt;/m:sSubPr&gt;&lt;m:e&gt;&lt;m:r&gt;&lt;m:rPr&gt;&lt;m:nor/&gt;&lt;/m:rPr&gt;&lt;w:rPr&gt;&lt;w:rFonts w:ascii=&quot;Cambria Math&quot; w:h-ansi=&quot;Cambria Math&quot;/&gt;&lt;wx:font wx:val=&quot;Cambria Math&quot;/&gt;&lt;w:i/&gt;&lt;w:color w:val=&quot;000000&quot;/&gt;&lt;w:sz w:val=&quot;24&quot;/&gt;&lt;w:sz-cs w:val=&quot;32&quot;/&gt;&lt;/w:rPr&gt;&lt;m:t&gt;q&lt;/m:t&gt;&lt;/m:r&gt;&lt;/m:e&gt;&lt;m:sub&gt;&lt;m:r&gt;&lt;m:rPr&gt;&lt;m:nor/&gt;&lt;/m:rPr&gt;&lt;w:rPr&gt;&lt;w:rFonts w:ascii=&quot;Cambria Math&quot; w:h-ansi=&quot;Cambria Math&quot;/&gt;&lt;wx:font wx:val=&quot;Cambria Math&quot;/&gt;&lt;w:i/&gt;&lt;w:color w:val=&quot;000000&quot;/&gt;&lt;w:sz w:val=&quot;24&quot;/&gt;&lt;w:sz-cs w:val=&quot;32&quot;/&gt;&lt;/w:rPr&gt;&lt;m:t&gt;3&lt;/m:t&gt;&lt;/m:r&gt;&lt;/m:sub&gt;&lt;/m:sSub&gt;&lt;m:r&gt;&lt;m:rPr&gt;&lt;m:nor/&gt;&lt;/m:rPr&gt;&lt;w:rPr&gt;&lt;w:rFonts w:ascii=&quot;Cambria Math&quot; w:h-ansi=&quot;Cambria Math&quot;/&gt;&lt;wx:font wx:val=&quot;Cambria Math&quot;/&gt;&lt;w:i/&gt;&lt;w:color w:val=&quot;000000&quot;/&gt;&lt;w:sz w:val=&quot;24&quot;/&gt;&lt;w:sz-cs w:val=&quot;32&quot;/&gt;&lt;/w:rPr&gt;&lt;m:t&gt;??&lt;/m:t&gt;&lt;/m:r&gt;&lt;m:sSub&gt;&lt;m:sSubPr&gt;&lt;m:ctrlPr&gt;&lt;w:rPr&gt;&lt;w:rFonts w:ascii=&quot;Cambria Math&quot; w:h-ansi=&quot;Cambria Math&quot;/&gt;&lt;wx:font wx:val=&quot;Cambria Math&quot;/&gt;&lt;w:i/&gt;&lt;w:color w:val=&quot;000000&quot;/&gt;&lt;w:sz w:val=&quot;24&quot;/&gt;&lt;w:sz-cs w:val=&quot;32&quot;/&gt;&lt;/w:rPr&gt;&lt;/m:ctrlPr&gt;&lt;/m:sSubPr&gt;&lt;m:e&gt;&lt;m:r&gt;&lt;m:rPr&gt;&lt;m:nor/&gt;&lt;/m:rPr&gt;&lt;w:rPr&gt;&lt;w:rFonts w:ascii=&quot;Cambria Math&quot; w:h-ansi=&quot;Cambria Math&quot;/&gt;&lt;wx:font wx:val=&quot;Cambria Math&quot;/&gt;&lt;w:i/&gt;&lt;w:color w:val=&quot;000000&quot;/&gt;&lt;w:sz w:val=&quot;24&quot;/&gt;&lt;w:sz-cs w:val=&quot;32&quot;/&gt;&lt;/w:rPr&gt;&lt;m:t&gt;q&lt;/m:t&gt;&lt;/m:r&gt;&lt;/m:e&gt;&lt;m:sub&gt;&lt;m:r&gt;&lt;w:rPr&gt;&lt;w:rFonts w:ascii=&quot;Cambria Math&quot; w:h-ansi=&quot;Cambria Math&quot;/&gt;&lt;wx:font wx:val=&quot;Cambria Math&quot;/&gt;&lt;w:i/&gt;&lt;w:color w:val=&quot;000000&quot;/&gt;&lt;w:sz w:val=&quot;24&quot;/&gt;&lt;w:sz-cs w:val=&quot;32&quot;/&gt;&lt;/w:rPr&gt;&lt;m:t&gt;n&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 chromakey="#FFFFFF" o:title=""/>
                  <o:lock v:ext="edit" aspectratio="t"/>
                  <w10:wrap type="none"/>
                  <w10:anchorlock/>
                </v:shape>
              </w:pict>
            </w:r>
            <w:r>
              <w:rPr>
                <w:color w:val="auto"/>
                <w:sz w:val="24"/>
                <w:szCs w:val="32"/>
              </w:rPr>
              <w:instrText xml:space="preserve"> </w:instrText>
            </w:r>
            <w:r>
              <w:rPr>
                <w:color w:val="auto"/>
                <w:sz w:val="24"/>
                <w:szCs w:val="32"/>
              </w:rPr>
              <w:fldChar w:fldCharType="end"/>
            </w:r>
            <w:r>
              <w:rPr>
                <w:color w:val="auto"/>
                <w:sz w:val="24"/>
                <w:szCs w:val="32"/>
              </w:rPr>
              <w:t>——</w:t>
            </w:r>
            <w:r>
              <w:rPr>
                <w:rFonts w:hint="eastAsia"/>
                <w:color w:val="auto"/>
                <w:sz w:val="24"/>
                <w:szCs w:val="32"/>
              </w:rPr>
              <w:t>每种危险物质最大存在总量，</w:t>
            </w:r>
            <w:r>
              <w:rPr>
                <w:color w:val="auto"/>
                <w:sz w:val="24"/>
                <w:szCs w:val="32"/>
              </w:rPr>
              <w:t>t</w:t>
            </w:r>
            <w:r>
              <w:rPr>
                <w:rFonts w:hint="eastAsia"/>
                <w:color w:val="auto"/>
                <w:sz w:val="24"/>
                <w:szCs w:val="32"/>
              </w:rPr>
              <w:t>；</w:t>
            </w:r>
          </w:p>
          <w:p>
            <w:pPr>
              <w:spacing w:line="360" w:lineRule="auto"/>
              <w:ind w:firstLine="1200" w:firstLineChars="500"/>
              <w:jc w:val="left"/>
              <w:rPr>
                <w:color w:val="auto"/>
                <w:sz w:val="24"/>
                <w:szCs w:val="32"/>
              </w:rPr>
            </w:pPr>
            <w:r>
              <w:rPr>
                <w:color w:val="auto"/>
                <w:sz w:val="24"/>
                <w:szCs w:val="32"/>
              </w:rPr>
              <w:t>Q</w:t>
            </w:r>
            <w:r>
              <w:rPr>
                <w:color w:val="auto"/>
                <w:sz w:val="24"/>
                <w:szCs w:val="32"/>
                <w:vertAlign w:val="subscript"/>
              </w:rPr>
              <w:t>1</w:t>
            </w:r>
            <w:r>
              <w:rPr>
                <w:rFonts w:hint="eastAsia"/>
                <w:color w:val="auto"/>
                <w:sz w:val="24"/>
                <w:szCs w:val="32"/>
              </w:rPr>
              <w:t>，</w:t>
            </w:r>
            <w:r>
              <w:rPr>
                <w:color w:val="auto"/>
                <w:sz w:val="24"/>
                <w:szCs w:val="32"/>
              </w:rPr>
              <w:t>Q</w:t>
            </w:r>
            <w:r>
              <w:rPr>
                <w:color w:val="auto"/>
                <w:sz w:val="24"/>
                <w:szCs w:val="32"/>
                <w:vertAlign w:val="subscript"/>
              </w:rPr>
              <w:t>2</w:t>
            </w:r>
            <w:r>
              <w:rPr>
                <w:rFonts w:hint="eastAsia"/>
                <w:color w:val="auto"/>
                <w:sz w:val="24"/>
                <w:szCs w:val="32"/>
              </w:rPr>
              <w:t>，</w:t>
            </w:r>
            <w:r>
              <w:rPr>
                <w:color w:val="auto"/>
                <w:sz w:val="24"/>
                <w:szCs w:val="32"/>
              </w:rPr>
              <w:t>Q</w:t>
            </w:r>
            <w:r>
              <w:rPr>
                <w:color w:val="auto"/>
                <w:sz w:val="24"/>
                <w:szCs w:val="32"/>
                <w:vertAlign w:val="subscript"/>
              </w:rPr>
              <w:t>3</w:t>
            </w:r>
            <w:r>
              <w:rPr>
                <w:color w:val="auto"/>
                <w:sz w:val="24"/>
                <w:szCs w:val="32"/>
              </w:rPr>
              <w:t>······Qn——</w:t>
            </w:r>
            <w:r>
              <w:rPr>
                <w:rFonts w:hint="eastAsia"/>
                <w:color w:val="auto"/>
                <w:sz w:val="24"/>
                <w:szCs w:val="32"/>
              </w:rPr>
              <w:t>每种危险物质临界量，</w:t>
            </w:r>
            <w:r>
              <w:rPr>
                <w:color w:val="auto"/>
                <w:sz w:val="24"/>
                <w:szCs w:val="32"/>
              </w:rPr>
              <w:t>t</w:t>
            </w:r>
            <w:r>
              <w:rPr>
                <w:rFonts w:hint="eastAsia"/>
                <w:color w:val="auto"/>
                <w:sz w:val="24"/>
                <w:szCs w:val="32"/>
              </w:rPr>
              <w:t>。</w:t>
            </w:r>
          </w:p>
          <w:p>
            <w:pPr>
              <w:spacing w:line="360" w:lineRule="auto"/>
              <w:ind w:firstLine="480"/>
              <w:jc w:val="left"/>
              <w:rPr>
                <w:color w:val="auto"/>
                <w:sz w:val="24"/>
                <w:szCs w:val="32"/>
              </w:rPr>
            </w:pPr>
            <w:r>
              <w:rPr>
                <w:rFonts w:hint="eastAsia"/>
                <w:color w:val="auto"/>
                <w:sz w:val="24"/>
                <w:szCs w:val="32"/>
              </w:rPr>
              <w:t>当</w:t>
            </w:r>
            <w:r>
              <w:rPr>
                <w:color w:val="auto"/>
                <w:sz w:val="24"/>
                <w:szCs w:val="32"/>
              </w:rPr>
              <w:t>Q&lt;1</w:t>
            </w:r>
            <w:r>
              <w:rPr>
                <w:rFonts w:hint="eastAsia"/>
                <w:color w:val="auto"/>
                <w:sz w:val="24"/>
                <w:szCs w:val="32"/>
              </w:rPr>
              <w:t>时，该项目环境风险潜势为</w:t>
            </w:r>
            <w:r>
              <w:rPr>
                <w:color w:val="auto"/>
                <w:sz w:val="24"/>
                <w:szCs w:val="32"/>
              </w:rPr>
              <w:t>I</w:t>
            </w:r>
            <w:r>
              <w:rPr>
                <w:rFonts w:hint="eastAsia"/>
                <w:color w:val="auto"/>
                <w:sz w:val="24"/>
                <w:szCs w:val="32"/>
              </w:rPr>
              <w:t>；当</w:t>
            </w:r>
            <w:r>
              <w:rPr>
                <w:color w:val="auto"/>
                <w:sz w:val="24"/>
                <w:szCs w:val="32"/>
              </w:rPr>
              <w:t>Q</w:t>
            </w:r>
            <w:r>
              <w:rPr>
                <w:rFonts w:hint="eastAsia" w:ascii="宋体" w:hAnsi="宋体" w:cs="宋体"/>
                <w:color w:val="auto"/>
                <w:sz w:val="24"/>
                <w:szCs w:val="32"/>
              </w:rPr>
              <w:t>≧</w:t>
            </w:r>
            <w:r>
              <w:rPr>
                <w:color w:val="auto"/>
                <w:sz w:val="24"/>
                <w:szCs w:val="32"/>
              </w:rPr>
              <w:t>1</w:t>
            </w:r>
            <w:r>
              <w:rPr>
                <w:rFonts w:hint="eastAsia"/>
                <w:color w:val="auto"/>
                <w:sz w:val="24"/>
                <w:szCs w:val="32"/>
              </w:rPr>
              <w:t>时，将</w:t>
            </w:r>
            <w:r>
              <w:rPr>
                <w:color w:val="auto"/>
                <w:sz w:val="24"/>
                <w:szCs w:val="32"/>
              </w:rPr>
              <w:t>Q</w:t>
            </w:r>
            <w:r>
              <w:rPr>
                <w:rFonts w:hint="eastAsia"/>
                <w:color w:val="auto"/>
                <w:sz w:val="24"/>
                <w:szCs w:val="32"/>
              </w:rPr>
              <w:t>值划分为：（</w:t>
            </w:r>
            <w:r>
              <w:rPr>
                <w:color w:val="auto"/>
                <w:sz w:val="24"/>
                <w:szCs w:val="32"/>
              </w:rPr>
              <w:t>1</w:t>
            </w:r>
            <w:r>
              <w:rPr>
                <w:rFonts w:hint="eastAsia"/>
                <w:color w:val="auto"/>
                <w:sz w:val="24"/>
                <w:szCs w:val="32"/>
              </w:rPr>
              <w:t>）</w:t>
            </w:r>
            <w:r>
              <w:rPr>
                <w:color w:val="auto"/>
                <w:sz w:val="24"/>
                <w:szCs w:val="32"/>
              </w:rPr>
              <w:t>1</w:t>
            </w:r>
            <w:r>
              <w:rPr>
                <w:rFonts w:hint="eastAsia" w:ascii="宋体" w:hAnsi="宋体" w:cs="宋体"/>
                <w:color w:val="auto"/>
                <w:sz w:val="24"/>
                <w:szCs w:val="32"/>
              </w:rPr>
              <w:t>≦</w:t>
            </w:r>
            <w:r>
              <w:rPr>
                <w:color w:val="auto"/>
                <w:sz w:val="24"/>
                <w:szCs w:val="32"/>
              </w:rPr>
              <w:t>Q&lt;10</w:t>
            </w:r>
            <w:r>
              <w:rPr>
                <w:rFonts w:hint="eastAsia"/>
                <w:color w:val="auto"/>
                <w:sz w:val="24"/>
                <w:szCs w:val="32"/>
              </w:rPr>
              <w:t>；（</w:t>
            </w:r>
            <w:r>
              <w:rPr>
                <w:color w:val="auto"/>
                <w:sz w:val="24"/>
                <w:szCs w:val="32"/>
              </w:rPr>
              <w:t>2</w:t>
            </w:r>
            <w:r>
              <w:rPr>
                <w:rFonts w:hint="eastAsia"/>
                <w:color w:val="auto"/>
                <w:sz w:val="24"/>
                <w:szCs w:val="32"/>
              </w:rPr>
              <w:t>）</w:t>
            </w:r>
            <w:r>
              <w:rPr>
                <w:color w:val="auto"/>
                <w:sz w:val="24"/>
                <w:szCs w:val="32"/>
              </w:rPr>
              <w:t>10</w:t>
            </w:r>
            <w:r>
              <w:rPr>
                <w:rFonts w:hint="eastAsia" w:ascii="宋体" w:hAnsi="宋体" w:cs="宋体"/>
                <w:color w:val="auto"/>
                <w:sz w:val="24"/>
                <w:szCs w:val="32"/>
              </w:rPr>
              <w:t>≦</w:t>
            </w:r>
            <w:r>
              <w:rPr>
                <w:color w:val="auto"/>
                <w:sz w:val="24"/>
                <w:szCs w:val="32"/>
              </w:rPr>
              <w:t>Q&lt;100</w:t>
            </w:r>
            <w:r>
              <w:rPr>
                <w:rFonts w:hint="eastAsia"/>
                <w:color w:val="auto"/>
                <w:sz w:val="24"/>
                <w:szCs w:val="32"/>
              </w:rPr>
              <w:t>；（</w:t>
            </w:r>
            <w:r>
              <w:rPr>
                <w:color w:val="auto"/>
                <w:sz w:val="24"/>
                <w:szCs w:val="32"/>
              </w:rPr>
              <w:t>3</w:t>
            </w:r>
            <w:r>
              <w:rPr>
                <w:rFonts w:hint="eastAsia"/>
                <w:color w:val="auto"/>
                <w:sz w:val="24"/>
                <w:szCs w:val="32"/>
              </w:rPr>
              <w:t>）</w:t>
            </w:r>
            <w:r>
              <w:rPr>
                <w:color w:val="auto"/>
                <w:sz w:val="24"/>
                <w:szCs w:val="32"/>
              </w:rPr>
              <w:t>Q</w:t>
            </w:r>
            <w:r>
              <w:rPr>
                <w:rFonts w:hint="eastAsia" w:ascii="宋体" w:hAnsi="宋体" w:cs="宋体"/>
                <w:color w:val="auto"/>
                <w:sz w:val="24"/>
                <w:szCs w:val="32"/>
              </w:rPr>
              <w:t>≧</w:t>
            </w:r>
            <w:r>
              <w:rPr>
                <w:color w:val="auto"/>
                <w:sz w:val="24"/>
                <w:szCs w:val="32"/>
              </w:rPr>
              <w:t>100</w:t>
            </w:r>
            <w:r>
              <w:rPr>
                <w:rFonts w:hint="eastAsia"/>
                <w:color w:val="auto"/>
                <w:sz w:val="24"/>
                <w:szCs w:val="32"/>
              </w:rPr>
              <w:t>。</w:t>
            </w:r>
          </w:p>
          <w:p>
            <w:pPr>
              <w:pStyle w:val="6"/>
              <w:keepNext/>
              <w:ind w:firstLine="632" w:firstLineChars="300"/>
              <w:jc w:val="both"/>
              <w:rPr>
                <w:color w:val="auto"/>
              </w:rPr>
            </w:pPr>
            <w:r>
              <w:rPr>
                <w:rFonts w:hint="eastAsia"/>
                <w:color w:val="auto"/>
              </w:rPr>
              <w:t>表</w:t>
            </w:r>
            <w:r>
              <w:rPr>
                <w:color w:val="auto"/>
              </w:rPr>
              <w:t>4-</w:t>
            </w:r>
            <w:r>
              <w:rPr>
                <w:rFonts w:hint="eastAsia"/>
                <w:color w:val="auto"/>
              </w:rPr>
              <w:t>8</w:t>
            </w:r>
            <w:r>
              <w:rPr>
                <w:color w:val="auto"/>
              </w:rPr>
              <w:t xml:space="preserve">             </w:t>
            </w:r>
            <w:r>
              <w:rPr>
                <w:rFonts w:hint="eastAsia"/>
                <w:color w:val="auto"/>
              </w:rPr>
              <w:t xml:space="preserve">  危险物质与临界量比值</w:t>
            </w:r>
            <w:r>
              <w:rPr>
                <w:color w:val="auto"/>
              </w:rPr>
              <w:t>Q</w:t>
            </w:r>
            <w:r>
              <w:rPr>
                <w:rFonts w:hint="eastAsia"/>
                <w:color w:val="auto"/>
              </w:rPr>
              <w:t>一览表</w:t>
            </w:r>
          </w:p>
          <w:tbl>
            <w:tblPr>
              <w:tblStyle w:val="1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1"/>
              <w:gridCol w:w="1438"/>
              <w:gridCol w:w="2516"/>
              <w:gridCol w:w="1048"/>
              <w:gridCol w:w="16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94" w:type="pct"/>
                  <w:vAlign w:val="center"/>
                </w:tcPr>
                <w:p>
                  <w:pPr>
                    <w:pStyle w:val="47"/>
                    <w:spacing w:line="240" w:lineRule="auto"/>
                    <w:ind w:firstLine="0" w:firstLineChars="0"/>
                    <w:jc w:val="center"/>
                    <w:rPr>
                      <w:color w:val="auto"/>
                      <w:szCs w:val="21"/>
                    </w:rPr>
                  </w:pPr>
                  <w:r>
                    <w:rPr>
                      <w:color w:val="auto"/>
                      <w:szCs w:val="21"/>
                    </w:rPr>
                    <w:t>所属单元</w:t>
                  </w:r>
                </w:p>
              </w:tc>
              <w:tc>
                <w:tcPr>
                  <w:tcW w:w="906" w:type="pct"/>
                  <w:vAlign w:val="center"/>
                </w:tcPr>
                <w:p>
                  <w:pPr>
                    <w:pStyle w:val="47"/>
                    <w:spacing w:line="240" w:lineRule="auto"/>
                    <w:ind w:firstLine="0" w:firstLineChars="0"/>
                    <w:jc w:val="center"/>
                    <w:rPr>
                      <w:color w:val="auto"/>
                      <w:szCs w:val="21"/>
                    </w:rPr>
                  </w:pPr>
                  <w:r>
                    <w:rPr>
                      <w:color w:val="auto"/>
                      <w:szCs w:val="21"/>
                    </w:rPr>
                    <w:t>危险物质名称</w:t>
                  </w:r>
                </w:p>
              </w:tc>
              <w:tc>
                <w:tcPr>
                  <w:tcW w:w="1585" w:type="pct"/>
                  <w:vAlign w:val="center"/>
                </w:tcPr>
                <w:p>
                  <w:pPr>
                    <w:pStyle w:val="47"/>
                    <w:spacing w:line="240" w:lineRule="auto"/>
                    <w:ind w:firstLine="0" w:firstLineChars="0"/>
                    <w:jc w:val="center"/>
                    <w:rPr>
                      <w:color w:val="auto"/>
                      <w:szCs w:val="21"/>
                    </w:rPr>
                  </w:pPr>
                  <w:r>
                    <w:rPr>
                      <w:color w:val="auto"/>
                      <w:szCs w:val="21"/>
                    </w:rPr>
                    <w:t>最大储存量或在线量q（t）</w:t>
                  </w:r>
                </w:p>
              </w:tc>
              <w:tc>
                <w:tcPr>
                  <w:tcW w:w="659" w:type="pct"/>
                  <w:vAlign w:val="center"/>
                </w:tcPr>
                <w:p>
                  <w:pPr>
                    <w:pStyle w:val="47"/>
                    <w:spacing w:line="240" w:lineRule="auto"/>
                    <w:ind w:firstLine="0" w:firstLineChars="0"/>
                    <w:jc w:val="center"/>
                    <w:rPr>
                      <w:color w:val="auto"/>
                      <w:szCs w:val="21"/>
                    </w:rPr>
                  </w:pPr>
                  <w:r>
                    <w:rPr>
                      <w:color w:val="auto"/>
                      <w:szCs w:val="21"/>
                    </w:rPr>
                    <w:t>临界量（t）</w:t>
                  </w:r>
                </w:p>
              </w:tc>
              <w:tc>
                <w:tcPr>
                  <w:tcW w:w="1054" w:type="pct"/>
                  <w:vAlign w:val="center"/>
                </w:tcPr>
                <w:p>
                  <w:pPr>
                    <w:pStyle w:val="47"/>
                    <w:spacing w:line="240" w:lineRule="auto"/>
                    <w:ind w:firstLine="0" w:firstLineChars="0"/>
                    <w:jc w:val="center"/>
                    <w:rPr>
                      <w:color w:val="auto"/>
                      <w:szCs w:val="21"/>
                    </w:rPr>
                  </w:pPr>
                  <w:r>
                    <w:rPr>
                      <w:color w:val="auto"/>
                      <w:szCs w:val="21"/>
                    </w:rPr>
                    <w:t>危险物质与临界量比值Q</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94" w:type="pct"/>
                  <w:vAlign w:val="center"/>
                </w:tcPr>
                <w:p>
                  <w:pPr>
                    <w:widowControl/>
                    <w:jc w:val="center"/>
                    <w:rPr>
                      <w:rFonts w:hint="eastAsia"/>
                      <w:color w:val="auto"/>
                      <w:szCs w:val="21"/>
                    </w:rPr>
                  </w:pPr>
                  <w:r>
                    <w:rPr>
                      <w:rFonts w:hint="eastAsia"/>
                      <w:color w:val="auto"/>
                      <w:szCs w:val="21"/>
                    </w:rPr>
                    <w:t>油泥</w:t>
                  </w:r>
                </w:p>
                <w:p>
                  <w:pPr>
                    <w:widowControl/>
                    <w:jc w:val="center"/>
                    <w:rPr>
                      <w:color w:val="auto"/>
                      <w:szCs w:val="21"/>
                    </w:rPr>
                  </w:pPr>
                  <w:r>
                    <w:rPr>
                      <w:rFonts w:hint="eastAsia"/>
                      <w:color w:val="auto"/>
                      <w:szCs w:val="21"/>
                    </w:rPr>
                    <w:t>暂存间</w:t>
                  </w:r>
                </w:p>
              </w:tc>
              <w:tc>
                <w:tcPr>
                  <w:tcW w:w="906" w:type="pct"/>
                  <w:vAlign w:val="center"/>
                </w:tcPr>
                <w:p>
                  <w:pPr>
                    <w:pStyle w:val="47"/>
                    <w:spacing w:line="240" w:lineRule="auto"/>
                    <w:ind w:firstLine="0" w:firstLineChars="0"/>
                    <w:jc w:val="center"/>
                    <w:rPr>
                      <w:color w:val="auto"/>
                      <w:szCs w:val="21"/>
                    </w:rPr>
                  </w:pPr>
                  <w:r>
                    <w:rPr>
                      <w:rFonts w:hint="eastAsia"/>
                      <w:color w:val="auto"/>
                      <w:szCs w:val="21"/>
                    </w:rPr>
                    <w:t>落地油泥</w:t>
                  </w:r>
                </w:p>
              </w:tc>
              <w:tc>
                <w:tcPr>
                  <w:tcW w:w="1585" w:type="pct"/>
                  <w:noWrap/>
                  <w:vAlign w:val="center"/>
                </w:tcPr>
                <w:p>
                  <w:pPr>
                    <w:pStyle w:val="47"/>
                    <w:spacing w:line="276" w:lineRule="auto"/>
                    <w:ind w:firstLine="0" w:firstLineChars="0"/>
                    <w:jc w:val="center"/>
                    <w:rPr>
                      <w:rFonts w:hint="default" w:eastAsia="宋体"/>
                      <w:color w:val="auto"/>
                      <w:szCs w:val="21"/>
                      <w:highlight w:val="yellow"/>
                      <w:lang w:val="en-US" w:eastAsia="zh-CN"/>
                    </w:rPr>
                  </w:pPr>
                  <w:r>
                    <w:rPr>
                      <w:rFonts w:hint="eastAsia"/>
                      <w:color w:val="auto"/>
                      <w:lang w:val="en-US" w:eastAsia="zh-CN"/>
                    </w:rPr>
                    <w:t>45</w:t>
                  </w:r>
                </w:p>
              </w:tc>
              <w:tc>
                <w:tcPr>
                  <w:tcW w:w="659" w:type="pct"/>
                  <w:vAlign w:val="center"/>
                </w:tcPr>
                <w:p>
                  <w:pPr>
                    <w:pStyle w:val="47"/>
                    <w:spacing w:line="240" w:lineRule="auto"/>
                    <w:ind w:firstLine="0" w:firstLineChars="0"/>
                    <w:jc w:val="center"/>
                    <w:rPr>
                      <w:color w:val="auto"/>
                      <w:szCs w:val="21"/>
                    </w:rPr>
                  </w:pPr>
                  <w:r>
                    <w:rPr>
                      <w:rFonts w:hint="eastAsia"/>
                      <w:color w:val="auto"/>
                      <w:szCs w:val="21"/>
                    </w:rPr>
                    <w:t>2</w:t>
                  </w:r>
                  <w:r>
                    <w:rPr>
                      <w:color w:val="auto"/>
                      <w:szCs w:val="21"/>
                    </w:rPr>
                    <w:t>500</w:t>
                  </w:r>
                </w:p>
              </w:tc>
              <w:tc>
                <w:tcPr>
                  <w:tcW w:w="1054" w:type="pct"/>
                  <w:vAlign w:val="center"/>
                </w:tcPr>
                <w:p>
                  <w:pPr>
                    <w:pStyle w:val="47"/>
                    <w:spacing w:line="276" w:lineRule="auto"/>
                    <w:ind w:firstLine="0" w:firstLineChars="0"/>
                    <w:jc w:val="center"/>
                    <w:rPr>
                      <w:rFonts w:hint="default" w:eastAsia="宋体"/>
                      <w:color w:val="auto"/>
                      <w:szCs w:val="21"/>
                      <w:highlight w:val="yellow"/>
                      <w:lang w:val="en-US" w:eastAsia="zh-CN"/>
                    </w:rPr>
                  </w:pPr>
                  <w:r>
                    <w:rPr>
                      <w:rFonts w:hint="eastAsia"/>
                      <w:color w:val="auto"/>
                      <w:szCs w:val="21"/>
                    </w:rPr>
                    <w:t>0</w:t>
                  </w:r>
                  <w:r>
                    <w:rPr>
                      <w:color w:val="auto"/>
                      <w:szCs w:val="21"/>
                    </w:rPr>
                    <w:t>.0</w:t>
                  </w:r>
                  <w:r>
                    <w:rPr>
                      <w:rFonts w:hint="eastAsia"/>
                      <w:color w:val="auto"/>
                      <w:szCs w:val="21"/>
                      <w:lang w:val="en-US" w:eastAsia="zh-CN"/>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45" w:type="pct"/>
                  <w:gridSpan w:val="4"/>
                  <w:vAlign w:val="center"/>
                </w:tcPr>
                <w:p>
                  <w:pPr>
                    <w:pStyle w:val="47"/>
                    <w:spacing w:line="240" w:lineRule="auto"/>
                    <w:ind w:firstLine="0" w:firstLineChars="0"/>
                    <w:jc w:val="center"/>
                    <w:rPr>
                      <w:color w:val="auto"/>
                      <w:szCs w:val="21"/>
                    </w:rPr>
                  </w:pPr>
                  <w:r>
                    <w:rPr>
                      <w:rFonts w:hint="eastAsia"/>
                      <w:color w:val="auto"/>
                      <w:szCs w:val="21"/>
                    </w:rPr>
                    <w:t>合计</w:t>
                  </w:r>
                </w:p>
              </w:tc>
              <w:tc>
                <w:tcPr>
                  <w:tcW w:w="1054" w:type="pct"/>
                  <w:vAlign w:val="center"/>
                </w:tcPr>
                <w:p>
                  <w:pPr>
                    <w:pStyle w:val="47"/>
                    <w:spacing w:line="240" w:lineRule="auto"/>
                    <w:ind w:firstLine="0" w:firstLineChars="0"/>
                    <w:jc w:val="center"/>
                    <w:rPr>
                      <w:rFonts w:hint="default" w:eastAsia="宋体"/>
                      <w:color w:val="auto"/>
                      <w:szCs w:val="21"/>
                      <w:highlight w:val="yellow"/>
                      <w:lang w:val="en-US" w:eastAsia="zh-CN"/>
                    </w:rPr>
                  </w:pPr>
                  <w:r>
                    <w:rPr>
                      <w:rFonts w:hint="eastAsia"/>
                      <w:color w:val="auto"/>
                      <w:szCs w:val="21"/>
                    </w:rPr>
                    <w:t>0.0</w:t>
                  </w:r>
                  <w:r>
                    <w:rPr>
                      <w:rFonts w:hint="eastAsia"/>
                      <w:color w:val="auto"/>
                      <w:szCs w:val="21"/>
                      <w:lang w:val="en-US" w:eastAsia="zh-CN"/>
                    </w:rPr>
                    <w:t>18</w:t>
                  </w:r>
                </w:p>
              </w:tc>
            </w:tr>
          </w:tbl>
          <w:p>
            <w:pPr>
              <w:pStyle w:val="47"/>
              <w:spacing w:before="120" w:beforeLines="50" w:line="360" w:lineRule="auto"/>
              <w:ind w:firstLine="480"/>
              <w:rPr>
                <w:color w:val="auto"/>
                <w:sz w:val="24"/>
                <w:szCs w:val="32"/>
              </w:rPr>
            </w:pPr>
            <w:r>
              <w:rPr>
                <w:rFonts w:hint="eastAsia"/>
                <w:color w:val="auto"/>
                <w:sz w:val="24"/>
                <w:szCs w:val="32"/>
              </w:rPr>
              <w:t>由上表可知，本项目</w:t>
            </w:r>
            <w:r>
              <w:rPr>
                <w:color w:val="auto"/>
                <w:sz w:val="24"/>
                <w:szCs w:val="32"/>
              </w:rPr>
              <w:t>Q</w:t>
            </w:r>
            <w:r>
              <w:rPr>
                <w:rFonts w:hint="eastAsia"/>
                <w:color w:val="auto"/>
                <w:sz w:val="24"/>
                <w:szCs w:val="32"/>
              </w:rPr>
              <w:t>值为</w:t>
            </w:r>
            <w:r>
              <w:rPr>
                <w:color w:val="auto"/>
                <w:sz w:val="24"/>
                <w:szCs w:val="32"/>
              </w:rPr>
              <w:t>0.0</w:t>
            </w:r>
            <w:r>
              <w:rPr>
                <w:rFonts w:hint="eastAsia"/>
                <w:color w:val="auto"/>
                <w:sz w:val="24"/>
                <w:szCs w:val="32"/>
                <w:lang w:val="en-US" w:eastAsia="zh-CN"/>
              </w:rPr>
              <w:t>18</w:t>
            </w:r>
            <w:r>
              <w:rPr>
                <w:rFonts w:hint="eastAsia"/>
                <w:color w:val="auto"/>
                <w:sz w:val="24"/>
                <w:szCs w:val="32"/>
              </w:rPr>
              <w:t>（</w:t>
            </w:r>
            <w:r>
              <w:rPr>
                <w:color w:val="auto"/>
                <w:sz w:val="24"/>
                <w:szCs w:val="32"/>
              </w:rPr>
              <w:t>Q&lt;1</w:t>
            </w:r>
            <w:r>
              <w:rPr>
                <w:rFonts w:hint="eastAsia"/>
                <w:color w:val="auto"/>
                <w:sz w:val="24"/>
                <w:szCs w:val="32"/>
              </w:rPr>
              <w:t>）。根据《建设项目环境风险评价技术导则》（</w:t>
            </w:r>
            <w:r>
              <w:rPr>
                <w:color w:val="auto"/>
                <w:sz w:val="24"/>
                <w:szCs w:val="32"/>
              </w:rPr>
              <w:t>HJ169-2018</w:t>
            </w:r>
            <w:r>
              <w:rPr>
                <w:rFonts w:hint="eastAsia"/>
                <w:color w:val="auto"/>
                <w:sz w:val="24"/>
                <w:szCs w:val="32"/>
              </w:rPr>
              <w:t>），当</w:t>
            </w:r>
            <w:r>
              <w:rPr>
                <w:color w:val="auto"/>
                <w:sz w:val="24"/>
                <w:szCs w:val="32"/>
              </w:rPr>
              <w:t>Q&lt;1</w:t>
            </w:r>
            <w:r>
              <w:rPr>
                <w:rFonts w:hint="eastAsia"/>
                <w:color w:val="auto"/>
                <w:sz w:val="24"/>
                <w:szCs w:val="32"/>
              </w:rPr>
              <w:t>时，该项目环境风险潜势为</w:t>
            </w:r>
            <w:r>
              <w:rPr>
                <w:color w:val="auto"/>
                <w:sz w:val="24"/>
                <w:szCs w:val="32"/>
              </w:rPr>
              <w:t>I</w:t>
            </w:r>
            <w:r>
              <w:rPr>
                <w:rFonts w:hint="eastAsia"/>
                <w:color w:val="auto"/>
                <w:sz w:val="24"/>
                <w:szCs w:val="32"/>
              </w:rPr>
              <w:t>，可开展简单分析。</w:t>
            </w:r>
          </w:p>
          <w:p>
            <w:pPr>
              <w:pStyle w:val="47"/>
              <w:spacing w:line="360" w:lineRule="auto"/>
              <w:ind w:firstLine="480"/>
              <w:rPr>
                <w:color w:val="auto"/>
                <w:sz w:val="24"/>
                <w:szCs w:val="32"/>
              </w:rPr>
            </w:pPr>
            <w:bookmarkStart w:id="8" w:name="_Toc8375"/>
            <w:r>
              <w:rPr>
                <w:rFonts w:hint="eastAsia"/>
                <w:color w:val="auto"/>
                <w:sz w:val="24"/>
                <w:szCs w:val="32"/>
              </w:rPr>
              <w:t>（3）环境影响途径</w:t>
            </w:r>
            <w:bookmarkEnd w:id="8"/>
            <w:r>
              <w:rPr>
                <w:rFonts w:hint="eastAsia"/>
                <w:color w:val="auto"/>
                <w:sz w:val="24"/>
                <w:szCs w:val="32"/>
              </w:rPr>
              <w:t>及风险分析</w:t>
            </w:r>
          </w:p>
          <w:p>
            <w:pPr>
              <w:spacing w:line="360" w:lineRule="auto"/>
              <w:ind w:firstLine="480" w:firstLineChars="200"/>
              <w:rPr>
                <w:color w:val="auto"/>
                <w:sz w:val="24"/>
              </w:rPr>
            </w:pPr>
            <w:r>
              <w:rPr>
                <w:rFonts w:hint="eastAsia"/>
                <w:color w:val="auto"/>
                <w:sz w:val="24"/>
              </w:rPr>
              <w:t>本项目事故状态下可能影响环境的途径为：</w:t>
            </w:r>
          </w:p>
          <w:p>
            <w:pPr>
              <w:pStyle w:val="43"/>
              <w:ind w:firstLine="480"/>
              <w:rPr>
                <w:rFonts w:ascii="宋体" w:hAnsi="宋体" w:cs="Calibri"/>
                <w:color w:val="auto"/>
                <w:sz w:val="24"/>
              </w:rPr>
            </w:pPr>
            <w:r>
              <w:rPr>
                <w:rFonts w:hint="eastAsia" w:ascii="宋体" w:hAnsi="宋体" w:cs="Calibri"/>
                <w:color w:val="auto"/>
                <w:sz w:val="24"/>
              </w:rPr>
              <w:t>① 落地油泥中的少量渗滤液一旦发生泄漏，会对地下水、土壤等产生影响。</w:t>
            </w:r>
          </w:p>
          <w:p>
            <w:pPr>
              <w:pStyle w:val="43"/>
              <w:ind w:firstLine="480"/>
              <w:rPr>
                <w:rFonts w:ascii="宋体" w:hAnsi="宋体" w:cs="Calibri"/>
                <w:color w:val="auto"/>
                <w:sz w:val="24"/>
              </w:rPr>
            </w:pPr>
            <w:r>
              <w:rPr>
                <w:rFonts w:hint="eastAsia" w:ascii="宋体" w:hAnsi="宋体" w:cs="Calibri"/>
                <w:color w:val="auto"/>
                <w:sz w:val="24"/>
              </w:rPr>
              <w:t>② 落地油泥属于可燃固体，在储存过程中存在一定的火灾影响，在不完全燃烧的情况下会产生CO和NOx。因此，一旦发生火灾将对周围环境会产生一定的影响。</w:t>
            </w:r>
          </w:p>
          <w:p>
            <w:pPr>
              <w:pStyle w:val="43"/>
              <w:ind w:firstLine="480"/>
              <w:rPr>
                <w:rFonts w:ascii="宋体" w:hAnsi="宋体" w:cs="宋体"/>
                <w:color w:val="auto"/>
                <w:sz w:val="24"/>
                <w:szCs w:val="32"/>
              </w:rPr>
            </w:pPr>
            <w:r>
              <w:rPr>
                <w:rFonts w:hint="eastAsia" w:ascii="宋体" w:hAnsi="宋体" w:cs="宋体"/>
                <w:color w:val="auto"/>
                <w:sz w:val="24"/>
                <w:szCs w:val="32"/>
              </w:rPr>
              <w:t>（4）环境</w:t>
            </w:r>
            <w:r>
              <w:rPr>
                <w:rFonts w:hint="eastAsia"/>
                <w:color w:val="auto"/>
                <w:sz w:val="24"/>
                <w:szCs w:val="32"/>
              </w:rPr>
              <w:t>风险分析</w:t>
            </w:r>
          </w:p>
          <w:p>
            <w:pPr>
              <w:pStyle w:val="3"/>
              <w:snapToGrid w:val="0"/>
              <w:spacing w:before="0" w:after="0" w:line="360" w:lineRule="auto"/>
              <w:ind w:firstLine="480" w:firstLineChars="200"/>
              <w:jc w:val="left"/>
              <w:rPr>
                <w:b w:val="0"/>
                <w:bCs w:val="0"/>
                <w:color w:val="auto"/>
                <w:sz w:val="24"/>
              </w:rPr>
            </w:pPr>
            <w:bookmarkStart w:id="9" w:name="_Toc25680"/>
            <w:bookmarkStart w:id="10" w:name="_Toc17073"/>
            <w:bookmarkStart w:id="11" w:name="_Toc13975"/>
            <w:r>
              <w:rPr>
                <w:rFonts w:hint="eastAsia" w:ascii="宋体" w:hAnsi="宋体" w:cs="Calibri"/>
                <w:b w:val="0"/>
                <w:color w:val="auto"/>
                <w:sz w:val="24"/>
                <w:szCs w:val="24"/>
              </w:rPr>
              <w:t xml:space="preserve">① </w:t>
            </w:r>
            <w:bookmarkEnd w:id="9"/>
            <w:bookmarkEnd w:id="10"/>
            <w:bookmarkEnd w:id="11"/>
            <w:r>
              <w:rPr>
                <w:rFonts w:hint="eastAsia"/>
                <w:b w:val="0"/>
                <w:bCs w:val="0"/>
                <w:color w:val="auto"/>
                <w:sz w:val="24"/>
              </w:rPr>
              <w:t>落地油泥密封包装被损坏发生泄漏事故，泄漏的落地油泥及极少渗滤液污染物进入土壤，对土壤、植被产生影响；泄漏的污染物通过包气带进入地下水环境从而对地下水造成污染。</w:t>
            </w:r>
          </w:p>
          <w:p>
            <w:pPr>
              <w:pStyle w:val="3"/>
              <w:snapToGrid w:val="0"/>
              <w:spacing w:before="0" w:after="0" w:line="360" w:lineRule="auto"/>
              <w:ind w:firstLine="480" w:firstLineChars="200"/>
              <w:jc w:val="left"/>
              <w:rPr>
                <w:rFonts w:ascii="宋体" w:hAnsi="宋体" w:cs="宋体"/>
                <w:color w:val="auto"/>
                <w:sz w:val="24"/>
              </w:rPr>
            </w:pPr>
            <w:r>
              <w:rPr>
                <w:rFonts w:hint="eastAsia" w:ascii="宋体" w:hAnsi="宋体" w:cs="Calibri"/>
                <w:b w:val="0"/>
                <w:bCs w:val="0"/>
                <w:color w:val="auto"/>
                <w:sz w:val="24"/>
              </w:rPr>
              <w:t>②</w:t>
            </w:r>
            <w:r>
              <w:rPr>
                <w:rFonts w:hint="eastAsia" w:ascii="宋体" w:hAnsi="宋体" w:cs="Calibri"/>
                <w:color w:val="auto"/>
                <w:sz w:val="24"/>
              </w:rPr>
              <w:t xml:space="preserve"> </w:t>
            </w:r>
            <w:r>
              <w:rPr>
                <w:rFonts w:hint="eastAsia" w:ascii="宋体" w:hAnsi="宋体" w:cs="宋体"/>
                <w:b w:val="0"/>
                <w:bCs w:val="0"/>
                <w:color w:val="auto"/>
                <w:sz w:val="24"/>
              </w:rPr>
              <w:t>落地油泥为可燃物质，遇明火、高热能引起燃烧爆炸，燃烧过程中同时产生伴生或次生有害物质CO、</w:t>
            </w:r>
            <w:r>
              <w:rPr>
                <w:rFonts w:hint="eastAsia" w:ascii="宋体" w:hAnsi="宋体" w:cs="宋体"/>
                <w:b w:val="0"/>
                <w:bCs w:val="0"/>
                <w:color w:val="auto"/>
                <w:sz w:val="24"/>
                <w:lang w:val="zh-CN"/>
              </w:rPr>
              <w:t>SO</w:t>
            </w:r>
            <w:r>
              <w:rPr>
                <w:rFonts w:hint="eastAsia" w:ascii="宋体" w:hAnsi="宋体" w:cs="宋体"/>
                <w:b w:val="0"/>
                <w:bCs w:val="0"/>
                <w:color w:val="auto"/>
                <w:sz w:val="24"/>
                <w:vertAlign w:val="subscript"/>
                <w:lang w:val="zh-CN"/>
              </w:rPr>
              <w:t>2</w:t>
            </w:r>
            <w:r>
              <w:rPr>
                <w:rFonts w:hint="eastAsia" w:ascii="宋体" w:hAnsi="宋体" w:cs="宋体"/>
                <w:b w:val="0"/>
                <w:bCs w:val="0"/>
                <w:color w:val="auto"/>
                <w:sz w:val="24"/>
                <w:lang w:val="zh-CN"/>
              </w:rPr>
              <w:t>、</w:t>
            </w:r>
            <w:r>
              <w:rPr>
                <w:rFonts w:hint="eastAsia" w:ascii="宋体" w:hAnsi="宋体" w:cs="宋体"/>
                <w:b w:val="0"/>
                <w:bCs w:val="0"/>
                <w:color w:val="auto"/>
                <w:sz w:val="24"/>
              </w:rPr>
              <w:t>NO</w:t>
            </w:r>
            <w:r>
              <w:rPr>
                <w:rFonts w:hint="eastAsia" w:ascii="宋体" w:hAnsi="宋体" w:cs="宋体"/>
                <w:b w:val="0"/>
                <w:bCs w:val="0"/>
                <w:color w:val="auto"/>
                <w:sz w:val="24"/>
                <w:vertAlign w:val="subscript"/>
              </w:rPr>
              <w:t>2</w:t>
            </w:r>
            <w:r>
              <w:rPr>
                <w:rFonts w:hint="eastAsia" w:ascii="宋体" w:hAnsi="宋体" w:cs="宋体"/>
                <w:b w:val="0"/>
                <w:bCs w:val="0"/>
                <w:color w:val="auto"/>
                <w:sz w:val="24"/>
              </w:rPr>
              <w:t>，并扩散至大气中。CO可在血中与血红蛋白结合从而造成组织缺氧。轻度中毒者出现头痛、头晕、耳鸣、心悸、恶心、呕吐、无力。中度中毒者除上述症状外，还有脉快、烦躁、步态不稳、意识模糊，还有昏迷。重度患者昏迷不醒、瞳孔缩小、肌张力增加，频繁抽搐、大小便失禁等，二氧化硫容易被人体内湿润的黏膜表面吸收，生成亚硫酸、硫酸，轻度中毒者会有流泪、畏光、咽、喉肿痛、咳嗽等症状，中度中毒者会在数小时内发生肺水肿，深度中毒可致死。发生火灾事故后，次生污染物CO、</w:t>
            </w:r>
            <w:r>
              <w:rPr>
                <w:rFonts w:hint="eastAsia" w:ascii="宋体" w:hAnsi="宋体" w:cs="宋体"/>
                <w:b w:val="0"/>
                <w:bCs w:val="0"/>
                <w:color w:val="auto"/>
                <w:sz w:val="24"/>
                <w:lang w:val="zh-CN"/>
              </w:rPr>
              <w:t>SO</w:t>
            </w:r>
            <w:r>
              <w:rPr>
                <w:rFonts w:hint="eastAsia" w:ascii="宋体" w:hAnsi="宋体" w:cs="宋体"/>
                <w:b w:val="0"/>
                <w:bCs w:val="0"/>
                <w:color w:val="auto"/>
                <w:sz w:val="24"/>
                <w:vertAlign w:val="subscript"/>
                <w:lang w:val="zh-CN"/>
              </w:rPr>
              <w:t>2</w:t>
            </w:r>
            <w:r>
              <w:rPr>
                <w:rFonts w:hint="eastAsia" w:ascii="宋体" w:hAnsi="宋体" w:cs="宋体"/>
                <w:b w:val="0"/>
                <w:bCs w:val="0"/>
                <w:color w:val="auto"/>
                <w:sz w:val="24"/>
                <w:lang w:val="zh-CN"/>
              </w:rPr>
              <w:t>、</w:t>
            </w:r>
            <w:r>
              <w:rPr>
                <w:rFonts w:hint="eastAsia" w:ascii="宋体" w:hAnsi="宋体" w:cs="宋体"/>
                <w:b w:val="0"/>
                <w:bCs w:val="0"/>
                <w:color w:val="auto"/>
                <w:sz w:val="24"/>
              </w:rPr>
              <w:t>NO</w:t>
            </w:r>
            <w:r>
              <w:rPr>
                <w:rFonts w:hint="eastAsia" w:ascii="宋体" w:hAnsi="宋体" w:cs="宋体"/>
                <w:b w:val="0"/>
                <w:bCs w:val="0"/>
                <w:color w:val="auto"/>
                <w:sz w:val="24"/>
                <w:vertAlign w:val="subscript"/>
              </w:rPr>
              <w:t>2</w:t>
            </w:r>
            <w:r>
              <w:rPr>
                <w:rFonts w:hint="eastAsia" w:ascii="宋体" w:hAnsi="宋体" w:cs="宋体"/>
                <w:b w:val="0"/>
                <w:bCs w:val="0"/>
                <w:color w:val="auto"/>
                <w:sz w:val="24"/>
              </w:rPr>
              <w:t>在大气中扩散影响，事故发生后随着时间延续，烟团中心浓度不断降低。</w:t>
            </w:r>
          </w:p>
          <w:p>
            <w:pPr>
              <w:pStyle w:val="3"/>
              <w:snapToGrid w:val="0"/>
              <w:spacing w:before="0" w:after="0" w:line="360" w:lineRule="auto"/>
              <w:ind w:firstLine="480" w:firstLineChars="200"/>
              <w:jc w:val="left"/>
              <w:rPr>
                <w:rFonts w:ascii="Times New Roman" w:hAnsi="Times New Roman"/>
                <w:b w:val="0"/>
                <w:bCs w:val="0"/>
                <w:color w:val="auto"/>
                <w:sz w:val="24"/>
              </w:rPr>
            </w:pPr>
            <w:r>
              <w:rPr>
                <w:rFonts w:hint="eastAsia" w:ascii="Times New Roman" w:hAnsi="Times New Roman"/>
                <w:b w:val="0"/>
                <w:color w:val="auto"/>
                <w:sz w:val="24"/>
                <w:szCs w:val="24"/>
              </w:rPr>
              <w:t>（5）环境风险防范措施</w:t>
            </w:r>
          </w:p>
          <w:p>
            <w:pPr>
              <w:pStyle w:val="43"/>
              <w:ind w:firstLine="480"/>
              <w:rPr>
                <w:rFonts w:ascii="宋体" w:hAnsi="宋体" w:cs="Calibri"/>
                <w:color w:val="auto"/>
                <w:sz w:val="24"/>
              </w:rPr>
            </w:pPr>
            <w:r>
              <w:rPr>
                <w:rFonts w:hint="eastAsia" w:ascii="宋体" w:hAnsi="宋体" w:cs="Calibri"/>
                <w:color w:val="auto"/>
                <w:sz w:val="24"/>
              </w:rPr>
              <w:t>① 危险废物收集过程的污染控制措施</w:t>
            </w:r>
          </w:p>
          <w:p>
            <w:pPr>
              <w:pStyle w:val="43"/>
              <w:ind w:firstLine="480"/>
              <w:rPr>
                <w:rFonts w:ascii="宋体" w:hAnsi="宋体" w:cs="Calibri"/>
                <w:color w:val="auto"/>
                <w:sz w:val="24"/>
              </w:rPr>
            </w:pPr>
            <w:r>
              <w:rPr>
                <w:rFonts w:hint="eastAsia" w:ascii="宋体" w:hAnsi="宋体" w:cs="Calibri"/>
                <w:color w:val="auto"/>
                <w:sz w:val="24"/>
              </w:rPr>
              <w:t>A.危险废物的收集应制定收集计划。收集计划应包括收集任务概述、收集目标及原则、危险废物特性评估、危险废物收集量估算、收集作业范围和方法、收集设备与包装容器、安全生产与个人防护、工程防护与事故应急、进度安排与组织管理等。</w:t>
            </w:r>
          </w:p>
          <w:p>
            <w:pPr>
              <w:pStyle w:val="43"/>
              <w:ind w:firstLine="480"/>
              <w:rPr>
                <w:rFonts w:ascii="宋体" w:hAnsi="宋体" w:cs="Calibri"/>
                <w:color w:val="auto"/>
                <w:sz w:val="24"/>
              </w:rPr>
            </w:pPr>
            <w:r>
              <w:rPr>
                <w:rFonts w:hint="eastAsia" w:ascii="宋体" w:hAnsi="宋体" w:cs="Calibri"/>
                <w:color w:val="auto"/>
                <w:sz w:val="24"/>
              </w:rPr>
              <w:t>B.危险废物的收集应制定详细的操作规程，内容至少应包括适用范围、操作程序和方法、专用设备和工具、转移和交接、安全保障和应急防护等。</w:t>
            </w:r>
          </w:p>
          <w:p>
            <w:pPr>
              <w:pStyle w:val="43"/>
              <w:ind w:firstLine="480"/>
              <w:rPr>
                <w:rFonts w:ascii="宋体" w:hAnsi="宋体" w:cs="Calibri"/>
                <w:color w:val="auto"/>
                <w:sz w:val="24"/>
              </w:rPr>
            </w:pPr>
            <w:r>
              <w:rPr>
                <w:rFonts w:hint="eastAsia" w:ascii="宋体" w:hAnsi="宋体" w:cs="Calibri"/>
                <w:color w:val="auto"/>
                <w:sz w:val="24"/>
              </w:rPr>
              <w:t>C.严格遵循《危险废物识别标志设置技术规范》(HJ 1276</w:t>
            </w:r>
            <w:r>
              <w:rPr>
                <w:rFonts w:hint="eastAsia" w:ascii="宋体" w:hAnsi="宋体" w:cs="Calibri"/>
                <w:color w:val="auto"/>
                <w:sz w:val="24"/>
                <w:lang w:val="en-US" w:eastAsia="zh-CN"/>
              </w:rPr>
              <w:t>-</w:t>
            </w:r>
            <w:r>
              <w:rPr>
                <w:rFonts w:hint="eastAsia" w:ascii="宋体" w:hAnsi="宋体" w:cs="Calibri"/>
                <w:color w:val="auto"/>
                <w:sz w:val="24"/>
              </w:rPr>
              <w:t>2022)</w:t>
            </w:r>
            <w:r>
              <w:rPr>
                <w:rFonts w:hint="eastAsia" w:ascii="宋体" w:hAnsi="宋体" w:cs="Calibri"/>
                <w:color w:val="auto"/>
                <w:sz w:val="24"/>
                <w:lang w:val="en-US" w:eastAsia="zh-CN"/>
              </w:rPr>
              <w:t>及《</w:t>
            </w:r>
            <w:r>
              <w:rPr>
                <w:rFonts w:hint="eastAsia"/>
                <w:color w:val="auto"/>
                <w:sz w:val="24"/>
                <w:szCs w:val="32"/>
              </w:rPr>
              <w:t>危险废物收集 贮存 运输技术规范</w:t>
            </w:r>
            <w:r>
              <w:rPr>
                <w:rFonts w:hint="eastAsia" w:ascii="宋体" w:hAnsi="宋体" w:cs="Calibri"/>
                <w:color w:val="auto"/>
                <w:sz w:val="24"/>
                <w:lang w:val="en-US" w:eastAsia="zh-CN"/>
              </w:rPr>
              <w:t>》(HJ 2025-2012)的要求对油泥进行收集</w:t>
            </w:r>
            <w:r>
              <w:rPr>
                <w:rFonts w:hint="eastAsia" w:ascii="宋体" w:hAnsi="宋体" w:cs="Calibri"/>
                <w:color w:val="auto"/>
                <w:sz w:val="24"/>
                <w:lang w:eastAsia="zh-CN"/>
              </w:rPr>
              <w:t>，</w:t>
            </w:r>
            <w:r>
              <w:rPr>
                <w:rFonts w:hint="eastAsia" w:ascii="宋体" w:hAnsi="宋体" w:cs="Calibri"/>
                <w:color w:val="auto"/>
                <w:sz w:val="24"/>
              </w:rPr>
              <w:t>收集场所醒目的地方设置危险废物警告标识。</w:t>
            </w:r>
          </w:p>
          <w:p>
            <w:pPr>
              <w:pStyle w:val="43"/>
              <w:ind w:firstLine="480"/>
              <w:rPr>
                <w:rFonts w:ascii="宋体" w:hAnsi="宋体" w:cs="Calibri"/>
                <w:color w:val="auto"/>
                <w:sz w:val="24"/>
              </w:rPr>
            </w:pPr>
            <w:r>
              <w:rPr>
                <w:rFonts w:hint="eastAsia" w:ascii="宋体" w:hAnsi="宋体" w:cs="Calibri"/>
                <w:color w:val="auto"/>
                <w:sz w:val="24"/>
              </w:rPr>
              <w:t>D.装运危险废物的容器应不易破损、变形、老化，能有效地防止渗漏、扩散。运输前时应确保危险废物的包装容器完好无损。</w:t>
            </w:r>
          </w:p>
          <w:p>
            <w:pPr>
              <w:pStyle w:val="43"/>
              <w:ind w:firstLine="480"/>
              <w:rPr>
                <w:rFonts w:ascii="宋体" w:hAnsi="宋体" w:cs="Calibri"/>
                <w:color w:val="auto"/>
                <w:sz w:val="24"/>
              </w:rPr>
            </w:pPr>
            <w:r>
              <w:rPr>
                <w:rFonts w:hint="eastAsia" w:ascii="宋体" w:hAnsi="宋体" w:cs="Calibri"/>
                <w:color w:val="auto"/>
                <w:sz w:val="24"/>
              </w:rPr>
              <w:t>E.危险废物收集应填写记录表，并将记录表作为危险废物管理的重要档案妥善保存。</w:t>
            </w:r>
          </w:p>
          <w:p>
            <w:pPr>
              <w:pStyle w:val="43"/>
              <w:ind w:firstLine="480"/>
              <w:rPr>
                <w:rFonts w:ascii="宋体" w:hAnsi="宋体" w:cs="Calibri"/>
                <w:color w:val="auto"/>
                <w:sz w:val="24"/>
              </w:rPr>
            </w:pPr>
            <w:r>
              <w:rPr>
                <w:rFonts w:hint="eastAsia" w:ascii="宋体" w:hAnsi="宋体" w:cs="Calibri"/>
                <w:color w:val="auto"/>
                <w:sz w:val="24"/>
              </w:rPr>
              <w:t>② 危险废物厂内贮存过程的污染控制措施</w:t>
            </w:r>
          </w:p>
          <w:p>
            <w:pPr>
              <w:pStyle w:val="43"/>
              <w:ind w:firstLine="480"/>
              <w:rPr>
                <w:rFonts w:hint="eastAsia" w:ascii="宋体" w:hAnsi="宋体" w:cs="Calibri"/>
                <w:color w:val="auto"/>
                <w:sz w:val="24"/>
              </w:rPr>
            </w:pPr>
            <w:r>
              <w:rPr>
                <w:rFonts w:hint="eastAsia" w:ascii="宋体" w:hAnsi="宋体" w:cs="Calibri"/>
                <w:color w:val="auto"/>
                <w:sz w:val="24"/>
              </w:rPr>
              <w:t>A.贮存设施或场所、容器和包装物应按《危险废物识别标志设置技术规范》(HJ 1276</w:t>
            </w:r>
            <w:r>
              <w:rPr>
                <w:rFonts w:hint="eastAsia" w:ascii="宋体" w:hAnsi="宋体" w:cs="Calibri"/>
                <w:color w:val="auto"/>
                <w:sz w:val="24"/>
                <w:lang w:val="en-US" w:eastAsia="zh-CN"/>
              </w:rPr>
              <w:t>-</w:t>
            </w:r>
            <w:r>
              <w:rPr>
                <w:rFonts w:hint="eastAsia" w:ascii="宋体" w:hAnsi="宋体" w:cs="Calibri"/>
                <w:color w:val="auto"/>
                <w:sz w:val="24"/>
              </w:rPr>
              <w:t>2022)及《危险废物收集 贮存 运输技术规范》(HJ 2025-2012)的要求设置危险废物贮存设施或场所标志和危险废物标签等危险废物识别标志。</w:t>
            </w:r>
          </w:p>
          <w:p>
            <w:pPr>
              <w:pStyle w:val="43"/>
              <w:ind w:firstLine="480"/>
              <w:rPr>
                <w:rFonts w:ascii="宋体" w:hAnsi="宋体" w:cs="Calibri"/>
                <w:color w:val="auto"/>
                <w:sz w:val="24"/>
              </w:rPr>
            </w:pPr>
            <w:r>
              <w:rPr>
                <w:rFonts w:hint="eastAsia" w:ascii="宋体" w:hAnsi="宋体" w:cs="宋体"/>
                <w:b w:val="0"/>
                <w:color w:val="auto"/>
                <w:sz w:val="24"/>
                <w:szCs w:val="24"/>
              </w:rPr>
              <w:t>B.</w:t>
            </w:r>
            <w:r>
              <w:rPr>
                <w:rFonts w:hint="eastAsia" w:ascii="宋体" w:hAnsi="宋体" w:cs="Calibri"/>
                <w:color w:val="auto"/>
                <w:sz w:val="24"/>
              </w:rPr>
              <w:t>贮存设施运行期间，应按国家有关标准和规定建立危险废物管理台账并保存。贮存设施所有者或运营者应建立贮存设施环境管理制度、管理人员岗位职责制度、设施运行操作制度、人员岗位培训制度等。</w:t>
            </w:r>
          </w:p>
          <w:p>
            <w:pPr>
              <w:pStyle w:val="3"/>
              <w:snapToGrid w:val="0"/>
              <w:spacing w:before="0" w:after="0" w:line="360" w:lineRule="auto"/>
              <w:ind w:firstLine="480" w:firstLineChars="200"/>
              <w:jc w:val="left"/>
              <w:rPr>
                <w:rFonts w:ascii="宋体" w:hAnsi="宋体" w:cs="宋体"/>
                <w:b w:val="0"/>
                <w:color w:val="auto"/>
                <w:sz w:val="24"/>
                <w:szCs w:val="24"/>
              </w:rPr>
            </w:pPr>
            <w:bookmarkStart w:id="12" w:name="_Toc30709"/>
            <w:r>
              <w:rPr>
                <w:rFonts w:hint="eastAsia" w:ascii="宋体" w:hAnsi="宋体" w:cs="宋体"/>
                <w:b w:val="0"/>
                <w:color w:val="auto"/>
                <w:sz w:val="24"/>
                <w:szCs w:val="24"/>
                <w:lang w:val="en-US" w:eastAsia="zh-CN"/>
              </w:rPr>
              <w:t>C.</w:t>
            </w:r>
            <w:r>
              <w:rPr>
                <w:rFonts w:hint="eastAsia" w:ascii="宋体" w:hAnsi="宋体" w:cs="宋体"/>
                <w:b w:val="0"/>
                <w:color w:val="auto"/>
                <w:sz w:val="24"/>
                <w:szCs w:val="24"/>
              </w:rPr>
              <w:t>应定期检查危险废物的贮存状况，及时清理贮存设施地面，更换破损泄漏的危险废物贮存容器和包装物，保证堆存危险废物的防雨、防风、防扬尘等设施功能完好。</w:t>
            </w:r>
          </w:p>
          <w:p>
            <w:pPr>
              <w:spacing w:line="360" w:lineRule="auto"/>
              <w:ind w:firstLine="480" w:firstLineChars="200"/>
              <w:rPr>
                <w:rFonts w:ascii="宋体" w:hAnsi="宋体" w:cs="宋体"/>
                <w:color w:val="auto"/>
                <w:sz w:val="24"/>
                <w:szCs w:val="32"/>
              </w:rPr>
            </w:pPr>
            <w:r>
              <w:rPr>
                <w:rFonts w:hint="eastAsia" w:ascii="宋体" w:hAnsi="宋体" w:cs="宋体"/>
                <w:color w:val="auto"/>
                <w:sz w:val="24"/>
                <w:szCs w:val="32"/>
                <w:lang w:val="en-US" w:eastAsia="zh-CN"/>
              </w:rPr>
              <w:t>D</w:t>
            </w:r>
            <w:r>
              <w:rPr>
                <w:rFonts w:hint="eastAsia" w:ascii="宋体" w:hAnsi="宋体" w:cs="宋体"/>
                <w:color w:val="auto"/>
                <w:sz w:val="24"/>
                <w:szCs w:val="32"/>
              </w:rPr>
              <w:t>.贮存点应及时清运贮存的危险废物，实时贮存量不超过3吨。</w:t>
            </w:r>
          </w:p>
          <w:p>
            <w:pPr>
              <w:pStyle w:val="3"/>
              <w:snapToGrid w:val="0"/>
              <w:spacing w:before="0" w:after="0" w:line="360" w:lineRule="auto"/>
              <w:ind w:firstLine="480" w:firstLineChars="200"/>
              <w:jc w:val="left"/>
              <w:rPr>
                <w:rFonts w:ascii="宋体" w:hAnsi="宋体" w:cs="宋体"/>
                <w:b w:val="0"/>
                <w:color w:val="auto"/>
                <w:sz w:val="24"/>
                <w:szCs w:val="24"/>
              </w:rPr>
            </w:pPr>
            <w:r>
              <w:rPr>
                <w:rFonts w:hint="eastAsia" w:ascii="宋体" w:hAnsi="宋体" w:cs="宋体"/>
                <w:b w:val="0"/>
                <w:color w:val="auto"/>
                <w:sz w:val="24"/>
                <w:szCs w:val="24"/>
                <w:lang w:val="en-US" w:eastAsia="zh-CN"/>
              </w:rPr>
              <w:t>E</w:t>
            </w:r>
            <w:r>
              <w:rPr>
                <w:rFonts w:hint="eastAsia" w:ascii="宋体" w:hAnsi="宋体" w:cs="宋体"/>
                <w:b w:val="0"/>
                <w:color w:val="auto"/>
                <w:sz w:val="24"/>
                <w:szCs w:val="24"/>
              </w:rPr>
              <w:t>.贮存设施运行期间，应按国家有关标准和规定建立危险废物管理台账并保存。</w:t>
            </w:r>
          </w:p>
          <w:p>
            <w:pPr>
              <w:pStyle w:val="3"/>
              <w:snapToGrid w:val="0"/>
              <w:spacing w:before="0" w:after="0" w:line="360" w:lineRule="auto"/>
              <w:ind w:firstLine="480" w:firstLineChars="200"/>
              <w:jc w:val="left"/>
              <w:rPr>
                <w:rFonts w:ascii="Times New Roman" w:hAnsi="Times New Roman"/>
                <w:b w:val="0"/>
                <w:color w:val="auto"/>
                <w:sz w:val="24"/>
                <w:szCs w:val="24"/>
              </w:rPr>
            </w:pPr>
            <w:r>
              <w:rPr>
                <w:rFonts w:hint="eastAsia" w:ascii="宋体" w:hAnsi="宋体" w:cs="宋体"/>
                <w:b w:val="0"/>
                <w:color w:val="auto"/>
                <w:sz w:val="24"/>
                <w:szCs w:val="24"/>
                <w:lang w:val="en-US" w:eastAsia="zh-CN"/>
              </w:rPr>
              <w:t>F</w:t>
            </w:r>
            <w:r>
              <w:rPr>
                <w:rFonts w:hint="eastAsia" w:ascii="宋体" w:hAnsi="宋体" w:cs="宋体"/>
                <w:b w:val="0"/>
                <w:color w:val="auto"/>
                <w:sz w:val="24"/>
                <w:szCs w:val="24"/>
              </w:rPr>
              <w:t>.贮存</w:t>
            </w:r>
            <w:r>
              <w:rPr>
                <w:rFonts w:ascii="宋体" w:hAnsi="宋体" w:cs="宋体"/>
                <w:b w:val="0"/>
                <w:color w:val="auto"/>
                <w:sz w:val="24"/>
                <w:szCs w:val="24"/>
              </w:rPr>
              <w:t>设施所有者或运营者应建立贮存设施环境管理制度、管理人员岗位职责制度、设施运行操作制度、人员岗位培训制度等。</w:t>
            </w:r>
          </w:p>
          <w:p>
            <w:pPr>
              <w:pStyle w:val="43"/>
              <w:ind w:firstLine="480"/>
              <w:rPr>
                <w:rFonts w:ascii="宋体" w:hAnsi="宋体" w:cs="Calibri"/>
                <w:color w:val="auto"/>
                <w:sz w:val="24"/>
              </w:rPr>
            </w:pPr>
            <w:r>
              <w:rPr>
                <w:rFonts w:hint="eastAsia" w:ascii="宋体" w:hAnsi="宋体" w:cs="宋体"/>
                <w:color w:val="auto"/>
                <w:sz w:val="24"/>
              </w:rPr>
              <w:t>③</w:t>
            </w:r>
            <w:r>
              <w:rPr>
                <w:rFonts w:hint="eastAsia" w:ascii="宋体" w:hAnsi="宋体" w:cs="Calibri"/>
                <w:color w:val="auto"/>
                <w:sz w:val="24"/>
              </w:rPr>
              <w:t xml:space="preserve"> 危险废物运输过程的污染控制措施</w:t>
            </w:r>
          </w:p>
          <w:p>
            <w:pPr>
              <w:pStyle w:val="3"/>
              <w:snapToGrid w:val="0"/>
              <w:spacing w:before="0" w:after="0" w:line="360" w:lineRule="auto"/>
              <w:ind w:firstLine="480" w:firstLineChars="200"/>
              <w:jc w:val="left"/>
              <w:rPr>
                <w:rFonts w:hint="eastAsia" w:ascii="宋体" w:hAnsi="宋体" w:eastAsia="宋体" w:cs="宋体"/>
                <w:b w:val="0"/>
                <w:color w:val="auto"/>
                <w:sz w:val="24"/>
                <w:szCs w:val="24"/>
              </w:rPr>
            </w:pPr>
            <w:r>
              <w:rPr>
                <w:rFonts w:hint="eastAsia" w:ascii="宋体" w:hAnsi="宋体" w:eastAsia="宋体" w:cs="宋体"/>
                <w:b w:val="0"/>
                <w:color w:val="auto"/>
                <w:sz w:val="24"/>
                <w:szCs w:val="24"/>
              </w:rPr>
              <w:t>A.依据《危险化学品安全管理条例》有关要求，运输车辆车身醒目位置标注“危险品”标识；</w:t>
            </w:r>
          </w:p>
          <w:p>
            <w:pPr>
              <w:pStyle w:val="3"/>
              <w:snapToGrid w:val="0"/>
              <w:spacing w:before="0" w:after="0" w:line="360" w:lineRule="auto"/>
              <w:ind w:firstLine="480" w:firstLineChars="200"/>
              <w:jc w:val="left"/>
              <w:rPr>
                <w:rFonts w:hint="eastAsia" w:ascii="宋体" w:hAnsi="宋体" w:eastAsia="宋体" w:cs="宋体"/>
                <w:b w:val="0"/>
                <w:color w:val="auto"/>
                <w:sz w:val="24"/>
                <w:szCs w:val="24"/>
              </w:rPr>
            </w:pPr>
            <w:r>
              <w:rPr>
                <w:rFonts w:hint="eastAsia" w:ascii="宋体" w:hAnsi="宋体" w:eastAsia="宋体" w:cs="宋体"/>
                <w:b w:val="0"/>
                <w:color w:val="auto"/>
                <w:sz w:val="24"/>
                <w:szCs w:val="24"/>
              </w:rPr>
              <w:t>B.加强对运输车辆的车检工作，保证上路车辆车况良好；</w:t>
            </w:r>
          </w:p>
          <w:p>
            <w:pPr>
              <w:pStyle w:val="3"/>
              <w:snapToGrid w:val="0"/>
              <w:spacing w:before="0" w:after="0" w:line="360" w:lineRule="auto"/>
              <w:ind w:firstLine="480" w:firstLineChars="200"/>
              <w:jc w:val="left"/>
              <w:rPr>
                <w:rFonts w:hint="eastAsia" w:ascii="宋体" w:hAnsi="宋体" w:eastAsia="宋体" w:cs="宋体"/>
                <w:b w:val="0"/>
                <w:color w:val="auto"/>
                <w:sz w:val="24"/>
                <w:szCs w:val="24"/>
              </w:rPr>
            </w:pPr>
            <w:r>
              <w:rPr>
                <w:rFonts w:hint="eastAsia" w:ascii="宋体" w:hAnsi="宋体" w:eastAsia="宋体" w:cs="宋体"/>
                <w:b w:val="0"/>
                <w:color w:val="auto"/>
                <w:sz w:val="24"/>
                <w:szCs w:val="24"/>
              </w:rPr>
              <w:t>C.运输车辆应配备必要的事故急救设备和器材，如手提式灭火器、急救箱等；</w:t>
            </w:r>
          </w:p>
          <w:p>
            <w:pPr>
              <w:pStyle w:val="3"/>
              <w:snapToGrid w:val="0"/>
              <w:spacing w:before="0" w:after="0" w:line="360" w:lineRule="auto"/>
              <w:ind w:firstLine="480" w:firstLineChars="200"/>
              <w:jc w:val="left"/>
              <w:rPr>
                <w:rFonts w:hint="eastAsia" w:ascii="宋体" w:hAnsi="宋体" w:eastAsia="宋体" w:cs="宋体"/>
                <w:b w:val="0"/>
                <w:color w:val="auto"/>
                <w:sz w:val="24"/>
                <w:szCs w:val="24"/>
              </w:rPr>
            </w:pPr>
            <w:r>
              <w:rPr>
                <w:rFonts w:hint="eastAsia" w:ascii="宋体" w:hAnsi="宋体" w:eastAsia="宋体" w:cs="宋体"/>
                <w:b w:val="0"/>
                <w:color w:val="auto"/>
                <w:sz w:val="24"/>
                <w:szCs w:val="24"/>
              </w:rPr>
              <w:t>D.运输车辆在行驶过程时，必须严格遵守交通、消防、治安等法规，根据道路的实际状况控制车速，保持与前车的安全距离，严禁违章超车，随意停车，并尽量避免紧急制动，确保行车安全；</w:t>
            </w:r>
          </w:p>
          <w:p>
            <w:pPr>
              <w:pStyle w:val="3"/>
              <w:snapToGrid w:val="0"/>
              <w:spacing w:before="0" w:after="0" w:line="360" w:lineRule="auto"/>
              <w:ind w:firstLine="480" w:firstLineChars="200"/>
              <w:jc w:val="left"/>
              <w:rPr>
                <w:rFonts w:hint="eastAsia" w:ascii="宋体" w:hAnsi="宋体" w:eastAsia="宋体" w:cs="宋体"/>
                <w:b w:val="0"/>
                <w:color w:val="auto"/>
                <w:sz w:val="24"/>
                <w:szCs w:val="24"/>
              </w:rPr>
            </w:pPr>
            <w:r>
              <w:rPr>
                <w:rFonts w:hint="eastAsia" w:ascii="宋体" w:hAnsi="宋体" w:eastAsia="宋体" w:cs="宋体"/>
                <w:b w:val="0"/>
                <w:color w:val="auto"/>
                <w:sz w:val="24"/>
                <w:szCs w:val="24"/>
              </w:rPr>
              <w:t>E.要求运输路线避开水源保护区；</w:t>
            </w:r>
          </w:p>
          <w:p>
            <w:pPr>
              <w:pStyle w:val="3"/>
              <w:snapToGrid w:val="0"/>
              <w:spacing w:before="0" w:after="0" w:line="360" w:lineRule="auto"/>
              <w:ind w:firstLine="480" w:firstLineChars="200"/>
              <w:jc w:val="left"/>
              <w:rPr>
                <w:rFonts w:hint="eastAsia" w:ascii="宋体" w:hAnsi="宋体" w:eastAsia="宋体" w:cs="宋体"/>
                <w:b w:val="0"/>
                <w:color w:val="auto"/>
                <w:sz w:val="24"/>
                <w:szCs w:val="24"/>
              </w:rPr>
            </w:pPr>
            <w:r>
              <w:rPr>
                <w:rFonts w:hint="eastAsia" w:ascii="宋体" w:hAnsi="宋体" w:eastAsia="宋体" w:cs="宋体"/>
                <w:b w:val="0"/>
                <w:color w:val="auto"/>
                <w:sz w:val="24"/>
                <w:szCs w:val="24"/>
              </w:rPr>
              <w:t>F.一旦发生事故，由当事人或目击者通过应急电话，立即通知应急指挥部，由其联络当地环保部门、消防部门及一些有应急事故处理能力的当地部门，及时采取应急行动，确保在最短的时间内将事故控制，以减少对环境的危害；</w:t>
            </w:r>
          </w:p>
          <w:p>
            <w:pPr>
              <w:pStyle w:val="3"/>
              <w:snapToGrid w:val="0"/>
              <w:spacing w:before="0" w:after="0" w:line="360" w:lineRule="auto"/>
              <w:ind w:firstLine="480" w:firstLineChars="200"/>
              <w:jc w:val="left"/>
              <w:rPr>
                <w:rFonts w:hint="eastAsia" w:ascii="宋体" w:hAnsi="宋体" w:eastAsia="宋体" w:cs="宋体"/>
                <w:b w:val="0"/>
                <w:color w:val="auto"/>
                <w:sz w:val="24"/>
                <w:szCs w:val="24"/>
              </w:rPr>
            </w:pPr>
            <w:r>
              <w:rPr>
                <w:rFonts w:hint="eastAsia" w:ascii="宋体" w:hAnsi="宋体" w:eastAsia="宋体" w:cs="宋体"/>
                <w:b w:val="0"/>
                <w:color w:val="auto"/>
                <w:sz w:val="24"/>
                <w:szCs w:val="24"/>
              </w:rPr>
              <w:t>G.运输过程中，道路管理部门应予以严密监控，以便发生情况能及时采取措施；</w:t>
            </w:r>
          </w:p>
          <w:p>
            <w:pPr>
              <w:pStyle w:val="3"/>
              <w:snapToGrid w:val="0"/>
              <w:spacing w:before="0" w:after="0" w:line="360" w:lineRule="auto"/>
              <w:ind w:firstLine="480" w:firstLineChars="200"/>
              <w:jc w:val="left"/>
              <w:rPr>
                <w:rFonts w:ascii="Times New Roman" w:hAnsi="Times New Roman"/>
                <w:b w:val="0"/>
                <w:color w:val="auto"/>
                <w:sz w:val="24"/>
                <w:szCs w:val="24"/>
              </w:rPr>
            </w:pPr>
            <w:r>
              <w:rPr>
                <w:rFonts w:hint="eastAsia" w:ascii="宋体" w:hAnsi="宋体" w:eastAsia="宋体" w:cs="宋体"/>
                <w:b w:val="0"/>
                <w:color w:val="auto"/>
                <w:sz w:val="24"/>
                <w:szCs w:val="24"/>
              </w:rPr>
              <w:t>H.储存间</w:t>
            </w:r>
            <w:r>
              <w:rPr>
                <w:rFonts w:hint="eastAsia" w:ascii="Times New Roman" w:hAnsi="Times New Roman"/>
                <w:b w:val="0"/>
                <w:color w:val="auto"/>
                <w:sz w:val="24"/>
                <w:szCs w:val="24"/>
              </w:rPr>
              <w:t>外按照规范标注危险服务贮存场所危险类别及要求：禁止烟火、危险废物、易燃易爆、必须穿戴防护用品、车辆必须带防火帽、闲人免进。</w:t>
            </w:r>
          </w:p>
          <w:p>
            <w:pPr>
              <w:pStyle w:val="3"/>
              <w:snapToGrid w:val="0"/>
              <w:spacing w:before="0" w:after="0" w:line="360" w:lineRule="auto"/>
              <w:ind w:firstLine="480" w:firstLineChars="200"/>
              <w:jc w:val="left"/>
              <w:rPr>
                <w:rFonts w:ascii="Times New Roman" w:hAnsi="Times New Roman"/>
                <w:b w:val="0"/>
                <w:bCs w:val="0"/>
                <w:color w:val="auto"/>
                <w:sz w:val="24"/>
              </w:rPr>
            </w:pPr>
            <w:r>
              <w:rPr>
                <w:rFonts w:hint="eastAsia" w:ascii="Times New Roman" w:hAnsi="Times New Roman"/>
                <w:b w:val="0"/>
                <w:color w:val="auto"/>
                <w:sz w:val="24"/>
                <w:szCs w:val="24"/>
              </w:rPr>
              <w:t>（6）风险评价结论</w:t>
            </w:r>
            <w:bookmarkEnd w:id="12"/>
          </w:p>
          <w:p>
            <w:pPr>
              <w:pStyle w:val="3"/>
              <w:snapToGrid w:val="0"/>
              <w:spacing w:before="0" w:after="0" w:line="360" w:lineRule="auto"/>
              <w:ind w:firstLine="480" w:firstLineChars="200"/>
              <w:jc w:val="left"/>
              <w:rPr>
                <w:rFonts w:ascii="Times New Roman" w:hAnsi="Times New Roman"/>
                <w:b w:val="0"/>
                <w:bCs w:val="0"/>
                <w:color w:val="auto"/>
                <w:sz w:val="24"/>
              </w:rPr>
            </w:pPr>
            <w:r>
              <w:rPr>
                <w:rFonts w:hint="eastAsia" w:ascii="Times New Roman" w:hAnsi="Times New Roman"/>
                <w:b w:val="0"/>
                <w:color w:val="auto"/>
                <w:sz w:val="24"/>
                <w:szCs w:val="24"/>
              </w:rPr>
              <w:t>综上所述，经过风险评价分析，通过制定并落实切实可行的事故防范措施和应急预案，项目能够将事故风险降到最低限度，风险程度可防可控。</w:t>
            </w:r>
          </w:p>
          <w:p>
            <w:pPr>
              <w:pStyle w:val="47"/>
              <w:spacing w:line="360" w:lineRule="auto"/>
              <w:ind w:firstLine="0" w:firstLineChars="0"/>
              <w:rPr>
                <w:color w:val="auto"/>
                <w:sz w:val="24"/>
                <w:szCs w:val="32"/>
              </w:rPr>
            </w:pPr>
            <w:r>
              <w:rPr>
                <w:color w:val="auto"/>
                <w:sz w:val="24"/>
                <w:szCs w:val="32"/>
              </w:rPr>
              <w:t>8、环保投资估算</w:t>
            </w:r>
          </w:p>
          <w:p>
            <w:pPr>
              <w:pStyle w:val="47"/>
              <w:spacing w:line="360" w:lineRule="auto"/>
              <w:ind w:firstLine="480"/>
              <w:jc w:val="left"/>
              <w:rPr>
                <w:color w:val="auto"/>
                <w:sz w:val="24"/>
                <w:szCs w:val="32"/>
              </w:rPr>
            </w:pPr>
            <w:r>
              <w:rPr>
                <w:color w:val="auto"/>
                <w:sz w:val="24"/>
                <w:szCs w:val="32"/>
              </w:rPr>
              <w:t>本项目总投资</w:t>
            </w:r>
            <w:r>
              <w:rPr>
                <w:rFonts w:hint="eastAsia"/>
                <w:color w:val="auto"/>
                <w:sz w:val="24"/>
                <w:szCs w:val="32"/>
              </w:rPr>
              <w:t>48</w:t>
            </w:r>
            <w:r>
              <w:rPr>
                <w:color w:val="auto"/>
                <w:sz w:val="24"/>
                <w:szCs w:val="32"/>
              </w:rPr>
              <w:t>万元，</w:t>
            </w:r>
            <w:r>
              <w:rPr>
                <w:rFonts w:hint="eastAsia"/>
                <w:color w:val="auto"/>
                <w:sz w:val="24"/>
                <w:szCs w:val="32"/>
              </w:rPr>
              <w:t>全部为环保投资</w:t>
            </w:r>
            <w:r>
              <w:rPr>
                <w:color w:val="auto"/>
                <w:sz w:val="24"/>
                <w:szCs w:val="32"/>
              </w:rPr>
              <w:t>，环保投资估算见</w:t>
            </w:r>
            <w:r>
              <w:rPr>
                <w:rFonts w:hint="eastAsia"/>
                <w:color w:val="auto"/>
                <w:sz w:val="24"/>
                <w:szCs w:val="32"/>
              </w:rPr>
              <w:t>表4-9。</w:t>
            </w:r>
          </w:p>
          <w:p>
            <w:pPr>
              <w:pStyle w:val="6"/>
              <w:keepNext/>
              <w:ind w:firstLine="632" w:firstLineChars="300"/>
              <w:jc w:val="both"/>
              <w:rPr>
                <w:color w:val="auto"/>
              </w:rPr>
            </w:pPr>
            <w:r>
              <w:rPr>
                <w:rFonts w:hint="eastAsia"/>
                <w:color w:val="auto"/>
              </w:rPr>
              <w:t>表</w:t>
            </w:r>
            <w:r>
              <w:rPr>
                <w:color w:val="auto"/>
              </w:rPr>
              <w:t>4-</w:t>
            </w:r>
            <w:r>
              <w:rPr>
                <w:rFonts w:hint="eastAsia"/>
                <w:color w:val="auto"/>
              </w:rPr>
              <w:t>9</w:t>
            </w:r>
            <w:r>
              <w:rPr>
                <w:color w:val="auto"/>
              </w:rPr>
              <w:t xml:space="preserve">             </w:t>
            </w:r>
            <w:r>
              <w:rPr>
                <w:rFonts w:hint="eastAsia"/>
                <w:color w:val="auto"/>
              </w:rPr>
              <w:t>环保设施及污染防治投资估算一览表</w:t>
            </w:r>
          </w:p>
          <w:tbl>
            <w:tblPr>
              <w:tblStyle w:val="20"/>
              <w:tblW w:w="794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8"/>
              <w:gridCol w:w="5340"/>
              <w:gridCol w:w="17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8" w:type="dxa"/>
                  <w:vAlign w:val="center"/>
                </w:tcPr>
                <w:p>
                  <w:pPr>
                    <w:pStyle w:val="18"/>
                    <w:spacing w:after="0"/>
                    <w:ind w:left="0" w:leftChars="0" w:firstLine="0" w:firstLineChars="0"/>
                    <w:jc w:val="center"/>
                    <w:rPr>
                      <w:color w:val="auto"/>
                      <w:sz w:val="21"/>
                      <w:szCs w:val="21"/>
                    </w:rPr>
                  </w:pPr>
                  <w:r>
                    <w:rPr>
                      <w:rFonts w:hint="eastAsia"/>
                      <w:color w:val="auto"/>
                      <w:sz w:val="21"/>
                      <w:szCs w:val="21"/>
                    </w:rPr>
                    <w:t>项目</w:t>
                  </w:r>
                </w:p>
              </w:tc>
              <w:tc>
                <w:tcPr>
                  <w:tcW w:w="5340" w:type="dxa"/>
                  <w:vAlign w:val="center"/>
                </w:tcPr>
                <w:p>
                  <w:pPr>
                    <w:pStyle w:val="18"/>
                    <w:spacing w:after="0"/>
                    <w:ind w:left="0" w:leftChars="0" w:firstLine="0" w:firstLineChars="0"/>
                    <w:jc w:val="center"/>
                    <w:rPr>
                      <w:color w:val="auto"/>
                      <w:sz w:val="21"/>
                      <w:szCs w:val="21"/>
                    </w:rPr>
                  </w:pPr>
                  <w:r>
                    <w:rPr>
                      <w:rFonts w:hint="eastAsia"/>
                      <w:color w:val="auto"/>
                      <w:sz w:val="21"/>
                      <w:szCs w:val="21"/>
                    </w:rPr>
                    <w:t>污染防治措施</w:t>
                  </w:r>
                </w:p>
              </w:tc>
              <w:tc>
                <w:tcPr>
                  <w:tcW w:w="1738" w:type="dxa"/>
                  <w:vAlign w:val="center"/>
                </w:tcPr>
                <w:p>
                  <w:pPr>
                    <w:pStyle w:val="18"/>
                    <w:spacing w:after="0"/>
                    <w:ind w:left="0" w:leftChars="0" w:firstLine="0" w:firstLineChars="0"/>
                    <w:jc w:val="center"/>
                    <w:rPr>
                      <w:color w:val="auto"/>
                      <w:sz w:val="21"/>
                      <w:szCs w:val="21"/>
                    </w:rPr>
                  </w:pPr>
                  <w:r>
                    <w:rPr>
                      <w:rFonts w:hint="eastAsia"/>
                      <w:color w:val="auto"/>
                      <w:sz w:val="21"/>
                      <w:szCs w:val="21"/>
                    </w:rPr>
                    <w:t>环保投资（万元）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8" w:type="dxa"/>
                  <w:vAlign w:val="center"/>
                </w:tcPr>
                <w:p>
                  <w:pPr>
                    <w:pStyle w:val="18"/>
                    <w:spacing w:after="0"/>
                    <w:ind w:left="0" w:leftChars="0" w:firstLine="0" w:firstLineChars="0"/>
                    <w:jc w:val="center"/>
                    <w:rPr>
                      <w:color w:val="auto"/>
                      <w:sz w:val="21"/>
                      <w:szCs w:val="21"/>
                    </w:rPr>
                  </w:pPr>
                  <w:r>
                    <w:rPr>
                      <w:rFonts w:hint="eastAsia"/>
                      <w:color w:val="auto"/>
                      <w:sz w:val="21"/>
                      <w:szCs w:val="21"/>
                    </w:rPr>
                    <w:t>油泥暂存间</w:t>
                  </w:r>
                </w:p>
              </w:tc>
              <w:tc>
                <w:tcPr>
                  <w:tcW w:w="5340" w:type="dxa"/>
                  <w:vAlign w:val="center"/>
                </w:tcPr>
                <w:p>
                  <w:pPr>
                    <w:widowControl/>
                    <w:jc w:val="left"/>
                    <w:rPr>
                      <w:rFonts w:hint="default" w:ascii="Times New Roman" w:hAnsi="Times New Roman" w:cs="Times New Roman"/>
                      <w:color w:val="auto"/>
                      <w:szCs w:val="21"/>
                    </w:rPr>
                  </w:pPr>
                  <w:r>
                    <w:rPr>
                      <w:rFonts w:hint="default" w:ascii="Times New Roman" w:hAnsi="Times New Roman" w:cs="Times New Roman"/>
                      <w:color w:val="auto"/>
                      <w:kern w:val="0"/>
                      <w:szCs w:val="21"/>
                      <w:lang w:bidi="ar"/>
                    </w:rPr>
                    <w:t>1.地面按照《危险废物贮存污染控制标准》采用C30混凝土，表面涂刷防渗材料，厚度2mm，渗透系数≤10</w:t>
                  </w:r>
                  <w:r>
                    <w:rPr>
                      <w:rFonts w:hint="default" w:ascii="Times New Roman" w:hAnsi="Times New Roman" w:cs="Times New Roman"/>
                      <w:color w:val="auto"/>
                      <w:kern w:val="0"/>
                      <w:szCs w:val="21"/>
                      <w:vertAlign w:val="superscript"/>
                      <w:lang w:bidi="ar"/>
                    </w:rPr>
                    <w:t>-10</w:t>
                  </w:r>
                  <w:r>
                    <w:rPr>
                      <w:rFonts w:hint="default" w:ascii="Times New Roman" w:hAnsi="Times New Roman" w:cs="Times New Roman"/>
                      <w:color w:val="auto"/>
                      <w:kern w:val="0"/>
                      <w:szCs w:val="21"/>
                      <w:lang w:bidi="ar"/>
                    </w:rPr>
                    <w:t xml:space="preserve">cm/s； </w:t>
                  </w:r>
                </w:p>
                <w:p>
                  <w:pPr>
                    <w:widowControl/>
                    <w:jc w:val="left"/>
                    <w:rPr>
                      <w:rFonts w:hint="default" w:ascii="Times New Roman" w:hAnsi="Times New Roman" w:cs="Times New Roman"/>
                      <w:color w:val="auto"/>
                      <w:szCs w:val="21"/>
                    </w:rPr>
                  </w:pPr>
                  <w:r>
                    <w:rPr>
                      <w:rFonts w:hint="default" w:ascii="Times New Roman" w:hAnsi="Times New Roman" w:cs="Times New Roman"/>
                      <w:color w:val="auto"/>
                      <w:kern w:val="0"/>
                      <w:szCs w:val="21"/>
                      <w:lang w:bidi="ar"/>
                    </w:rPr>
                    <w:t>2、暂存间内设1.2m×1.1m×0.7m渗滤液收集池1座，水池采取C30抗渗混凝土，池壁用1：2.5水泥砂浆（加复合型高效有机硅防水剂）抹面，渗透系数≤10</w:t>
                  </w:r>
                  <w:r>
                    <w:rPr>
                      <w:rFonts w:hint="default" w:ascii="Times New Roman" w:hAnsi="Times New Roman" w:cs="Times New Roman"/>
                      <w:color w:val="auto"/>
                      <w:kern w:val="0"/>
                      <w:szCs w:val="21"/>
                      <w:vertAlign w:val="superscript"/>
                      <w:lang w:bidi="ar"/>
                    </w:rPr>
                    <w:t>-10</w:t>
                  </w:r>
                  <w:r>
                    <w:rPr>
                      <w:rFonts w:hint="default" w:ascii="Times New Roman" w:hAnsi="Times New Roman" w:cs="Times New Roman"/>
                      <w:color w:val="auto"/>
                      <w:kern w:val="0"/>
                      <w:szCs w:val="21"/>
                      <w:lang w:bidi="ar"/>
                    </w:rPr>
                    <w:t xml:space="preserve">cm/s； </w:t>
                  </w:r>
                </w:p>
                <w:p>
                  <w:pPr>
                    <w:widowControl/>
                    <w:jc w:val="left"/>
                    <w:rPr>
                      <w:rFonts w:hint="default" w:ascii="Times New Roman" w:hAnsi="Times New Roman" w:cs="Times New Roman"/>
                      <w:color w:val="auto"/>
                      <w:szCs w:val="21"/>
                    </w:rPr>
                  </w:pPr>
                  <w:r>
                    <w:rPr>
                      <w:rFonts w:hint="default" w:ascii="Times New Roman" w:hAnsi="Times New Roman" w:cs="Times New Roman"/>
                      <w:color w:val="auto"/>
                      <w:kern w:val="0"/>
                      <w:szCs w:val="21"/>
                      <w:lang w:bidi="ar"/>
                    </w:rPr>
                    <w:t>3、裙角高1.5m，裙角以上至顶棚为砖墙，水泥砂浆抹面。</w:t>
                  </w:r>
                </w:p>
              </w:tc>
              <w:tc>
                <w:tcPr>
                  <w:tcW w:w="1738" w:type="dxa"/>
                  <w:vAlign w:val="center"/>
                </w:tcPr>
                <w:p>
                  <w:pPr>
                    <w:pStyle w:val="18"/>
                    <w:spacing w:after="0"/>
                    <w:ind w:left="0" w:leftChars="0"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8" w:type="dxa"/>
                  <w:gridSpan w:val="2"/>
                  <w:vAlign w:val="center"/>
                </w:tcPr>
                <w:p>
                  <w:pPr>
                    <w:pStyle w:val="18"/>
                    <w:spacing w:after="0"/>
                    <w:ind w:left="0" w:leftChars="0" w:firstLine="0" w:firstLineChars="0"/>
                    <w:jc w:val="center"/>
                    <w:rPr>
                      <w:color w:val="auto"/>
                      <w:sz w:val="21"/>
                      <w:szCs w:val="21"/>
                    </w:rPr>
                  </w:pPr>
                  <w:r>
                    <w:rPr>
                      <w:rFonts w:hint="eastAsia"/>
                      <w:color w:val="auto"/>
                      <w:sz w:val="21"/>
                      <w:szCs w:val="21"/>
                    </w:rPr>
                    <w:t>合计</w:t>
                  </w:r>
                </w:p>
              </w:tc>
              <w:tc>
                <w:tcPr>
                  <w:tcW w:w="1738" w:type="dxa"/>
                  <w:vAlign w:val="center"/>
                </w:tcPr>
                <w:p>
                  <w:pPr>
                    <w:pStyle w:val="18"/>
                    <w:spacing w:after="0"/>
                    <w:ind w:left="0" w:leftChars="0" w:firstLine="0" w:firstLineChars="0"/>
                    <w:jc w:val="center"/>
                    <w:rPr>
                      <w:color w:val="auto"/>
                      <w:sz w:val="21"/>
                      <w:szCs w:val="21"/>
                    </w:rPr>
                  </w:pPr>
                  <w:r>
                    <w:rPr>
                      <w:rFonts w:hint="eastAsia"/>
                      <w:color w:val="auto"/>
                      <w:sz w:val="21"/>
                      <w:szCs w:val="21"/>
                    </w:rPr>
                    <w:t>48</w:t>
                  </w:r>
                </w:p>
              </w:tc>
            </w:tr>
          </w:tbl>
          <w:p>
            <w:pPr>
              <w:pStyle w:val="47"/>
              <w:keepNext w:val="0"/>
              <w:keepLines w:val="0"/>
              <w:pageBreakBefore w:val="0"/>
              <w:widowControl w:val="0"/>
              <w:kinsoku/>
              <w:wordWrap/>
              <w:overflowPunct/>
              <w:topLinePunct w:val="0"/>
              <w:autoSpaceDE/>
              <w:autoSpaceDN/>
              <w:bidi w:val="0"/>
              <w:adjustRightInd/>
              <w:snapToGrid/>
              <w:spacing w:before="157" w:beforeLines="50" w:line="360" w:lineRule="auto"/>
              <w:ind w:firstLine="0" w:firstLineChars="0"/>
              <w:textAlignment w:val="auto"/>
              <w:rPr>
                <w:color w:val="auto"/>
                <w:sz w:val="24"/>
                <w:szCs w:val="32"/>
              </w:rPr>
            </w:pPr>
            <w:r>
              <w:rPr>
                <w:rFonts w:hint="eastAsia"/>
                <w:color w:val="auto"/>
                <w:sz w:val="24"/>
                <w:szCs w:val="32"/>
              </w:rPr>
              <w:t>9、环境管理措施</w:t>
            </w:r>
          </w:p>
          <w:p>
            <w:pPr>
              <w:pStyle w:val="47"/>
              <w:spacing w:line="360" w:lineRule="auto"/>
              <w:ind w:firstLine="480"/>
              <w:rPr>
                <w:color w:val="auto"/>
                <w:sz w:val="24"/>
                <w:szCs w:val="32"/>
              </w:rPr>
            </w:pPr>
            <w:r>
              <w:rPr>
                <w:rFonts w:hint="eastAsia"/>
                <w:color w:val="auto"/>
                <w:sz w:val="24"/>
                <w:szCs w:val="32"/>
              </w:rPr>
              <w:t>本项目不配备工作人员，由杨1</w:t>
            </w:r>
            <w:r>
              <w:rPr>
                <w:rFonts w:hint="eastAsia"/>
                <w:color w:val="auto"/>
                <w:sz w:val="24"/>
                <w:szCs w:val="32"/>
                <w:lang w:val="en-US" w:eastAsia="zh-CN"/>
              </w:rPr>
              <w:t>6</w:t>
            </w:r>
            <w:r>
              <w:rPr>
                <w:rFonts w:hint="eastAsia"/>
                <w:color w:val="auto"/>
                <w:sz w:val="24"/>
                <w:szCs w:val="32"/>
              </w:rPr>
              <w:t>井场</w:t>
            </w:r>
            <w:r>
              <w:rPr>
                <w:rFonts w:hint="eastAsia"/>
                <w:color w:val="auto"/>
                <w:sz w:val="24"/>
                <w:szCs w:val="32"/>
                <w:lang w:val="en-US" w:eastAsia="zh-CN"/>
              </w:rPr>
              <w:t>工作</w:t>
            </w:r>
            <w:r>
              <w:rPr>
                <w:rFonts w:hint="eastAsia"/>
                <w:color w:val="auto"/>
                <w:sz w:val="24"/>
                <w:szCs w:val="32"/>
              </w:rPr>
              <w:t>人员兼职，负责环境保护管理工作。建设单位应制定运行管理制度及台账管理制度，同时评价要求建设单位日常运营中应按照以下环境管理要求进行生产作业：</w:t>
            </w:r>
          </w:p>
          <w:p>
            <w:pPr>
              <w:pStyle w:val="47"/>
              <w:spacing w:line="360" w:lineRule="auto"/>
              <w:ind w:firstLine="480"/>
              <w:rPr>
                <w:color w:val="auto"/>
                <w:sz w:val="24"/>
                <w:szCs w:val="32"/>
              </w:rPr>
            </w:pPr>
            <w:r>
              <w:rPr>
                <w:rFonts w:hint="eastAsia"/>
                <w:color w:val="auto"/>
                <w:sz w:val="24"/>
                <w:szCs w:val="32"/>
              </w:rPr>
              <w:t>（1）</w:t>
            </w:r>
            <w:r>
              <w:rPr>
                <w:rFonts w:hint="eastAsia"/>
                <w:color w:val="auto"/>
                <w:sz w:val="24"/>
                <w:szCs w:val="32"/>
                <w:highlight w:val="none"/>
              </w:rPr>
              <w:t>暂存间、容器和包装物</w:t>
            </w:r>
            <w:r>
              <w:rPr>
                <w:rFonts w:hint="eastAsia"/>
                <w:color w:val="auto"/>
                <w:sz w:val="24"/>
                <w:szCs w:val="32"/>
              </w:rPr>
              <w:t>应严格遵循《危险废物识别标志设置技术规范》(HJ 1276</w:t>
            </w:r>
            <w:r>
              <w:rPr>
                <w:rFonts w:hint="eastAsia"/>
                <w:color w:val="auto"/>
                <w:sz w:val="24"/>
                <w:szCs w:val="32"/>
                <w:lang w:val="en-US" w:eastAsia="zh-CN"/>
              </w:rPr>
              <w:t>-</w:t>
            </w:r>
            <w:r>
              <w:rPr>
                <w:rFonts w:hint="eastAsia"/>
                <w:color w:val="auto"/>
                <w:sz w:val="24"/>
                <w:szCs w:val="32"/>
              </w:rPr>
              <w:t>2022)及《危险废物收集 贮存 运输技术规范》(HJ 2025-2012)的要求设置危险废物贮存设施或场所标志和危险废物标签等危险废物识别标志。</w:t>
            </w:r>
          </w:p>
          <w:p>
            <w:pPr>
              <w:pStyle w:val="47"/>
              <w:spacing w:line="360" w:lineRule="auto"/>
              <w:ind w:firstLine="480"/>
              <w:rPr>
                <w:color w:val="auto"/>
                <w:sz w:val="24"/>
                <w:szCs w:val="32"/>
              </w:rPr>
            </w:pPr>
            <w:r>
              <w:rPr>
                <w:rFonts w:hint="eastAsia"/>
                <w:color w:val="auto"/>
                <w:sz w:val="24"/>
                <w:szCs w:val="32"/>
              </w:rPr>
              <w:t>（2）评价要求落地油泥在收集、转运、暂存过程中若发现油泥包装袋破损，应及时采用新的包装袋重新包装。</w:t>
            </w:r>
          </w:p>
          <w:p>
            <w:pPr>
              <w:pStyle w:val="47"/>
              <w:spacing w:line="360" w:lineRule="auto"/>
              <w:ind w:firstLine="480"/>
              <w:rPr>
                <w:color w:val="auto"/>
                <w:sz w:val="24"/>
                <w:szCs w:val="32"/>
              </w:rPr>
            </w:pPr>
            <w:r>
              <w:rPr>
                <w:rFonts w:hint="eastAsia"/>
                <w:color w:val="auto"/>
                <w:sz w:val="24"/>
                <w:szCs w:val="32"/>
              </w:rPr>
              <w:t>（3）本项目只允许</w:t>
            </w:r>
            <w:r>
              <w:rPr>
                <w:rFonts w:hint="eastAsia"/>
                <w:color w:val="auto"/>
                <w:sz w:val="24"/>
                <w:szCs w:val="32"/>
                <w:lang w:val="en-US" w:eastAsia="zh-CN"/>
              </w:rPr>
              <w:t>落地</w:t>
            </w:r>
            <w:r>
              <w:rPr>
                <w:rFonts w:hint="eastAsia"/>
                <w:color w:val="auto"/>
                <w:sz w:val="24"/>
                <w:szCs w:val="32"/>
              </w:rPr>
              <w:t>油泥的暂存和中转，如果储存或生产其他产品，应当另行环评。</w:t>
            </w:r>
          </w:p>
          <w:p>
            <w:pPr>
              <w:pStyle w:val="47"/>
              <w:spacing w:line="360" w:lineRule="auto"/>
              <w:ind w:firstLine="480"/>
              <w:rPr>
                <w:rFonts w:hint="eastAsia" w:eastAsia="宋体"/>
                <w:color w:val="auto"/>
                <w:sz w:val="24"/>
                <w:szCs w:val="32"/>
                <w:lang w:eastAsia="zh-CN"/>
              </w:rPr>
            </w:pPr>
            <w:r>
              <w:rPr>
                <w:rFonts w:hint="eastAsia"/>
                <w:color w:val="auto"/>
                <w:sz w:val="24"/>
                <w:szCs w:val="32"/>
              </w:rPr>
              <w:t>（4）建设单位应严格遵守危险废物环境保护管理制度，及时委托有资质的单位对暂存的落地油泥进行委托处置，避免</w:t>
            </w:r>
            <w:r>
              <w:rPr>
                <w:rFonts w:hint="eastAsia"/>
                <w:color w:val="auto"/>
                <w:sz w:val="24"/>
                <w:szCs w:val="32"/>
                <w:lang w:val="en-US" w:eastAsia="zh-CN"/>
              </w:rPr>
              <w:t>落地油泥</w:t>
            </w:r>
            <w:r>
              <w:rPr>
                <w:rFonts w:hint="eastAsia"/>
                <w:color w:val="auto"/>
                <w:sz w:val="24"/>
                <w:szCs w:val="32"/>
              </w:rPr>
              <w:t>在暂存间内长时间储存</w:t>
            </w:r>
            <w:r>
              <w:rPr>
                <w:rFonts w:hint="eastAsia"/>
                <w:color w:val="auto"/>
                <w:sz w:val="24"/>
                <w:szCs w:val="32"/>
                <w:lang w:eastAsia="zh-CN"/>
              </w:rPr>
              <w:t>。</w:t>
            </w:r>
          </w:p>
          <w:p>
            <w:pPr>
              <w:pStyle w:val="47"/>
              <w:spacing w:line="360" w:lineRule="auto"/>
              <w:ind w:firstLine="480"/>
              <w:rPr>
                <w:color w:val="auto"/>
                <w:sz w:val="24"/>
                <w:szCs w:val="32"/>
              </w:rPr>
            </w:pPr>
            <w:r>
              <w:rPr>
                <w:rFonts w:hint="eastAsia"/>
                <w:color w:val="auto"/>
                <w:sz w:val="24"/>
                <w:szCs w:val="32"/>
              </w:rPr>
              <w:t>（5）建设单位制定了危险废物管理台账，评价要求台账应详细记录、长期保存，以供随时查阅。</w:t>
            </w:r>
          </w:p>
          <w:p>
            <w:pPr>
              <w:pStyle w:val="47"/>
              <w:spacing w:line="360" w:lineRule="auto"/>
              <w:ind w:firstLine="480"/>
              <w:rPr>
                <w:color w:val="auto"/>
                <w:sz w:val="24"/>
                <w:szCs w:val="32"/>
              </w:rPr>
            </w:pPr>
            <w:r>
              <w:rPr>
                <w:rFonts w:hint="eastAsia"/>
                <w:color w:val="auto"/>
                <w:sz w:val="24"/>
                <w:szCs w:val="32"/>
              </w:rPr>
              <w:t>（6）本项目落地油泥的运输须按照《危险废物收集贮存运输技术规范》(HI2025-2012）中的要求进行运输，由有资质的运输企业承担，驾驶人员必须持证上岗。运输车辆应当保持功能齐备、完好和车身整洁。运输</w:t>
            </w:r>
            <w:r>
              <w:rPr>
                <w:rFonts w:hint="eastAsia"/>
                <w:color w:val="auto"/>
                <w:sz w:val="24"/>
                <w:szCs w:val="32"/>
                <w:lang w:val="en-US" w:eastAsia="zh-CN"/>
              </w:rPr>
              <w:t>落地油泥</w:t>
            </w:r>
            <w:r>
              <w:rPr>
                <w:rFonts w:hint="eastAsia"/>
                <w:color w:val="auto"/>
                <w:sz w:val="24"/>
                <w:szCs w:val="32"/>
              </w:rPr>
              <w:t>时不得沿途泄漏、遗撒和倾倒。</w:t>
            </w:r>
          </w:p>
          <w:p>
            <w:pPr>
              <w:pStyle w:val="47"/>
              <w:spacing w:line="360" w:lineRule="auto"/>
              <w:ind w:firstLine="480"/>
              <w:rPr>
                <w:rFonts w:hint="eastAsia"/>
                <w:color w:val="auto"/>
                <w:sz w:val="24"/>
                <w:szCs w:val="32"/>
              </w:rPr>
            </w:pPr>
            <w:r>
              <w:rPr>
                <w:rFonts w:hint="eastAsia"/>
                <w:color w:val="auto"/>
                <w:sz w:val="24"/>
                <w:szCs w:val="32"/>
              </w:rPr>
              <w:t>（7）按照相关职能部门的要求，加强对落地油泥的监管制度、台账制度，实施信息化监控，确保危险废物不流入非法渠道。当企业停止项目运营时，应当对项目场地进行土壤监测，并进行生态修复。</w:t>
            </w:r>
          </w:p>
          <w:p>
            <w:pPr>
              <w:pStyle w:val="43"/>
              <w:ind w:firstLine="480"/>
              <w:rPr>
                <w:rFonts w:hint="eastAsia"/>
                <w:color w:val="auto"/>
                <w:kern w:val="0"/>
                <w:sz w:val="24"/>
                <w:szCs w:val="24"/>
                <w:lang w:eastAsia="zh-CN"/>
              </w:rPr>
            </w:pPr>
            <w:r>
              <w:rPr>
                <w:rFonts w:hint="eastAsia"/>
                <w:color w:val="auto"/>
                <w:sz w:val="24"/>
                <w:szCs w:val="32"/>
                <w:lang w:eastAsia="zh-CN"/>
              </w:rPr>
              <w:t>（</w:t>
            </w:r>
            <w:r>
              <w:rPr>
                <w:rFonts w:hint="eastAsia"/>
                <w:color w:val="auto"/>
                <w:sz w:val="24"/>
                <w:szCs w:val="32"/>
                <w:lang w:val="en-US" w:eastAsia="zh-CN"/>
              </w:rPr>
              <w:t>8</w:t>
            </w:r>
            <w:r>
              <w:rPr>
                <w:rFonts w:hint="eastAsia"/>
                <w:color w:val="auto"/>
                <w:sz w:val="24"/>
                <w:szCs w:val="32"/>
                <w:lang w:eastAsia="zh-CN"/>
              </w:rPr>
              <w:t>）</w:t>
            </w:r>
            <w:r>
              <w:rPr>
                <w:rFonts w:hint="eastAsia" w:eastAsia="宋体"/>
                <w:color w:val="auto"/>
                <w:sz w:val="24"/>
                <w:szCs w:val="32"/>
                <w:lang w:val="en-US" w:eastAsia="zh-CN"/>
              </w:rPr>
              <w:t>评价要求加强集油槽和污油池</w:t>
            </w:r>
            <w:r>
              <w:rPr>
                <w:rFonts w:hint="eastAsia"/>
                <w:color w:val="auto"/>
                <w:sz w:val="24"/>
                <w:szCs w:val="24"/>
                <w:lang w:val="en-US" w:eastAsia="zh-CN"/>
              </w:rPr>
              <w:t>的维护，确保防渗措施达到</w:t>
            </w:r>
            <w:r>
              <w:rPr>
                <w:color w:val="auto"/>
                <w:kern w:val="0"/>
                <w:sz w:val="24"/>
                <w:szCs w:val="24"/>
              </w:rPr>
              <w:t>等效黏土防渗层Mb≥6.0m</w:t>
            </w:r>
            <w:r>
              <w:rPr>
                <w:rFonts w:hint="eastAsia"/>
                <w:color w:val="auto"/>
                <w:kern w:val="0"/>
                <w:sz w:val="24"/>
                <w:szCs w:val="24"/>
                <w:lang w:eastAsia="zh-CN"/>
              </w:rPr>
              <w:t>、</w:t>
            </w:r>
            <w:r>
              <w:rPr>
                <w:color w:val="auto"/>
                <w:kern w:val="0"/>
                <w:sz w:val="24"/>
                <w:szCs w:val="24"/>
              </w:rPr>
              <w:t>K≤1×10</w:t>
            </w:r>
            <w:r>
              <w:rPr>
                <w:color w:val="auto"/>
                <w:kern w:val="0"/>
                <w:sz w:val="24"/>
                <w:szCs w:val="24"/>
                <w:vertAlign w:val="superscript"/>
              </w:rPr>
              <w:t>-7</w:t>
            </w:r>
            <w:r>
              <w:rPr>
                <w:color w:val="auto"/>
                <w:kern w:val="0"/>
                <w:sz w:val="24"/>
                <w:szCs w:val="24"/>
              </w:rPr>
              <w:t>cm/s</w:t>
            </w:r>
            <w:r>
              <w:rPr>
                <w:rFonts w:hint="eastAsia" w:eastAsia="宋体"/>
                <w:color w:val="auto"/>
                <w:sz w:val="24"/>
                <w:szCs w:val="24"/>
                <w:lang w:val="en-US" w:eastAsia="zh-CN"/>
              </w:rPr>
              <w:t>或</w:t>
            </w:r>
            <w:r>
              <w:rPr>
                <w:color w:val="auto"/>
                <w:kern w:val="0"/>
                <w:sz w:val="24"/>
                <w:szCs w:val="24"/>
              </w:rPr>
              <w:t>参照GB</w:t>
            </w:r>
            <w:r>
              <w:rPr>
                <w:rFonts w:hint="eastAsia"/>
                <w:color w:val="auto"/>
                <w:kern w:val="0"/>
                <w:sz w:val="24"/>
                <w:szCs w:val="24"/>
                <w:lang w:val="en-US" w:eastAsia="zh-CN"/>
              </w:rPr>
              <w:t xml:space="preserve"> </w:t>
            </w:r>
            <w:r>
              <w:rPr>
                <w:color w:val="auto"/>
                <w:kern w:val="0"/>
                <w:sz w:val="24"/>
                <w:szCs w:val="24"/>
              </w:rPr>
              <w:t>18598执行</w:t>
            </w:r>
            <w:r>
              <w:rPr>
                <w:rFonts w:hint="eastAsia"/>
                <w:color w:val="auto"/>
                <w:kern w:val="0"/>
                <w:sz w:val="24"/>
                <w:szCs w:val="24"/>
                <w:lang w:val="en-US" w:eastAsia="zh-CN"/>
              </w:rPr>
              <w:t>的</w:t>
            </w:r>
            <w:r>
              <w:rPr>
                <w:rFonts w:hint="eastAsia" w:ascii="宋体" w:hAnsi="宋体"/>
                <w:bCs/>
                <w:color w:val="auto"/>
                <w:spacing w:val="10"/>
                <w:sz w:val="24"/>
                <w:szCs w:val="24"/>
              </w:rPr>
              <w:t>防渗等级</w:t>
            </w:r>
            <w:r>
              <w:rPr>
                <w:rFonts w:hint="eastAsia"/>
                <w:color w:val="auto"/>
                <w:kern w:val="0"/>
                <w:sz w:val="24"/>
                <w:szCs w:val="24"/>
                <w:lang w:val="en-US" w:eastAsia="zh-CN"/>
              </w:rPr>
              <w:t>要求</w:t>
            </w:r>
            <w:r>
              <w:rPr>
                <w:rFonts w:hint="eastAsia"/>
                <w:color w:val="auto"/>
                <w:kern w:val="0"/>
                <w:sz w:val="24"/>
                <w:szCs w:val="24"/>
                <w:lang w:eastAsia="zh-CN"/>
              </w:rPr>
              <w:t>。</w:t>
            </w:r>
          </w:p>
          <w:p>
            <w:pPr>
              <w:pStyle w:val="43"/>
              <w:ind w:firstLine="480"/>
              <w:rPr>
                <w:rFonts w:hint="eastAsia" w:eastAsia="宋体"/>
                <w:color w:val="auto"/>
                <w:sz w:val="24"/>
                <w:szCs w:val="32"/>
                <w:lang w:eastAsia="zh-CN"/>
              </w:rPr>
            </w:pPr>
            <w:r>
              <w:rPr>
                <w:rFonts w:hint="eastAsia"/>
                <w:color w:val="auto"/>
                <w:kern w:val="0"/>
                <w:sz w:val="24"/>
                <w:szCs w:val="24"/>
                <w:lang w:eastAsia="zh-CN"/>
              </w:rPr>
              <w:t>（</w:t>
            </w:r>
            <w:r>
              <w:rPr>
                <w:rFonts w:hint="eastAsia"/>
                <w:color w:val="auto"/>
                <w:kern w:val="0"/>
                <w:sz w:val="24"/>
                <w:szCs w:val="24"/>
                <w:lang w:val="en-US" w:eastAsia="zh-CN"/>
              </w:rPr>
              <w:t>9</w:t>
            </w:r>
            <w:r>
              <w:rPr>
                <w:rFonts w:hint="eastAsia"/>
                <w:color w:val="auto"/>
                <w:kern w:val="0"/>
                <w:sz w:val="24"/>
                <w:szCs w:val="24"/>
                <w:lang w:eastAsia="zh-CN"/>
              </w:rPr>
              <w:t>）</w:t>
            </w:r>
            <w:r>
              <w:rPr>
                <w:rFonts w:hint="eastAsia" w:ascii="宋体" w:hAnsi="宋体" w:cs="宋体"/>
                <w:color w:val="auto"/>
                <w:sz w:val="24"/>
                <w:szCs w:val="32"/>
              </w:rPr>
              <w:t>评价要求暂存间周围设置雨水导排系统，将暂存点周边的雨水导排至井场内的雨水蒸发池。</w:t>
            </w:r>
            <w:r>
              <w:rPr>
                <w:rFonts w:hint="eastAsia" w:ascii="宋体" w:hAnsi="宋体" w:cs="宋体"/>
                <w:color w:val="auto"/>
                <w:sz w:val="24"/>
                <w:szCs w:val="32"/>
                <w:lang w:val="en-US" w:eastAsia="zh-CN"/>
              </w:rPr>
              <w:t>由于本项目设计墙体顶部与屋檐高度差过大，可能存在雨水流进屋内的情况，评价要求将加宽屋檐并将墙体加高1.5m。</w:t>
            </w:r>
          </w:p>
          <w:p>
            <w:pPr>
              <w:pStyle w:val="47"/>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color w:val="auto"/>
                <w:sz w:val="24"/>
                <w:szCs w:val="32"/>
              </w:rPr>
            </w:pPr>
            <w:r>
              <w:rPr>
                <w:rFonts w:hint="eastAsia"/>
                <w:color w:val="auto"/>
                <w:sz w:val="24"/>
                <w:szCs w:val="32"/>
              </w:rPr>
              <w:t>10、</w:t>
            </w:r>
            <w:r>
              <w:rPr>
                <w:color w:val="auto"/>
                <w:sz w:val="24"/>
                <w:szCs w:val="32"/>
              </w:rPr>
              <w:t>竣工环保验收清单</w:t>
            </w:r>
          </w:p>
          <w:p>
            <w:pPr>
              <w:pStyle w:val="47"/>
              <w:spacing w:line="360" w:lineRule="auto"/>
              <w:ind w:firstLine="480"/>
              <w:rPr>
                <w:color w:val="auto"/>
                <w:sz w:val="24"/>
                <w:szCs w:val="32"/>
              </w:rPr>
            </w:pPr>
            <w:r>
              <w:rPr>
                <w:color w:val="auto"/>
                <w:sz w:val="24"/>
                <w:szCs w:val="32"/>
              </w:rPr>
              <w:t>项目</w:t>
            </w:r>
            <w:r>
              <w:rPr>
                <w:rFonts w:hint="eastAsia" w:ascii="宋体" w:hAnsi="宋体" w:cs="宋体"/>
                <w:color w:val="auto"/>
                <w:sz w:val="24"/>
                <w:szCs w:val="32"/>
              </w:rPr>
              <w:t>“三同时”</w:t>
            </w:r>
            <w:r>
              <w:rPr>
                <w:color w:val="auto"/>
                <w:sz w:val="24"/>
                <w:szCs w:val="32"/>
              </w:rPr>
              <w:t>验收清单见表</w:t>
            </w:r>
            <w:r>
              <w:rPr>
                <w:rFonts w:hint="eastAsia"/>
                <w:color w:val="auto"/>
                <w:sz w:val="24"/>
                <w:szCs w:val="32"/>
              </w:rPr>
              <w:t>4-10</w:t>
            </w:r>
            <w:r>
              <w:rPr>
                <w:color w:val="auto"/>
                <w:sz w:val="24"/>
                <w:szCs w:val="32"/>
              </w:rPr>
              <w:t>。</w:t>
            </w:r>
          </w:p>
          <w:p>
            <w:pPr>
              <w:pStyle w:val="6"/>
              <w:keepNext/>
              <w:ind w:firstLine="422" w:firstLineChars="200"/>
              <w:jc w:val="both"/>
              <w:rPr>
                <w:color w:val="auto"/>
              </w:rPr>
            </w:pPr>
            <w:r>
              <w:rPr>
                <w:color w:val="auto"/>
              </w:rPr>
              <w:t>表</w:t>
            </w:r>
            <w:r>
              <w:rPr>
                <w:rFonts w:hint="eastAsia"/>
                <w:color w:val="auto"/>
              </w:rPr>
              <w:t xml:space="preserve">4-10  </w:t>
            </w:r>
            <w:r>
              <w:rPr>
                <w:color w:val="auto"/>
              </w:rPr>
              <w:t xml:space="preserve">      </w:t>
            </w:r>
            <w:r>
              <w:rPr>
                <w:rFonts w:hint="eastAsia"/>
                <w:color w:val="auto"/>
              </w:rPr>
              <w:t xml:space="preserve"> </w:t>
            </w:r>
            <w:r>
              <w:rPr>
                <w:color w:val="auto"/>
              </w:rPr>
              <w:t xml:space="preserve">     </w:t>
            </w:r>
            <w:r>
              <w:rPr>
                <w:rFonts w:hint="eastAsia"/>
                <w:color w:val="auto"/>
              </w:rPr>
              <w:t xml:space="preserve">    </w:t>
            </w:r>
            <w:r>
              <w:rPr>
                <w:color w:val="auto"/>
              </w:rPr>
              <w:t>建设项目竣工环保验收清单</w:t>
            </w:r>
          </w:p>
          <w:tbl>
            <w:tblPr>
              <w:tblStyle w:val="20"/>
              <w:tblW w:w="794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4"/>
              <w:gridCol w:w="887"/>
              <w:gridCol w:w="1063"/>
              <w:gridCol w:w="2154"/>
              <w:gridCol w:w="696"/>
              <w:gridCol w:w="20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04" w:type="dxa"/>
                  <w:vAlign w:val="center"/>
                </w:tcPr>
                <w:p>
                  <w:pPr>
                    <w:jc w:val="center"/>
                    <w:rPr>
                      <w:color w:val="auto"/>
                    </w:rPr>
                  </w:pPr>
                  <w:r>
                    <w:rPr>
                      <w:rFonts w:hint="eastAsia"/>
                      <w:color w:val="auto"/>
                    </w:rPr>
                    <w:t>项目类别</w:t>
                  </w:r>
                </w:p>
              </w:tc>
              <w:tc>
                <w:tcPr>
                  <w:tcW w:w="887" w:type="dxa"/>
                  <w:vAlign w:val="center"/>
                </w:tcPr>
                <w:p>
                  <w:pPr>
                    <w:jc w:val="center"/>
                    <w:rPr>
                      <w:color w:val="auto"/>
                    </w:rPr>
                  </w:pPr>
                  <w:r>
                    <w:rPr>
                      <w:rFonts w:hint="eastAsia"/>
                      <w:color w:val="auto"/>
                    </w:rPr>
                    <w:t>对象</w:t>
                  </w:r>
                </w:p>
              </w:tc>
              <w:tc>
                <w:tcPr>
                  <w:tcW w:w="1063" w:type="dxa"/>
                  <w:vAlign w:val="center"/>
                </w:tcPr>
                <w:p>
                  <w:pPr>
                    <w:jc w:val="center"/>
                    <w:rPr>
                      <w:color w:val="auto"/>
                    </w:rPr>
                  </w:pPr>
                  <w:r>
                    <w:rPr>
                      <w:rFonts w:hint="eastAsia"/>
                      <w:color w:val="auto"/>
                    </w:rPr>
                    <w:t>污染源</w:t>
                  </w:r>
                </w:p>
              </w:tc>
              <w:tc>
                <w:tcPr>
                  <w:tcW w:w="2154" w:type="dxa"/>
                  <w:vAlign w:val="center"/>
                </w:tcPr>
                <w:p>
                  <w:pPr>
                    <w:jc w:val="center"/>
                    <w:rPr>
                      <w:color w:val="auto"/>
                    </w:rPr>
                  </w:pPr>
                  <w:r>
                    <w:rPr>
                      <w:rFonts w:hint="eastAsia"/>
                      <w:color w:val="auto"/>
                    </w:rPr>
                    <w:t>污染防治措施</w:t>
                  </w:r>
                </w:p>
              </w:tc>
              <w:tc>
                <w:tcPr>
                  <w:tcW w:w="696" w:type="dxa"/>
                  <w:vAlign w:val="center"/>
                </w:tcPr>
                <w:p>
                  <w:pPr>
                    <w:jc w:val="center"/>
                    <w:rPr>
                      <w:color w:val="auto"/>
                    </w:rPr>
                  </w:pPr>
                  <w:r>
                    <w:rPr>
                      <w:rFonts w:hint="eastAsia"/>
                      <w:color w:val="auto"/>
                    </w:rPr>
                    <w:t>数量</w:t>
                  </w:r>
                </w:p>
              </w:tc>
              <w:tc>
                <w:tcPr>
                  <w:tcW w:w="2042" w:type="dxa"/>
                  <w:vAlign w:val="center"/>
                </w:tcPr>
                <w:p>
                  <w:pPr>
                    <w:jc w:val="center"/>
                    <w:rPr>
                      <w:color w:val="auto"/>
                    </w:rPr>
                  </w:pPr>
                  <w:r>
                    <w:rPr>
                      <w:rFonts w:hint="eastAsia"/>
                      <w:color w:val="auto"/>
                    </w:rPr>
                    <w:t>验收标准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04" w:type="dxa"/>
                  <w:vAlign w:val="center"/>
                </w:tcPr>
                <w:p>
                  <w:pPr>
                    <w:jc w:val="center"/>
                    <w:rPr>
                      <w:color w:val="auto"/>
                    </w:rPr>
                  </w:pPr>
                  <w:r>
                    <w:rPr>
                      <w:rFonts w:hint="eastAsia"/>
                      <w:color w:val="auto"/>
                    </w:rPr>
                    <w:t>废气</w:t>
                  </w:r>
                </w:p>
              </w:tc>
              <w:tc>
                <w:tcPr>
                  <w:tcW w:w="887" w:type="dxa"/>
                  <w:vAlign w:val="center"/>
                </w:tcPr>
                <w:p>
                  <w:pPr>
                    <w:jc w:val="center"/>
                    <w:rPr>
                      <w:color w:val="auto"/>
                    </w:rPr>
                  </w:pPr>
                  <w:r>
                    <w:rPr>
                      <w:rFonts w:hint="eastAsia"/>
                      <w:color w:val="auto"/>
                    </w:rPr>
                    <w:t>暂存间</w:t>
                  </w:r>
                </w:p>
              </w:tc>
              <w:tc>
                <w:tcPr>
                  <w:tcW w:w="1063" w:type="dxa"/>
                  <w:vAlign w:val="center"/>
                </w:tcPr>
                <w:p>
                  <w:pPr>
                    <w:jc w:val="center"/>
                    <w:rPr>
                      <w:color w:val="auto"/>
                    </w:rPr>
                  </w:pPr>
                  <w:r>
                    <w:rPr>
                      <w:rFonts w:hint="eastAsia"/>
                      <w:color w:val="auto"/>
                    </w:rPr>
                    <w:t>无组织排放非甲烷总烃</w:t>
                  </w:r>
                </w:p>
              </w:tc>
              <w:tc>
                <w:tcPr>
                  <w:tcW w:w="2154" w:type="dxa"/>
                  <w:vAlign w:val="center"/>
                </w:tcPr>
                <w:p>
                  <w:pPr>
                    <w:jc w:val="center"/>
                    <w:rPr>
                      <w:color w:val="auto"/>
                    </w:rPr>
                  </w:pPr>
                  <w:r>
                    <w:rPr>
                      <w:rFonts w:hint="eastAsia"/>
                      <w:color w:val="auto"/>
                    </w:rPr>
                    <w:t>落地油泥采用三层塑料包装袋密封包装后再装入</w:t>
                  </w:r>
                  <w:r>
                    <w:rPr>
                      <w:rFonts w:hint="eastAsia"/>
                      <w:color w:val="auto"/>
                      <w:lang w:val="en-US" w:eastAsia="zh-CN"/>
                    </w:rPr>
                    <w:t>专用包装</w:t>
                  </w:r>
                  <w:r>
                    <w:rPr>
                      <w:rFonts w:hint="eastAsia"/>
                      <w:color w:val="auto"/>
                    </w:rPr>
                    <w:t>袋暂存在暂存间，暂存间自然通风</w:t>
                  </w:r>
                </w:p>
              </w:tc>
              <w:tc>
                <w:tcPr>
                  <w:tcW w:w="696" w:type="dxa"/>
                  <w:vAlign w:val="center"/>
                </w:tcPr>
                <w:p>
                  <w:pPr>
                    <w:jc w:val="center"/>
                    <w:rPr>
                      <w:color w:val="auto"/>
                    </w:rPr>
                  </w:pPr>
                  <w:r>
                    <w:rPr>
                      <w:rFonts w:hint="eastAsia"/>
                      <w:color w:val="auto"/>
                    </w:rPr>
                    <w:t>1套</w:t>
                  </w:r>
                </w:p>
              </w:tc>
              <w:tc>
                <w:tcPr>
                  <w:tcW w:w="2042" w:type="dxa"/>
                  <w:vAlign w:val="center"/>
                </w:tcPr>
                <w:p>
                  <w:pPr>
                    <w:jc w:val="center"/>
                    <w:rPr>
                      <w:color w:val="auto"/>
                    </w:rPr>
                  </w:pPr>
                  <w:r>
                    <w:rPr>
                      <w:rFonts w:hint="eastAsia"/>
                      <w:color w:val="auto"/>
                    </w:rPr>
                    <w:t>《挥发性有机物无组织排放控制标准》（GB37822-2019)中相关规定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04" w:type="dxa"/>
                  <w:vAlign w:val="center"/>
                </w:tcPr>
                <w:p>
                  <w:pPr>
                    <w:jc w:val="center"/>
                    <w:rPr>
                      <w:color w:val="auto"/>
                    </w:rPr>
                  </w:pPr>
                  <w:r>
                    <w:rPr>
                      <w:rFonts w:hint="eastAsia"/>
                      <w:color w:val="auto"/>
                    </w:rPr>
                    <w:t>废水</w:t>
                  </w:r>
                </w:p>
              </w:tc>
              <w:tc>
                <w:tcPr>
                  <w:tcW w:w="887" w:type="dxa"/>
                  <w:vAlign w:val="center"/>
                </w:tcPr>
                <w:p>
                  <w:pPr>
                    <w:jc w:val="center"/>
                    <w:rPr>
                      <w:color w:val="auto"/>
                    </w:rPr>
                  </w:pPr>
                  <w:r>
                    <w:rPr>
                      <w:rFonts w:hint="eastAsia"/>
                      <w:color w:val="auto"/>
                    </w:rPr>
                    <w:t>收集设施破损</w:t>
                  </w:r>
                </w:p>
              </w:tc>
              <w:tc>
                <w:tcPr>
                  <w:tcW w:w="1063" w:type="dxa"/>
                  <w:vAlign w:val="center"/>
                </w:tcPr>
                <w:p>
                  <w:pPr>
                    <w:jc w:val="center"/>
                    <w:rPr>
                      <w:color w:val="auto"/>
                    </w:rPr>
                  </w:pPr>
                  <w:r>
                    <w:rPr>
                      <w:rFonts w:hint="eastAsia"/>
                      <w:color w:val="auto"/>
                    </w:rPr>
                    <w:t>油泥及渗滤液</w:t>
                  </w:r>
                </w:p>
              </w:tc>
              <w:tc>
                <w:tcPr>
                  <w:tcW w:w="2154" w:type="dxa"/>
                  <w:vAlign w:val="center"/>
                </w:tcPr>
                <w:p>
                  <w:pPr>
                    <w:jc w:val="center"/>
                    <w:rPr>
                      <w:color w:val="auto"/>
                    </w:rPr>
                  </w:pPr>
                  <w:r>
                    <w:rPr>
                      <w:rFonts w:hint="eastAsia"/>
                      <w:color w:val="auto"/>
                    </w:rPr>
                    <w:t>导排明沟+渗滤液收集池</w:t>
                  </w:r>
                </w:p>
              </w:tc>
              <w:tc>
                <w:tcPr>
                  <w:tcW w:w="696" w:type="dxa"/>
                  <w:vAlign w:val="center"/>
                </w:tcPr>
                <w:p>
                  <w:pPr>
                    <w:jc w:val="center"/>
                    <w:rPr>
                      <w:color w:val="auto"/>
                    </w:rPr>
                  </w:pPr>
                  <w:r>
                    <w:rPr>
                      <w:rFonts w:hint="eastAsia"/>
                      <w:color w:val="auto"/>
                    </w:rPr>
                    <w:t>1套</w:t>
                  </w:r>
                </w:p>
              </w:tc>
              <w:tc>
                <w:tcPr>
                  <w:tcW w:w="2042" w:type="dxa"/>
                  <w:vAlign w:val="center"/>
                </w:tcPr>
                <w:p>
                  <w:pPr>
                    <w:jc w:val="center"/>
                    <w:rPr>
                      <w:color w:val="auto"/>
                    </w:rPr>
                  </w:pPr>
                  <w:r>
                    <w:rPr>
                      <w:rFonts w:hint="eastAsia"/>
                      <w:color w:val="auto"/>
                    </w:rPr>
                    <w:t>不外排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04" w:type="dxa"/>
                  <w:vAlign w:val="center"/>
                </w:tcPr>
                <w:p>
                  <w:pPr>
                    <w:jc w:val="center"/>
                    <w:rPr>
                      <w:color w:val="auto"/>
                    </w:rPr>
                  </w:pPr>
                  <w:r>
                    <w:rPr>
                      <w:rFonts w:hint="eastAsia"/>
                      <w:color w:val="auto"/>
                    </w:rPr>
                    <w:t>噪声</w:t>
                  </w:r>
                </w:p>
              </w:tc>
              <w:tc>
                <w:tcPr>
                  <w:tcW w:w="1950" w:type="dxa"/>
                  <w:gridSpan w:val="2"/>
                  <w:vAlign w:val="center"/>
                </w:tcPr>
                <w:p>
                  <w:pPr>
                    <w:jc w:val="center"/>
                    <w:rPr>
                      <w:color w:val="auto"/>
                    </w:rPr>
                  </w:pPr>
                  <w:r>
                    <w:rPr>
                      <w:rFonts w:hint="eastAsia"/>
                      <w:color w:val="auto"/>
                    </w:rPr>
                    <w:t>运输车辆</w:t>
                  </w:r>
                </w:p>
              </w:tc>
              <w:tc>
                <w:tcPr>
                  <w:tcW w:w="2154" w:type="dxa"/>
                  <w:vAlign w:val="center"/>
                </w:tcPr>
                <w:p>
                  <w:pPr>
                    <w:jc w:val="center"/>
                    <w:rPr>
                      <w:color w:val="auto"/>
                    </w:rPr>
                  </w:pPr>
                  <w:r>
                    <w:rPr>
                      <w:rFonts w:hint="eastAsia"/>
                      <w:color w:val="auto"/>
                    </w:rPr>
                    <w:t>/</w:t>
                  </w:r>
                </w:p>
              </w:tc>
              <w:tc>
                <w:tcPr>
                  <w:tcW w:w="696" w:type="dxa"/>
                  <w:vAlign w:val="center"/>
                </w:tcPr>
                <w:p>
                  <w:pPr>
                    <w:jc w:val="center"/>
                    <w:rPr>
                      <w:color w:val="auto"/>
                    </w:rPr>
                  </w:pPr>
                  <w:r>
                    <w:rPr>
                      <w:rFonts w:hint="eastAsia"/>
                      <w:color w:val="auto"/>
                    </w:rPr>
                    <w:t>/</w:t>
                  </w:r>
                </w:p>
              </w:tc>
              <w:tc>
                <w:tcPr>
                  <w:tcW w:w="2042" w:type="dxa"/>
                  <w:vAlign w:val="center"/>
                </w:tcPr>
                <w:p>
                  <w:pPr>
                    <w:jc w:val="center"/>
                    <w:rPr>
                      <w:color w:val="auto"/>
                    </w:rPr>
                  </w:pPr>
                  <w:r>
                    <w:rPr>
                      <w:rFonts w:hint="eastAsia"/>
                      <w:color w:val="auto"/>
                    </w:rPr>
                    <w:t>《工业企业厂界环境噪声排放标准》(GB12348-2008）中的2类标准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04" w:type="dxa"/>
                  <w:vAlign w:val="center"/>
                </w:tcPr>
                <w:p>
                  <w:pPr>
                    <w:jc w:val="center"/>
                    <w:rPr>
                      <w:color w:val="auto"/>
                    </w:rPr>
                  </w:pPr>
                  <w:r>
                    <w:rPr>
                      <w:rFonts w:hint="eastAsia"/>
                      <w:color w:val="auto"/>
                    </w:rPr>
                    <w:t>固废</w:t>
                  </w:r>
                </w:p>
              </w:tc>
              <w:tc>
                <w:tcPr>
                  <w:tcW w:w="887" w:type="dxa"/>
                  <w:vAlign w:val="center"/>
                </w:tcPr>
                <w:p>
                  <w:pPr>
                    <w:jc w:val="center"/>
                    <w:rPr>
                      <w:color w:val="auto"/>
                    </w:rPr>
                  </w:pPr>
                  <w:r>
                    <w:rPr>
                      <w:rFonts w:hint="eastAsia"/>
                      <w:color w:val="auto"/>
                    </w:rPr>
                    <w:t>暂存间</w:t>
                  </w:r>
                </w:p>
              </w:tc>
              <w:tc>
                <w:tcPr>
                  <w:tcW w:w="1063" w:type="dxa"/>
                  <w:vAlign w:val="center"/>
                </w:tcPr>
                <w:p>
                  <w:pPr>
                    <w:jc w:val="center"/>
                    <w:rPr>
                      <w:color w:val="auto"/>
                    </w:rPr>
                  </w:pPr>
                  <w:r>
                    <w:rPr>
                      <w:rFonts w:hint="eastAsia"/>
                      <w:color w:val="auto"/>
                    </w:rPr>
                    <w:t>落地油泥</w:t>
                  </w:r>
                </w:p>
              </w:tc>
              <w:tc>
                <w:tcPr>
                  <w:tcW w:w="2154" w:type="dxa"/>
                  <w:vAlign w:val="center"/>
                </w:tcPr>
                <w:p>
                  <w:pPr>
                    <w:jc w:val="center"/>
                    <w:rPr>
                      <w:color w:val="auto"/>
                    </w:rPr>
                  </w:pPr>
                  <w:r>
                    <w:rPr>
                      <w:rFonts w:hint="eastAsia"/>
                      <w:color w:val="auto"/>
                    </w:rPr>
                    <w:t>落地油泥采用三层塑料包装袋密封包装后再装入</w:t>
                  </w:r>
                  <w:r>
                    <w:rPr>
                      <w:rFonts w:hint="eastAsia"/>
                      <w:color w:val="auto"/>
                      <w:lang w:val="en-US" w:eastAsia="zh-CN"/>
                    </w:rPr>
                    <w:t>专用包装</w:t>
                  </w:r>
                  <w:r>
                    <w:rPr>
                      <w:rFonts w:hint="eastAsia"/>
                      <w:color w:val="auto"/>
                    </w:rPr>
                    <w:t>袋暂存在暂存间，交由有资质单位处置</w:t>
                  </w:r>
                </w:p>
              </w:tc>
              <w:tc>
                <w:tcPr>
                  <w:tcW w:w="696" w:type="dxa"/>
                  <w:vAlign w:val="center"/>
                </w:tcPr>
                <w:p>
                  <w:pPr>
                    <w:jc w:val="center"/>
                    <w:rPr>
                      <w:color w:val="auto"/>
                    </w:rPr>
                  </w:pPr>
                  <w:r>
                    <w:rPr>
                      <w:rFonts w:hint="eastAsia"/>
                      <w:color w:val="auto"/>
                    </w:rPr>
                    <w:t>1套</w:t>
                  </w:r>
                </w:p>
              </w:tc>
              <w:tc>
                <w:tcPr>
                  <w:tcW w:w="2042" w:type="dxa"/>
                  <w:vAlign w:val="center"/>
                </w:tcPr>
                <w:p>
                  <w:pPr>
                    <w:jc w:val="center"/>
                    <w:rPr>
                      <w:color w:val="auto"/>
                    </w:rPr>
                  </w:pPr>
                  <w:r>
                    <w:rPr>
                      <w:rFonts w:hint="eastAsia"/>
                      <w:color w:val="auto"/>
                    </w:rPr>
                    <w:t>《危险废物贮存污染控制标准》（GB18597-2023）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04" w:type="dxa"/>
                  <w:vAlign w:val="center"/>
                </w:tcPr>
                <w:p>
                  <w:pPr>
                    <w:jc w:val="center"/>
                    <w:rPr>
                      <w:color w:val="auto"/>
                    </w:rPr>
                  </w:pPr>
                  <w:r>
                    <w:rPr>
                      <w:rFonts w:hint="eastAsia"/>
                      <w:color w:val="auto"/>
                    </w:rPr>
                    <w:t>环境风险</w:t>
                  </w:r>
                </w:p>
              </w:tc>
              <w:tc>
                <w:tcPr>
                  <w:tcW w:w="887" w:type="dxa"/>
                  <w:vAlign w:val="center"/>
                </w:tcPr>
                <w:p>
                  <w:pPr>
                    <w:jc w:val="center"/>
                    <w:rPr>
                      <w:color w:val="auto"/>
                    </w:rPr>
                  </w:pPr>
                  <w:r>
                    <w:rPr>
                      <w:rFonts w:hint="eastAsia"/>
                      <w:color w:val="auto"/>
                    </w:rPr>
                    <w:t>暂存间</w:t>
                  </w:r>
                </w:p>
              </w:tc>
              <w:tc>
                <w:tcPr>
                  <w:tcW w:w="1063" w:type="dxa"/>
                  <w:vAlign w:val="center"/>
                </w:tcPr>
                <w:p>
                  <w:pPr>
                    <w:jc w:val="center"/>
                    <w:rPr>
                      <w:color w:val="auto"/>
                    </w:rPr>
                  </w:pPr>
                  <w:r>
                    <w:rPr>
                      <w:rFonts w:hint="eastAsia"/>
                      <w:color w:val="auto"/>
                    </w:rPr>
                    <w:t>发生泄漏</w:t>
                  </w:r>
                </w:p>
              </w:tc>
              <w:tc>
                <w:tcPr>
                  <w:tcW w:w="2154" w:type="dxa"/>
                  <w:vAlign w:val="center"/>
                </w:tcPr>
                <w:p>
                  <w:pPr>
                    <w:jc w:val="center"/>
                    <w:rPr>
                      <w:rFonts w:hint="eastAsia" w:eastAsia="宋体"/>
                      <w:color w:val="auto"/>
                      <w:lang w:eastAsia="zh-CN"/>
                    </w:rPr>
                  </w:pPr>
                  <w:r>
                    <w:rPr>
                      <w:rStyle w:val="23"/>
                      <w:rFonts w:hint="eastAsia"/>
                      <w:color w:val="auto"/>
                      <w:kern w:val="0"/>
                      <w:szCs w:val="20"/>
                      <w:lang w:val="en-US" w:eastAsia="zh-CN"/>
                    </w:rPr>
                    <w:t>采用重点防渗，</w:t>
                  </w:r>
                  <w:r>
                    <w:rPr>
                      <w:rFonts w:hint="eastAsia" w:ascii="宋体" w:hAnsi="宋体" w:cs="宋体"/>
                      <w:color w:val="auto"/>
                      <w:kern w:val="0"/>
                      <w:szCs w:val="21"/>
                      <w:lang w:bidi="ar"/>
                    </w:rPr>
                    <w:t>渗透系数≤10</w:t>
                  </w:r>
                  <w:r>
                    <w:rPr>
                      <w:rFonts w:hint="eastAsia" w:ascii="宋体" w:hAnsi="宋体" w:cs="宋体"/>
                      <w:color w:val="auto"/>
                      <w:kern w:val="0"/>
                      <w:szCs w:val="21"/>
                      <w:vertAlign w:val="superscript"/>
                      <w:lang w:bidi="ar"/>
                    </w:rPr>
                    <w:t>-10</w:t>
                  </w:r>
                  <w:r>
                    <w:rPr>
                      <w:rFonts w:hint="eastAsia" w:ascii="宋体" w:hAnsi="宋体" w:cs="宋体"/>
                      <w:color w:val="auto"/>
                      <w:kern w:val="0"/>
                      <w:szCs w:val="21"/>
                      <w:lang w:bidi="ar"/>
                    </w:rPr>
                    <w:t>cm/s</w:t>
                  </w:r>
                  <w:r>
                    <w:rPr>
                      <w:rFonts w:hint="eastAsia" w:ascii="宋体" w:hAnsi="宋体" w:cs="宋体"/>
                      <w:color w:val="auto"/>
                      <w:kern w:val="0"/>
                      <w:szCs w:val="21"/>
                      <w:lang w:eastAsia="zh-CN" w:bidi="ar"/>
                    </w:rPr>
                    <w:t>；加强油泥暂存间防渗地面的日常维护保养，强化监控手段并定期检查。</w:t>
                  </w:r>
                </w:p>
              </w:tc>
              <w:tc>
                <w:tcPr>
                  <w:tcW w:w="696" w:type="dxa"/>
                  <w:vAlign w:val="center"/>
                </w:tcPr>
                <w:p>
                  <w:pPr>
                    <w:jc w:val="center"/>
                    <w:rPr>
                      <w:color w:val="auto"/>
                    </w:rPr>
                  </w:pPr>
                  <w:r>
                    <w:rPr>
                      <w:rFonts w:hint="eastAsia"/>
                      <w:color w:val="auto"/>
                    </w:rPr>
                    <w:t>1套</w:t>
                  </w:r>
                </w:p>
              </w:tc>
              <w:tc>
                <w:tcPr>
                  <w:tcW w:w="2042" w:type="dxa"/>
                  <w:vAlign w:val="center"/>
                </w:tcPr>
                <w:p>
                  <w:pPr>
                    <w:jc w:val="center"/>
                    <w:rPr>
                      <w:color w:val="auto"/>
                    </w:rPr>
                  </w:pPr>
                  <w:r>
                    <w:rPr>
                      <w:rFonts w:hint="eastAsia"/>
                      <w:color w:val="auto"/>
                    </w:rPr>
                    <w:t>《危险废物贮存污染控制标准》（GB18597-2023）</w:t>
                  </w:r>
                </w:p>
              </w:tc>
            </w:tr>
          </w:tbl>
          <w:p>
            <w:pPr>
              <w:rPr>
                <w:color w:val="auto"/>
              </w:rPr>
            </w:pPr>
          </w:p>
          <w:p>
            <w:pPr>
              <w:rPr>
                <w:color w:val="auto"/>
              </w:rPr>
            </w:pPr>
          </w:p>
          <w:p>
            <w:pPr>
              <w:rPr>
                <w:color w:val="auto"/>
              </w:rPr>
            </w:pPr>
          </w:p>
          <w:p>
            <w:pPr>
              <w:pStyle w:val="24"/>
              <w:rPr>
                <w:color w:val="auto"/>
              </w:rPr>
            </w:pPr>
          </w:p>
          <w:p>
            <w:pPr>
              <w:pStyle w:val="24"/>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tc>
      </w:tr>
    </w:tbl>
    <w:p>
      <w:pPr>
        <w:adjustRightInd w:val="0"/>
        <w:snapToGrid w:val="0"/>
        <w:spacing w:line="360" w:lineRule="auto"/>
        <w:rPr>
          <w:rFonts w:ascii="宋体" w:cs="宋体"/>
          <w:b/>
          <w:color w:val="auto"/>
          <w:kern w:val="0"/>
          <w:sz w:val="28"/>
          <w:szCs w:val="28"/>
        </w:rPr>
        <w:sectPr>
          <w:pgSz w:w="11907" w:h="16840"/>
          <w:pgMar w:top="1701" w:right="1531" w:bottom="2127" w:left="1531" w:header="851" w:footer="851" w:gutter="0"/>
          <w:cols w:space="720" w:num="1"/>
          <w:docGrid w:linePitch="312" w:charSpace="0"/>
        </w:sectPr>
      </w:pPr>
    </w:p>
    <w:p>
      <w:pPr>
        <w:pStyle w:val="16"/>
        <w:jc w:val="center"/>
        <w:outlineLvl w:val="0"/>
        <w:rPr>
          <w:rFonts w:ascii="黑体" w:hAnsi="黑体" w:eastAsia="黑体"/>
          <w:snapToGrid w:val="0"/>
          <w:color w:val="auto"/>
          <w:sz w:val="30"/>
          <w:szCs w:val="30"/>
        </w:rPr>
      </w:pPr>
      <w:r>
        <w:rPr>
          <w:rFonts w:hint="eastAsia" w:ascii="黑体" w:hAnsi="黑体" w:eastAsia="黑体"/>
          <w:snapToGrid w:val="0"/>
          <w:color w:val="auto"/>
          <w:sz w:val="30"/>
          <w:szCs w:val="30"/>
        </w:rPr>
        <w:t>五、</w:t>
      </w:r>
      <w:bookmarkStart w:id="13" w:name="_Hlk54167917"/>
      <w:r>
        <w:rPr>
          <w:rFonts w:hint="eastAsia" w:ascii="黑体" w:hAnsi="黑体" w:eastAsia="黑体"/>
          <w:snapToGrid w:val="0"/>
          <w:color w:val="auto"/>
          <w:sz w:val="30"/>
          <w:szCs w:val="30"/>
        </w:rPr>
        <w:t>环境保护措施监督检查清单</w:t>
      </w:r>
      <w:bookmarkEnd w:id="13"/>
    </w:p>
    <w:tbl>
      <w:tblPr>
        <w:tblStyle w:val="19"/>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778"/>
        <w:gridCol w:w="1755"/>
        <w:gridCol w:w="1755"/>
        <w:gridCol w:w="1755"/>
        <w:gridCol w:w="175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tcBorders>
              <w:tl2br w:val="single" w:color="auto" w:sz="4" w:space="0"/>
            </w:tcBorders>
          </w:tcPr>
          <w:p>
            <w:pPr>
              <w:adjustRightInd w:val="0"/>
              <w:snapToGrid w:val="0"/>
              <w:ind w:firstLine="840"/>
              <w:rPr>
                <w:rFonts w:ascii="宋体" w:hAnsi="宋体" w:cs="宋体"/>
                <w:color w:val="auto"/>
                <w:sz w:val="24"/>
              </w:rPr>
            </w:pPr>
            <w:r>
              <w:rPr>
                <w:rFonts w:hint="eastAsia" w:ascii="宋体" w:hAnsi="宋体" w:cs="宋体"/>
                <w:color w:val="auto"/>
                <w:sz w:val="24"/>
              </w:rPr>
              <w:t>内容</w:t>
            </w:r>
          </w:p>
          <w:p>
            <w:pPr>
              <w:adjustRightInd w:val="0"/>
              <w:snapToGrid w:val="0"/>
              <w:rPr>
                <w:rFonts w:ascii="宋体" w:hAnsi="宋体" w:cs="宋体"/>
                <w:color w:val="auto"/>
                <w:sz w:val="24"/>
              </w:rPr>
            </w:pPr>
            <w:r>
              <w:rPr>
                <w:rFonts w:hint="eastAsia" w:ascii="宋体" w:hAnsi="宋体" w:cs="宋体"/>
                <w:color w:val="auto"/>
                <w:sz w:val="24"/>
              </w:rPr>
              <w:t>要素</w:t>
            </w:r>
          </w:p>
        </w:tc>
        <w:tc>
          <w:tcPr>
            <w:tcW w:w="1755"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排放口(编号、</w:t>
            </w:r>
          </w:p>
          <w:p>
            <w:pPr>
              <w:adjustRightInd w:val="0"/>
              <w:snapToGrid w:val="0"/>
              <w:jc w:val="center"/>
              <w:rPr>
                <w:rFonts w:ascii="宋体" w:hAnsi="宋体" w:cs="宋体"/>
                <w:color w:val="auto"/>
                <w:sz w:val="24"/>
              </w:rPr>
            </w:pPr>
            <w:r>
              <w:rPr>
                <w:rFonts w:hint="eastAsia" w:ascii="宋体" w:hAnsi="宋体" w:cs="宋体"/>
                <w:color w:val="auto"/>
                <w:sz w:val="24"/>
              </w:rPr>
              <w:t>名称)/污染源</w:t>
            </w:r>
          </w:p>
        </w:tc>
        <w:tc>
          <w:tcPr>
            <w:tcW w:w="1755"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污染物项目</w:t>
            </w:r>
          </w:p>
        </w:tc>
        <w:tc>
          <w:tcPr>
            <w:tcW w:w="1755"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环境保护措施</w:t>
            </w:r>
          </w:p>
        </w:tc>
        <w:tc>
          <w:tcPr>
            <w:tcW w:w="1757"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执行标准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43" w:hRule="atLeast"/>
          <w:jc w:val="center"/>
        </w:trPr>
        <w:tc>
          <w:tcPr>
            <w:tcW w:w="1778"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大气环境</w:t>
            </w:r>
          </w:p>
        </w:tc>
        <w:tc>
          <w:tcPr>
            <w:tcW w:w="1755"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无组织排放</w:t>
            </w:r>
          </w:p>
        </w:tc>
        <w:tc>
          <w:tcPr>
            <w:tcW w:w="1755" w:type="dxa"/>
            <w:vAlign w:val="center"/>
          </w:tcPr>
          <w:p>
            <w:pPr>
              <w:adjustRightInd w:val="0"/>
              <w:snapToGrid w:val="0"/>
              <w:jc w:val="center"/>
              <w:rPr>
                <w:rFonts w:ascii="宋体" w:hAnsi="宋体" w:cs="宋体"/>
                <w:color w:val="auto"/>
                <w:sz w:val="24"/>
              </w:rPr>
            </w:pPr>
            <w:r>
              <w:rPr>
                <w:color w:val="auto"/>
                <w:sz w:val="24"/>
              </w:rPr>
              <w:t>非甲烷总烃</w:t>
            </w:r>
          </w:p>
        </w:tc>
        <w:tc>
          <w:tcPr>
            <w:tcW w:w="1755" w:type="dxa"/>
            <w:vAlign w:val="center"/>
          </w:tcPr>
          <w:p>
            <w:pPr>
              <w:widowControl/>
              <w:jc w:val="left"/>
              <w:rPr>
                <w:rFonts w:ascii="宋体" w:hAnsi="宋体" w:cs="宋体"/>
                <w:color w:val="auto"/>
                <w:sz w:val="24"/>
              </w:rPr>
            </w:pPr>
            <w:r>
              <w:rPr>
                <w:rFonts w:hint="eastAsia" w:ascii="宋体" w:hAnsi="宋体" w:cs="宋体"/>
                <w:color w:val="auto"/>
                <w:kern w:val="0"/>
                <w:sz w:val="24"/>
                <w:lang w:bidi="ar"/>
              </w:rPr>
              <w:t>落地油泥</w:t>
            </w:r>
            <w:r>
              <w:rPr>
                <w:rFonts w:hint="eastAsia" w:ascii="宋体" w:hAnsi="宋体" w:cs="宋体"/>
                <w:color w:val="auto"/>
                <w:sz w:val="24"/>
              </w:rPr>
              <w:t>由三层塑料包装袋密封包装后再装入</w:t>
            </w:r>
            <w:r>
              <w:rPr>
                <w:rFonts w:hint="eastAsia"/>
                <w:color w:val="auto"/>
                <w:sz w:val="24"/>
                <w:szCs w:val="32"/>
                <w:lang w:val="en-US" w:eastAsia="zh-CN"/>
              </w:rPr>
              <w:t>专用包装</w:t>
            </w:r>
            <w:r>
              <w:rPr>
                <w:rFonts w:hint="eastAsia"/>
                <w:color w:val="auto"/>
                <w:sz w:val="24"/>
                <w:szCs w:val="32"/>
              </w:rPr>
              <w:t>袋</w:t>
            </w:r>
            <w:r>
              <w:rPr>
                <w:rFonts w:hint="eastAsia" w:ascii="宋体" w:hAnsi="宋体" w:cs="宋体"/>
                <w:color w:val="auto"/>
                <w:kern w:val="0"/>
                <w:sz w:val="24"/>
                <w:lang w:bidi="ar"/>
              </w:rPr>
              <w:t>，暂存间自然通风</w:t>
            </w:r>
          </w:p>
        </w:tc>
        <w:tc>
          <w:tcPr>
            <w:tcW w:w="1757" w:type="dxa"/>
            <w:vAlign w:val="center"/>
          </w:tcPr>
          <w:p>
            <w:pPr>
              <w:adjustRightInd w:val="0"/>
              <w:snapToGrid w:val="0"/>
              <w:jc w:val="center"/>
              <w:rPr>
                <w:rFonts w:ascii="宋体" w:hAnsi="宋体" w:cs="宋体"/>
                <w:color w:val="auto"/>
                <w:sz w:val="24"/>
              </w:rPr>
            </w:pPr>
            <w:r>
              <w:rPr>
                <w:color w:val="auto"/>
                <w:sz w:val="24"/>
              </w:rPr>
              <w:t>《陆上石油天然气开采工业大气污染物综合排放标准》（GB39728-2020）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地表水环境</w:t>
            </w:r>
          </w:p>
        </w:tc>
        <w:tc>
          <w:tcPr>
            <w:tcW w:w="1755" w:type="dxa"/>
            <w:vAlign w:val="center"/>
          </w:tcPr>
          <w:p>
            <w:pPr>
              <w:pStyle w:val="46"/>
              <w:jc w:val="center"/>
              <w:rPr>
                <w:rFonts w:ascii="Times New Roman" w:hAnsi="Times New Roman"/>
                <w:color w:val="auto"/>
              </w:rPr>
            </w:pPr>
            <w:r>
              <w:rPr>
                <w:rFonts w:hint="eastAsia" w:ascii="Times New Roman" w:hAnsi="Times New Roman"/>
                <w:color w:val="auto"/>
              </w:rPr>
              <w:t>/</w:t>
            </w:r>
          </w:p>
        </w:tc>
        <w:tc>
          <w:tcPr>
            <w:tcW w:w="1755" w:type="dxa"/>
            <w:vAlign w:val="center"/>
          </w:tcPr>
          <w:p>
            <w:pPr>
              <w:pStyle w:val="46"/>
              <w:jc w:val="center"/>
              <w:rPr>
                <w:rFonts w:ascii="Times New Roman" w:hAnsi="Times New Roman"/>
                <w:color w:val="auto"/>
              </w:rPr>
            </w:pPr>
            <w:r>
              <w:rPr>
                <w:rFonts w:hint="eastAsia" w:ascii="Times New Roman" w:hAnsi="Times New Roman"/>
                <w:color w:val="auto"/>
              </w:rPr>
              <w:t>/</w:t>
            </w:r>
          </w:p>
        </w:tc>
        <w:tc>
          <w:tcPr>
            <w:tcW w:w="1755" w:type="dxa"/>
            <w:vAlign w:val="center"/>
          </w:tcPr>
          <w:p>
            <w:pPr>
              <w:pStyle w:val="46"/>
              <w:jc w:val="center"/>
              <w:rPr>
                <w:rFonts w:ascii="Times New Roman" w:hAnsi="Times New Roman"/>
                <w:color w:val="auto"/>
              </w:rPr>
            </w:pPr>
            <w:r>
              <w:rPr>
                <w:rFonts w:hint="eastAsia" w:ascii="Times New Roman" w:hAnsi="Times New Roman"/>
                <w:color w:val="auto"/>
              </w:rPr>
              <w:t>/</w:t>
            </w:r>
          </w:p>
        </w:tc>
        <w:tc>
          <w:tcPr>
            <w:tcW w:w="1757" w:type="dxa"/>
            <w:vAlign w:val="center"/>
          </w:tcPr>
          <w:p>
            <w:pPr>
              <w:pStyle w:val="46"/>
              <w:jc w:val="center"/>
              <w:rPr>
                <w:rFonts w:ascii="Times New Roman" w:hAnsi="Times New Roman"/>
                <w:color w:val="auto"/>
              </w:rPr>
            </w:pPr>
            <w:r>
              <w:rPr>
                <w:rFonts w:hint="eastAsia" w:ascii="Times New Roman" w:hAnsi="Times New Roman"/>
                <w:color w:val="auto"/>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2" w:hRule="atLeast"/>
          <w:jc w:val="center"/>
        </w:trPr>
        <w:tc>
          <w:tcPr>
            <w:tcW w:w="1778"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声环境</w:t>
            </w:r>
          </w:p>
        </w:tc>
        <w:tc>
          <w:tcPr>
            <w:tcW w:w="1755" w:type="dxa"/>
            <w:vAlign w:val="center"/>
          </w:tcPr>
          <w:p>
            <w:pPr>
              <w:pStyle w:val="46"/>
              <w:jc w:val="center"/>
              <w:rPr>
                <w:rFonts w:ascii="Times New Roman" w:hAnsi="Times New Roman"/>
                <w:color w:val="auto"/>
              </w:rPr>
            </w:pPr>
            <w:r>
              <w:rPr>
                <w:rFonts w:hint="eastAsia" w:ascii="Times New Roman" w:hAnsi="Times New Roman"/>
                <w:color w:val="auto"/>
              </w:rPr>
              <w:t>/</w:t>
            </w:r>
          </w:p>
        </w:tc>
        <w:tc>
          <w:tcPr>
            <w:tcW w:w="1755" w:type="dxa"/>
            <w:vAlign w:val="center"/>
          </w:tcPr>
          <w:p>
            <w:pPr>
              <w:pStyle w:val="46"/>
              <w:jc w:val="center"/>
              <w:rPr>
                <w:rFonts w:ascii="Times New Roman" w:hAnsi="Times New Roman"/>
                <w:color w:val="auto"/>
              </w:rPr>
            </w:pPr>
            <w:r>
              <w:rPr>
                <w:rFonts w:hint="eastAsia" w:ascii="Times New Roman" w:hAnsi="Times New Roman"/>
                <w:color w:val="auto"/>
              </w:rPr>
              <w:t>/</w:t>
            </w:r>
          </w:p>
        </w:tc>
        <w:tc>
          <w:tcPr>
            <w:tcW w:w="1755" w:type="dxa"/>
            <w:vAlign w:val="center"/>
          </w:tcPr>
          <w:p>
            <w:pPr>
              <w:pStyle w:val="46"/>
              <w:jc w:val="center"/>
              <w:rPr>
                <w:rFonts w:ascii="宋体" w:hAnsi="宋体" w:cs="宋体"/>
                <w:color w:val="auto"/>
              </w:rPr>
            </w:pPr>
            <w:r>
              <w:rPr>
                <w:rFonts w:hint="eastAsia" w:ascii="Times New Roman" w:hAnsi="Times New Roman"/>
                <w:color w:val="auto"/>
              </w:rPr>
              <w:t>/</w:t>
            </w:r>
          </w:p>
        </w:tc>
        <w:tc>
          <w:tcPr>
            <w:tcW w:w="1757" w:type="dxa"/>
            <w:vAlign w:val="center"/>
          </w:tcPr>
          <w:p>
            <w:pPr>
              <w:pStyle w:val="46"/>
              <w:jc w:val="center"/>
              <w:rPr>
                <w:rFonts w:ascii="宋体" w:hAnsi="宋体" w:cs="宋体"/>
                <w:color w:val="auto"/>
              </w:rPr>
            </w:pPr>
            <w:r>
              <w:rPr>
                <w:rFonts w:hint="eastAsia" w:ascii="Times New Roman" w:hAnsi="Times New Roman"/>
                <w:color w:val="auto"/>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电磁辐射</w:t>
            </w:r>
          </w:p>
        </w:tc>
        <w:tc>
          <w:tcPr>
            <w:tcW w:w="1755" w:type="dxa"/>
            <w:vAlign w:val="center"/>
          </w:tcPr>
          <w:p>
            <w:pPr>
              <w:pStyle w:val="46"/>
              <w:jc w:val="center"/>
              <w:rPr>
                <w:rFonts w:ascii="Times New Roman" w:hAnsi="Times New Roman"/>
                <w:color w:val="auto"/>
              </w:rPr>
            </w:pPr>
            <w:r>
              <w:rPr>
                <w:rFonts w:hint="eastAsia" w:ascii="Times New Roman" w:hAnsi="Times New Roman"/>
                <w:color w:val="auto"/>
              </w:rPr>
              <w:t>/</w:t>
            </w:r>
          </w:p>
        </w:tc>
        <w:tc>
          <w:tcPr>
            <w:tcW w:w="1755" w:type="dxa"/>
            <w:vAlign w:val="center"/>
          </w:tcPr>
          <w:p>
            <w:pPr>
              <w:pStyle w:val="46"/>
              <w:jc w:val="center"/>
              <w:rPr>
                <w:rFonts w:ascii="Times New Roman" w:hAnsi="Times New Roman"/>
                <w:color w:val="auto"/>
              </w:rPr>
            </w:pPr>
            <w:r>
              <w:rPr>
                <w:rFonts w:hint="eastAsia" w:ascii="Times New Roman" w:hAnsi="Times New Roman"/>
                <w:color w:val="auto"/>
              </w:rPr>
              <w:t>/</w:t>
            </w:r>
          </w:p>
        </w:tc>
        <w:tc>
          <w:tcPr>
            <w:tcW w:w="1755" w:type="dxa"/>
            <w:vAlign w:val="center"/>
          </w:tcPr>
          <w:p>
            <w:pPr>
              <w:pStyle w:val="46"/>
              <w:jc w:val="center"/>
              <w:rPr>
                <w:rFonts w:ascii="Times New Roman" w:hAnsi="Times New Roman"/>
                <w:color w:val="auto"/>
              </w:rPr>
            </w:pPr>
            <w:r>
              <w:rPr>
                <w:rFonts w:hint="eastAsia" w:ascii="Times New Roman" w:hAnsi="Times New Roman"/>
                <w:color w:val="auto"/>
              </w:rPr>
              <w:t>/</w:t>
            </w:r>
          </w:p>
        </w:tc>
        <w:tc>
          <w:tcPr>
            <w:tcW w:w="1757" w:type="dxa"/>
            <w:vAlign w:val="center"/>
          </w:tcPr>
          <w:p>
            <w:pPr>
              <w:pStyle w:val="46"/>
              <w:jc w:val="center"/>
              <w:rPr>
                <w:rFonts w:ascii="Times New Roman" w:hAnsi="Times New Roman"/>
                <w:color w:val="auto"/>
              </w:rPr>
            </w:pPr>
            <w:r>
              <w:rPr>
                <w:rFonts w:hint="eastAsia" w:ascii="Times New Roman" w:hAnsi="Times New Roman"/>
                <w:color w:val="auto"/>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1778"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固体废物</w:t>
            </w:r>
          </w:p>
        </w:tc>
        <w:tc>
          <w:tcPr>
            <w:tcW w:w="7022" w:type="dxa"/>
            <w:gridSpan w:val="4"/>
            <w:vAlign w:val="center"/>
          </w:tcPr>
          <w:p>
            <w:pPr>
              <w:adjustRightInd w:val="0"/>
              <w:snapToGrid w:val="0"/>
              <w:jc w:val="center"/>
              <w:rPr>
                <w:rFonts w:ascii="宋体" w:hAnsi="宋体" w:cs="宋体"/>
                <w:color w:val="auto"/>
                <w:sz w:val="24"/>
              </w:rPr>
            </w:pPr>
            <w:r>
              <w:rPr>
                <w:rFonts w:hint="eastAsia" w:ascii="宋体" w:hAnsi="宋体" w:cs="宋体"/>
                <w:color w:val="auto"/>
                <w:sz w:val="24"/>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733" w:hRule="atLeast"/>
          <w:jc w:val="center"/>
        </w:trPr>
        <w:tc>
          <w:tcPr>
            <w:tcW w:w="1778"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土壤及地下水</w:t>
            </w:r>
          </w:p>
          <w:p>
            <w:pPr>
              <w:adjustRightInd w:val="0"/>
              <w:snapToGrid w:val="0"/>
              <w:jc w:val="center"/>
              <w:rPr>
                <w:rFonts w:ascii="宋体" w:hAnsi="宋体" w:cs="宋体"/>
                <w:color w:val="auto"/>
                <w:sz w:val="24"/>
              </w:rPr>
            </w:pPr>
            <w:r>
              <w:rPr>
                <w:rFonts w:hint="eastAsia" w:ascii="宋体" w:hAnsi="宋体" w:cs="宋体"/>
                <w:color w:val="auto"/>
                <w:sz w:val="24"/>
              </w:rPr>
              <w:t>污染防治措施</w:t>
            </w:r>
          </w:p>
        </w:tc>
        <w:tc>
          <w:tcPr>
            <w:tcW w:w="7022" w:type="dxa"/>
            <w:gridSpan w:val="4"/>
            <w:vAlign w:val="center"/>
          </w:tcPr>
          <w:p>
            <w:pPr>
              <w:adjustRightInd w:val="0"/>
              <w:snapToGrid w:val="0"/>
              <w:jc w:val="left"/>
              <w:rPr>
                <w:rFonts w:ascii="宋体" w:hAnsi="宋体" w:cs="宋体"/>
                <w:color w:val="auto"/>
                <w:sz w:val="24"/>
              </w:rPr>
            </w:pPr>
            <w:r>
              <w:rPr>
                <w:rFonts w:hint="eastAsia" w:ascii="宋体" w:hAnsi="宋体" w:cs="宋体"/>
                <w:color w:val="auto"/>
                <w:sz w:val="24"/>
              </w:rPr>
              <w:t>落地油泥由三层塑料包装袋密封包装后再装入</w:t>
            </w:r>
            <w:r>
              <w:rPr>
                <w:rFonts w:hint="eastAsia" w:ascii="宋体" w:hAnsi="宋体" w:cs="宋体"/>
                <w:color w:val="auto"/>
                <w:sz w:val="24"/>
                <w:lang w:val="en-US" w:eastAsia="zh-CN"/>
              </w:rPr>
              <w:t>专用包装</w:t>
            </w:r>
            <w:r>
              <w:rPr>
                <w:rFonts w:hint="eastAsia" w:ascii="宋体" w:hAnsi="宋体" w:cs="宋体"/>
                <w:color w:val="auto"/>
                <w:sz w:val="24"/>
              </w:rPr>
              <w:t>袋暂存在站址，交由有资质单位进行处置，危废处理率100%。每次将落地油泥存入和运出暂存点时都需对包装袋进行检查，确保包装的完好；对泄露的油泥及其渗滤液收集后及时交由有资质单位处置，防止对土壤产生污染。暂存点地面、墙面和集油池采取防渗措施。</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28" w:hRule="atLeast"/>
          <w:jc w:val="center"/>
        </w:trPr>
        <w:tc>
          <w:tcPr>
            <w:tcW w:w="1778" w:type="dxa"/>
            <w:vAlign w:val="center"/>
          </w:tcPr>
          <w:p>
            <w:pPr>
              <w:adjustRightInd w:val="0"/>
              <w:snapToGrid w:val="0"/>
              <w:jc w:val="center"/>
              <w:rPr>
                <w:rFonts w:ascii="宋体" w:hAnsi="宋体" w:cs="宋体"/>
                <w:color w:val="auto"/>
                <w:sz w:val="24"/>
              </w:rPr>
            </w:pPr>
            <w:r>
              <w:rPr>
                <w:rFonts w:hint="eastAsia" w:ascii="宋体" w:hAnsi="宋体" w:cs="宋体"/>
                <w:color w:val="auto"/>
                <w:sz w:val="24"/>
              </w:rPr>
              <w:t>生态保护措施</w:t>
            </w:r>
          </w:p>
        </w:tc>
        <w:tc>
          <w:tcPr>
            <w:tcW w:w="7022" w:type="dxa"/>
            <w:gridSpan w:val="4"/>
            <w:vAlign w:val="center"/>
          </w:tcPr>
          <w:p>
            <w:pPr>
              <w:adjustRightInd w:val="0"/>
              <w:snapToGrid w:val="0"/>
              <w:jc w:val="center"/>
              <w:rPr>
                <w:rFonts w:hint="eastAsia" w:ascii="宋体" w:hAnsi="宋体" w:eastAsia="宋体" w:cs="宋体"/>
                <w:color w:val="auto"/>
                <w:sz w:val="24"/>
                <w:lang w:val="en-US" w:eastAsia="zh-CN"/>
              </w:rPr>
            </w:pPr>
            <w:r>
              <w:rPr>
                <w:rFonts w:hint="eastAsia" w:ascii="宋体" w:hAnsi="宋体" w:cs="宋体"/>
                <w:color w:val="auto"/>
                <w:sz w:val="24"/>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529" w:hRule="atLeast"/>
          <w:jc w:val="center"/>
        </w:trPr>
        <w:tc>
          <w:tcPr>
            <w:tcW w:w="1778" w:type="dxa"/>
            <w:vAlign w:val="center"/>
          </w:tcPr>
          <w:p>
            <w:pPr>
              <w:adjustRightInd w:val="0"/>
              <w:snapToGrid w:val="0"/>
              <w:jc w:val="center"/>
              <w:rPr>
                <w:rFonts w:ascii="宋体" w:hAnsi="宋体" w:cs="宋体"/>
                <w:color w:val="auto"/>
                <w:spacing w:val="-8"/>
                <w:sz w:val="24"/>
              </w:rPr>
            </w:pPr>
            <w:r>
              <w:rPr>
                <w:rFonts w:hint="eastAsia" w:ascii="宋体" w:hAnsi="宋体" w:cs="宋体"/>
                <w:color w:val="auto"/>
                <w:spacing w:val="-8"/>
                <w:sz w:val="24"/>
              </w:rPr>
              <w:t>环境风险</w:t>
            </w:r>
          </w:p>
          <w:p>
            <w:pPr>
              <w:adjustRightInd w:val="0"/>
              <w:snapToGrid w:val="0"/>
              <w:jc w:val="center"/>
              <w:rPr>
                <w:rFonts w:ascii="宋体" w:hAnsi="宋体" w:cs="宋体"/>
                <w:color w:val="auto"/>
                <w:spacing w:val="-8"/>
                <w:sz w:val="24"/>
              </w:rPr>
            </w:pPr>
            <w:r>
              <w:rPr>
                <w:rFonts w:hint="eastAsia" w:ascii="宋体" w:hAnsi="宋体" w:cs="宋体"/>
                <w:color w:val="auto"/>
                <w:spacing w:val="-8"/>
                <w:sz w:val="24"/>
              </w:rPr>
              <w:t>防范措施</w:t>
            </w:r>
          </w:p>
        </w:tc>
        <w:tc>
          <w:tcPr>
            <w:tcW w:w="7022" w:type="dxa"/>
            <w:gridSpan w:val="4"/>
            <w:vAlign w:val="center"/>
          </w:tcPr>
          <w:p>
            <w:pPr>
              <w:adjustRightInd w:val="0"/>
              <w:snapToGrid w:val="0"/>
              <w:rPr>
                <w:color w:val="auto"/>
                <w:sz w:val="24"/>
              </w:rPr>
            </w:pPr>
            <w:r>
              <w:rPr>
                <w:color w:val="auto"/>
                <w:sz w:val="24"/>
              </w:rPr>
              <w:t>1、</w:t>
            </w:r>
            <w:r>
              <w:rPr>
                <w:rFonts w:hint="eastAsia"/>
                <w:color w:val="auto"/>
                <w:sz w:val="24"/>
              </w:rPr>
              <w:t>严格采取行之有效的防范泄漏措施，尽可能降低泄漏、火灾事故的发生</w:t>
            </w:r>
            <w:r>
              <w:rPr>
                <w:color w:val="auto"/>
                <w:sz w:val="24"/>
              </w:rPr>
              <w:t>；</w:t>
            </w:r>
          </w:p>
          <w:p>
            <w:pPr>
              <w:adjustRightInd w:val="0"/>
              <w:snapToGrid w:val="0"/>
              <w:rPr>
                <w:color w:val="auto"/>
                <w:sz w:val="24"/>
              </w:rPr>
            </w:pPr>
            <w:r>
              <w:rPr>
                <w:color w:val="auto"/>
                <w:sz w:val="24"/>
              </w:rPr>
              <w:t>2、加强职工的安全教育，提高安全防范意识</w:t>
            </w:r>
            <w:r>
              <w:rPr>
                <w:rFonts w:hint="eastAsia"/>
                <w:color w:val="auto"/>
                <w:sz w:val="24"/>
              </w:rPr>
              <w:t>；</w:t>
            </w:r>
          </w:p>
          <w:p>
            <w:pPr>
              <w:adjustRightInd w:val="0"/>
              <w:snapToGrid w:val="0"/>
              <w:rPr>
                <w:rFonts w:ascii="宋体" w:hAnsi="宋体" w:cs="宋体"/>
                <w:color w:val="auto"/>
                <w:sz w:val="24"/>
              </w:rPr>
            </w:pPr>
            <w:r>
              <w:rPr>
                <w:color w:val="auto"/>
                <w:sz w:val="24"/>
              </w:rPr>
              <w:t>3、</w:t>
            </w:r>
            <w:r>
              <w:rPr>
                <w:rFonts w:hint="eastAsia"/>
                <w:color w:val="auto"/>
                <w:sz w:val="24"/>
              </w:rPr>
              <w:t>建立风险防范制度、修编环境风险应急预案并定期开展演练等</w:t>
            </w:r>
            <w:r>
              <w:rPr>
                <w:color w:val="auto"/>
                <w:sz w:val="24"/>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02" w:hRule="atLeast"/>
          <w:jc w:val="center"/>
        </w:trPr>
        <w:tc>
          <w:tcPr>
            <w:tcW w:w="1778" w:type="dxa"/>
            <w:vAlign w:val="center"/>
          </w:tcPr>
          <w:p>
            <w:pPr>
              <w:adjustRightInd w:val="0"/>
              <w:snapToGrid w:val="0"/>
              <w:jc w:val="center"/>
              <w:rPr>
                <w:rFonts w:ascii="宋体" w:hAnsi="宋体" w:cs="宋体"/>
                <w:color w:val="auto"/>
                <w:spacing w:val="-8"/>
                <w:sz w:val="24"/>
              </w:rPr>
            </w:pPr>
            <w:r>
              <w:rPr>
                <w:rFonts w:hint="eastAsia" w:ascii="宋体" w:hAnsi="宋体" w:cs="宋体"/>
                <w:color w:val="auto"/>
                <w:spacing w:val="-8"/>
                <w:sz w:val="24"/>
              </w:rPr>
              <w:t>其他环境</w:t>
            </w:r>
          </w:p>
          <w:p>
            <w:pPr>
              <w:adjustRightInd w:val="0"/>
              <w:snapToGrid w:val="0"/>
              <w:jc w:val="center"/>
              <w:rPr>
                <w:rFonts w:ascii="宋体" w:hAnsi="宋体" w:cs="宋体"/>
                <w:color w:val="auto"/>
                <w:spacing w:val="-8"/>
                <w:sz w:val="24"/>
              </w:rPr>
            </w:pPr>
            <w:r>
              <w:rPr>
                <w:rFonts w:hint="eastAsia" w:ascii="宋体" w:hAnsi="宋体" w:cs="宋体"/>
                <w:color w:val="auto"/>
                <w:spacing w:val="-8"/>
                <w:sz w:val="24"/>
              </w:rPr>
              <w:t>管理要求</w:t>
            </w:r>
          </w:p>
        </w:tc>
        <w:tc>
          <w:tcPr>
            <w:tcW w:w="7022" w:type="dxa"/>
            <w:gridSpan w:val="4"/>
            <w:vAlign w:val="center"/>
          </w:tcPr>
          <w:p>
            <w:pPr>
              <w:adjustRightInd w:val="0"/>
              <w:snapToGrid w:val="0"/>
              <w:rPr>
                <w:rFonts w:ascii="宋体" w:hAnsi="宋体" w:cs="宋体"/>
                <w:color w:val="auto"/>
                <w:sz w:val="24"/>
              </w:rPr>
            </w:pPr>
            <w:r>
              <w:rPr>
                <w:rFonts w:hint="eastAsia" w:ascii="宋体" w:hAnsi="宋体" w:cs="宋体"/>
                <w:color w:val="auto"/>
                <w:sz w:val="24"/>
              </w:rPr>
              <w:t>本项目运营期由长庆实业集团有限公司</w:t>
            </w:r>
            <w:r>
              <w:rPr>
                <w:rFonts w:hint="eastAsia" w:ascii="宋体" w:hAnsi="宋体" w:cs="宋体"/>
                <w:color w:val="auto"/>
                <w:sz w:val="24"/>
                <w:lang w:eastAsia="zh-CN"/>
              </w:rPr>
              <w:t>小河</w:t>
            </w:r>
            <w:r>
              <w:rPr>
                <w:rFonts w:hint="eastAsia" w:ascii="宋体" w:hAnsi="宋体" w:cs="宋体"/>
                <w:color w:val="auto"/>
                <w:sz w:val="24"/>
              </w:rPr>
              <w:t>作业区统一进行管理，安排专人负责日常巡视，设置专门的安全环保负责人。建设单位应制定运行管理制度及台账管理制度，同时评价要求建设单位日常运营中应按照以下环境管理要求进行生产作业：</w:t>
            </w:r>
          </w:p>
          <w:p>
            <w:pPr>
              <w:adjustRightInd w:val="0"/>
              <w:snapToGrid w:val="0"/>
              <w:rPr>
                <w:rFonts w:ascii="宋体" w:hAnsi="宋体" w:cs="宋体"/>
                <w:color w:val="auto"/>
                <w:sz w:val="24"/>
              </w:rPr>
            </w:pPr>
            <w:r>
              <w:rPr>
                <w:rFonts w:hint="eastAsia" w:ascii="宋体" w:hAnsi="宋体" w:cs="宋体"/>
                <w:color w:val="auto"/>
                <w:sz w:val="24"/>
              </w:rPr>
              <w:t>①评价要求项目建设单位加强暂存点防渗地面的日常维护保养，强化监控手段，定期检查，降低地面破损概率，一旦发现地面破损必须及时补救，以防止</w:t>
            </w:r>
            <w:r>
              <w:rPr>
                <w:rFonts w:hint="eastAsia" w:ascii="宋体" w:hAnsi="宋体" w:cs="宋体"/>
                <w:color w:val="auto"/>
                <w:sz w:val="24"/>
                <w:lang w:val="en-US" w:eastAsia="zh-CN"/>
              </w:rPr>
              <w:t>落地油泥</w:t>
            </w:r>
            <w:r>
              <w:rPr>
                <w:rFonts w:hint="eastAsia" w:ascii="宋体" w:hAnsi="宋体" w:cs="宋体"/>
                <w:color w:val="auto"/>
                <w:sz w:val="24"/>
              </w:rPr>
              <w:t>泄露，对地下水造成污染。</w:t>
            </w:r>
          </w:p>
          <w:p>
            <w:pPr>
              <w:adjustRightInd w:val="0"/>
              <w:snapToGrid w:val="0"/>
              <w:rPr>
                <w:rFonts w:ascii="宋体" w:hAnsi="宋体" w:cs="宋体"/>
                <w:color w:val="auto"/>
                <w:sz w:val="24"/>
              </w:rPr>
            </w:pPr>
            <w:r>
              <w:rPr>
                <w:rFonts w:hint="eastAsia" w:ascii="宋体" w:hAnsi="宋体" w:cs="宋体"/>
                <w:color w:val="auto"/>
                <w:sz w:val="24"/>
              </w:rPr>
              <w:t>②落地油泥运输、转运过程严格执行危险废物转移联单制度，落实环境管理台账制度。</w:t>
            </w:r>
          </w:p>
          <w:p>
            <w:pPr>
              <w:adjustRightInd w:val="0"/>
              <w:snapToGrid w:val="0"/>
              <w:rPr>
                <w:rFonts w:ascii="宋体" w:hAnsi="宋体" w:cs="宋体"/>
                <w:color w:val="auto"/>
                <w:sz w:val="24"/>
              </w:rPr>
            </w:pPr>
            <w:r>
              <w:rPr>
                <w:rFonts w:hint="eastAsia" w:ascii="宋体" w:hAnsi="宋体" w:cs="宋体"/>
                <w:color w:val="auto"/>
                <w:sz w:val="24"/>
              </w:rPr>
              <w:t>③制定暂存点运行及管理制度，制定危险废物接收、转运台账，台账内容应包括接收和转运时间、接收人员、转运人员、危险废物来源、接收量、转运量等内容。</w:t>
            </w:r>
          </w:p>
          <w:p>
            <w:pPr>
              <w:pStyle w:val="7"/>
              <w:rPr>
                <w:rFonts w:ascii="宋体" w:hAnsi="宋体" w:cs="宋体"/>
                <w:color w:val="auto"/>
                <w:sz w:val="24"/>
              </w:rPr>
            </w:pPr>
            <w:r>
              <w:rPr>
                <w:rFonts w:hint="eastAsia" w:ascii="宋体" w:hAnsi="宋体" w:cs="宋体"/>
                <w:color w:val="auto"/>
                <w:sz w:val="24"/>
              </w:rPr>
              <w:t>④按照《危险废物贮存污染控制标准》(GB18597-2023）等标准，在危险废物暂存间周</w:t>
            </w:r>
            <w:r>
              <w:rPr>
                <w:rFonts w:hint="eastAsia" w:ascii="宋体" w:hAnsi="宋体" w:cs="宋体"/>
                <w:color w:val="auto"/>
                <w:sz w:val="24"/>
                <w:lang w:val="en-US" w:eastAsia="zh-CN"/>
              </w:rPr>
              <w:t>根据《</w:t>
            </w:r>
            <w:r>
              <w:rPr>
                <w:rFonts w:hint="eastAsia"/>
                <w:color w:val="auto"/>
              </w:rPr>
              <w:t>危险废物识别标志设置技术规范</w:t>
            </w:r>
            <w:r>
              <w:rPr>
                <w:rFonts w:hint="eastAsia" w:ascii="宋体" w:hAnsi="宋体" w:cs="宋体"/>
                <w:color w:val="auto"/>
                <w:sz w:val="24"/>
                <w:lang w:val="en-US" w:eastAsia="zh-CN"/>
              </w:rPr>
              <w:t>》</w:t>
            </w:r>
            <w:r>
              <w:rPr>
                <w:rFonts w:hint="eastAsia"/>
                <w:color w:val="auto"/>
              </w:rPr>
              <w:t>(HJ 1276</w:t>
            </w:r>
            <w:r>
              <w:rPr>
                <w:rFonts w:hint="eastAsia"/>
                <w:color w:val="auto"/>
                <w:lang w:val="en-US" w:eastAsia="zh-CN"/>
              </w:rPr>
              <w:t>-</w:t>
            </w:r>
            <w:r>
              <w:rPr>
                <w:rFonts w:hint="eastAsia"/>
                <w:color w:val="auto"/>
              </w:rPr>
              <w:t>2022)</w:t>
            </w:r>
            <w:r>
              <w:rPr>
                <w:rFonts w:hint="eastAsia" w:ascii="宋体" w:hAnsi="宋体" w:cs="宋体"/>
                <w:color w:val="auto"/>
                <w:sz w:val="24"/>
              </w:rPr>
              <w:t>设置危险废物暂存场所标志等制度。</w:t>
            </w:r>
          </w:p>
          <w:p>
            <w:pPr>
              <w:adjustRightInd w:val="0"/>
              <w:snapToGrid w:val="0"/>
              <w:rPr>
                <w:rFonts w:ascii="宋体" w:hAnsi="宋体" w:cs="宋体"/>
                <w:color w:val="auto"/>
                <w:sz w:val="24"/>
              </w:rPr>
            </w:pPr>
            <w:r>
              <w:rPr>
                <w:rFonts w:hint="eastAsia" w:ascii="宋体" w:hAnsi="宋体" w:cs="宋体"/>
                <w:color w:val="auto"/>
                <w:sz w:val="24"/>
              </w:rPr>
              <w:t>⑤暂存的落地油泥应及时转运处置，不得储存超过3个月。</w:t>
            </w:r>
          </w:p>
          <w:p>
            <w:pPr>
              <w:adjustRightInd w:val="0"/>
              <w:snapToGrid w:val="0"/>
              <w:rPr>
                <w:rFonts w:ascii="宋体" w:hAnsi="宋体" w:cs="宋体"/>
                <w:color w:val="auto"/>
                <w:sz w:val="24"/>
              </w:rPr>
            </w:pPr>
            <w:r>
              <w:rPr>
                <w:rFonts w:hint="eastAsia" w:ascii="宋体" w:hAnsi="宋体" w:cs="宋体"/>
                <w:color w:val="auto"/>
                <w:sz w:val="24"/>
              </w:rPr>
              <w:t>⑥本项目落地油泥的运输须按照《危险废物收集贮存运输技术规范》(HI2025-2012）中的要求进行运输，由有资质的运输企业承担，驾驶人员必须持证上岗。运输车辆应当保持功能齐备、完好和车身整洁。运输</w:t>
            </w:r>
            <w:r>
              <w:rPr>
                <w:rFonts w:hint="eastAsia" w:ascii="宋体" w:hAnsi="宋体" w:cs="宋体"/>
                <w:color w:val="auto"/>
                <w:sz w:val="24"/>
                <w:lang w:val="en-US" w:eastAsia="zh-CN"/>
              </w:rPr>
              <w:t>落地油泥</w:t>
            </w:r>
            <w:r>
              <w:rPr>
                <w:rFonts w:hint="eastAsia" w:ascii="宋体" w:hAnsi="宋体" w:cs="宋体"/>
                <w:color w:val="auto"/>
                <w:sz w:val="24"/>
              </w:rPr>
              <w:t>时不得沿途泄漏、遗撒和倾倒。</w:t>
            </w:r>
          </w:p>
          <w:p>
            <w:pPr>
              <w:adjustRightInd w:val="0"/>
              <w:snapToGrid w:val="0"/>
              <w:rPr>
                <w:rFonts w:ascii="宋体" w:hAnsi="宋体" w:cs="宋体"/>
                <w:color w:val="auto"/>
                <w:sz w:val="24"/>
              </w:rPr>
            </w:pPr>
            <w:r>
              <w:rPr>
                <w:rFonts w:hint="eastAsia" w:ascii="宋体" w:hAnsi="宋体" w:cs="宋体"/>
                <w:color w:val="auto"/>
                <w:sz w:val="24"/>
              </w:rPr>
              <w:t>⑦暂存点内应配备一定数量的专用包装袋，落地油泥在转运、储存过程中若发现包装袋破损，应及时采用新的包装袋重新包装。</w:t>
            </w:r>
          </w:p>
          <w:p>
            <w:pPr>
              <w:adjustRightInd w:val="0"/>
              <w:snapToGrid w:val="0"/>
              <w:rPr>
                <w:rFonts w:ascii="宋体" w:hAnsi="宋体" w:cs="宋体"/>
                <w:color w:val="auto"/>
                <w:sz w:val="24"/>
              </w:rPr>
            </w:pPr>
            <w:r>
              <w:rPr>
                <w:rFonts w:hint="eastAsia" w:ascii="宋体" w:hAnsi="宋体" w:cs="宋体"/>
                <w:color w:val="auto"/>
                <w:sz w:val="24"/>
              </w:rPr>
              <w:t>⑧定期对暂存点周围的雨水导排路径进行清理，保证雨水流畅导入雨水收集池。</w:t>
            </w:r>
          </w:p>
          <w:p>
            <w:pPr>
              <w:adjustRightInd w:val="0"/>
              <w:snapToGrid w:val="0"/>
              <w:rPr>
                <w:rFonts w:hint="eastAsia"/>
                <w:color w:val="auto"/>
                <w:kern w:val="0"/>
                <w:sz w:val="24"/>
                <w:szCs w:val="24"/>
                <w:lang w:eastAsia="zh-CN"/>
              </w:rPr>
            </w:pPr>
            <w:r>
              <w:rPr>
                <w:rFonts w:hint="eastAsia" w:ascii="宋体" w:hAnsi="宋体" w:cs="宋体"/>
                <w:color w:val="auto"/>
                <w:sz w:val="24"/>
              </w:rPr>
              <w:t>⑨</w:t>
            </w:r>
            <w:r>
              <w:rPr>
                <w:rFonts w:hint="eastAsia" w:eastAsia="宋体"/>
                <w:color w:val="auto"/>
                <w:sz w:val="24"/>
                <w:szCs w:val="32"/>
                <w:lang w:val="en-US" w:eastAsia="zh-CN"/>
              </w:rPr>
              <w:t>评价要求加强集油槽和污油池</w:t>
            </w:r>
            <w:r>
              <w:rPr>
                <w:rFonts w:hint="eastAsia"/>
                <w:color w:val="auto"/>
                <w:sz w:val="24"/>
                <w:szCs w:val="24"/>
                <w:lang w:val="en-US" w:eastAsia="zh-CN"/>
              </w:rPr>
              <w:t>的维护，确保防渗措施达到</w:t>
            </w:r>
            <w:r>
              <w:rPr>
                <w:color w:val="auto"/>
                <w:kern w:val="0"/>
                <w:sz w:val="24"/>
                <w:szCs w:val="24"/>
              </w:rPr>
              <w:t>等效黏土防渗层Mb≥6.0m</w:t>
            </w:r>
            <w:r>
              <w:rPr>
                <w:rFonts w:hint="eastAsia"/>
                <w:color w:val="auto"/>
                <w:kern w:val="0"/>
                <w:sz w:val="24"/>
                <w:szCs w:val="24"/>
                <w:lang w:eastAsia="zh-CN"/>
              </w:rPr>
              <w:t>、</w:t>
            </w:r>
            <w:r>
              <w:rPr>
                <w:color w:val="auto"/>
                <w:kern w:val="0"/>
                <w:sz w:val="24"/>
                <w:szCs w:val="24"/>
              </w:rPr>
              <w:t>K≤1×10</w:t>
            </w:r>
            <w:r>
              <w:rPr>
                <w:color w:val="auto"/>
                <w:kern w:val="0"/>
                <w:sz w:val="24"/>
                <w:szCs w:val="24"/>
                <w:vertAlign w:val="superscript"/>
              </w:rPr>
              <w:t>-7</w:t>
            </w:r>
            <w:r>
              <w:rPr>
                <w:color w:val="auto"/>
                <w:kern w:val="0"/>
                <w:sz w:val="24"/>
                <w:szCs w:val="24"/>
              </w:rPr>
              <w:t>cm/s</w:t>
            </w:r>
            <w:r>
              <w:rPr>
                <w:rFonts w:hint="eastAsia" w:eastAsia="宋体"/>
                <w:color w:val="auto"/>
                <w:sz w:val="24"/>
                <w:szCs w:val="24"/>
                <w:lang w:val="en-US" w:eastAsia="zh-CN"/>
              </w:rPr>
              <w:t>或</w:t>
            </w:r>
            <w:r>
              <w:rPr>
                <w:color w:val="auto"/>
                <w:kern w:val="0"/>
                <w:sz w:val="24"/>
                <w:szCs w:val="24"/>
              </w:rPr>
              <w:t>参照GB</w:t>
            </w:r>
            <w:r>
              <w:rPr>
                <w:rFonts w:hint="eastAsia"/>
                <w:color w:val="auto"/>
                <w:kern w:val="0"/>
                <w:sz w:val="24"/>
                <w:szCs w:val="24"/>
                <w:lang w:val="en-US" w:eastAsia="zh-CN"/>
              </w:rPr>
              <w:t xml:space="preserve"> </w:t>
            </w:r>
            <w:r>
              <w:rPr>
                <w:color w:val="auto"/>
                <w:kern w:val="0"/>
                <w:sz w:val="24"/>
                <w:szCs w:val="24"/>
              </w:rPr>
              <w:t>18598执行</w:t>
            </w:r>
            <w:r>
              <w:rPr>
                <w:rFonts w:hint="eastAsia"/>
                <w:color w:val="auto"/>
                <w:kern w:val="0"/>
                <w:sz w:val="24"/>
                <w:szCs w:val="24"/>
                <w:lang w:val="en-US" w:eastAsia="zh-CN"/>
              </w:rPr>
              <w:t>的</w:t>
            </w:r>
            <w:r>
              <w:rPr>
                <w:rFonts w:hint="eastAsia" w:ascii="宋体" w:hAnsi="宋体"/>
                <w:bCs/>
                <w:color w:val="auto"/>
                <w:spacing w:val="10"/>
                <w:sz w:val="24"/>
                <w:szCs w:val="24"/>
              </w:rPr>
              <w:t>防渗等级</w:t>
            </w:r>
            <w:r>
              <w:rPr>
                <w:rFonts w:hint="eastAsia"/>
                <w:color w:val="auto"/>
                <w:kern w:val="0"/>
                <w:sz w:val="24"/>
                <w:szCs w:val="24"/>
                <w:lang w:val="en-US" w:eastAsia="zh-CN"/>
              </w:rPr>
              <w:t>要求</w:t>
            </w:r>
            <w:r>
              <w:rPr>
                <w:rFonts w:hint="eastAsia"/>
                <w:color w:val="auto"/>
                <w:kern w:val="0"/>
                <w:sz w:val="24"/>
                <w:szCs w:val="24"/>
                <w:lang w:eastAsia="zh-CN"/>
              </w:rPr>
              <w:t>。</w:t>
            </w:r>
          </w:p>
          <w:p>
            <w:pPr>
              <w:adjustRightInd w:val="0"/>
              <w:snapToGrid w:val="0"/>
              <w:rPr>
                <w:rFonts w:hint="eastAsia" w:ascii="宋体" w:hAnsi="宋体" w:eastAsia="宋体" w:cs="宋体"/>
                <w:color w:val="auto"/>
                <w:sz w:val="24"/>
              </w:rPr>
            </w:pPr>
            <w:r>
              <w:rPr>
                <w:rFonts w:hint="eastAsia" w:ascii="宋体" w:hAnsi="宋体" w:eastAsia="宋体" w:cs="宋体"/>
                <w:color w:val="auto"/>
                <w:sz w:val="24"/>
              </w:rPr>
              <w:t>⑩</w:t>
            </w:r>
            <w:r>
              <w:rPr>
                <w:rFonts w:hint="eastAsia" w:ascii="宋体" w:hAnsi="宋体" w:cs="宋体"/>
                <w:color w:val="auto"/>
                <w:sz w:val="24"/>
                <w:szCs w:val="32"/>
              </w:rPr>
              <w:t>评价要求暂存间周围设置雨水导排系统，将暂存点周边的雨水导排至井场内的雨水蒸发池。</w:t>
            </w:r>
            <w:r>
              <w:rPr>
                <w:rFonts w:hint="eastAsia" w:ascii="宋体" w:hAnsi="宋体" w:cs="宋体"/>
                <w:color w:val="auto"/>
                <w:sz w:val="24"/>
                <w:szCs w:val="32"/>
                <w:lang w:val="en-US" w:eastAsia="zh-CN"/>
              </w:rPr>
              <w:t>由于本项目设计墙体顶部与屋檐高度差过大，可能存在雨水流进屋内的情况，评价要求将加宽屋檐并将墙体加高1.5m。</w:t>
            </w:r>
          </w:p>
          <w:p>
            <w:pPr>
              <w:adjustRightInd w:val="0"/>
              <w:snapToGrid w:val="0"/>
              <w:rPr>
                <w:rFonts w:hint="eastAsia" w:ascii="宋体" w:hAnsi="宋体" w:eastAsia="宋体" w:cs="宋体"/>
                <w:color w:val="auto"/>
                <w:sz w:val="24"/>
              </w:rPr>
            </w:pPr>
            <w:r>
              <w:rPr>
                <w:rFonts w:hint="eastAsia" w:ascii="宋体" w:hAnsi="宋体" w:eastAsia="宋体" w:cs="宋体"/>
                <w:color w:val="auto"/>
                <w:sz w:val="24"/>
              </w:rPr>
              <w:t>⑪按照相关职能部门的要求，加强对落地油泥的监管制度、台账制度，实施信息化监控，确保危险废物不流入非法渠道。当企业停止项目运营时，应当对项目场地进行土壤监测，并进行生态修复。</w:t>
            </w: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p>
            <w:pPr>
              <w:pStyle w:val="24"/>
              <w:rPr>
                <w:rFonts w:hint="eastAsia" w:ascii="宋体" w:hAnsi="宋体" w:cs="宋体"/>
                <w:color w:val="auto"/>
                <w:sz w:val="24"/>
              </w:rPr>
            </w:pPr>
          </w:p>
        </w:tc>
      </w:tr>
    </w:tbl>
    <w:p>
      <w:pPr>
        <w:pStyle w:val="16"/>
        <w:jc w:val="center"/>
        <w:outlineLvl w:val="0"/>
        <w:rPr>
          <w:rFonts w:ascii="黑体" w:hAnsi="黑体" w:eastAsia="黑体"/>
          <w:snapToGrid w:val="0"/>
          <w:color w:val="auto"/>
          <w:sz w:val="30"/>
          <w:szCs w:val="30"/>
        </w:rPr>
      </w:pPr>
      <w:r>
        <w:rPr>
          <w:snapToGrid w:val="0"/>
          <w:color w:val="auto"/>
        </w:rPr>
        <w:br w:type="page"/>
      </w:r>
      <w:r>
        <w:rPr>
          <w:rFonts w:hint="eastAsia" w:ascii="黑体" w:hAnsi="黑体" w:eastAsia="黑体"/>
          <w:snapToGrid w:val="0"/>
          <w:color w:val="auto"/>
          <w:sz w:val="30"/>
          <w:szCs w:val="30"/>
        </w:rPr>
        <w:t>六、结论</w:t>
      </w:r>
    </w:p>
    <w:tbl>
      <w:tblPr>
        <w:tblStyle w:val="19"/>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6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991" w:hRule="atLeast"/>
          <w:jc w:val="center"/>
        </w:trPr>
        <w:tc>
          <w:tcPr>
            <w:tcW w:w="8865" w:type="dxa"/>
            <w:vAlign w:val="center"/>
          </w:tcPr>
          <w:p>
            <w:pPr>
              <w:spacing w:line="360" w:lineRule="auto"/>
              <w:ind w:firstLine="480" w:firstLineChars="200"/>
              <w:rPr>
                <w:rFonts w:ascii="宋体" w:cs="宋体"/>
                <w:color w:val="auto"/>
                <w:sz w:val="24"/>
              </w:rPr>
            </w:pPr>
            <w:r>
              <w:rPr>
                <w:rFonts w:hint="eastAsia"/>
                <w:color w:val="auto"/>
                <w:sz w:val="24"/>
              </w:rPr>
              <w:t>本项目符合国家和地方法律、法规、产业政策和相关规划要求，工程选址合理；在认真落实工程设计和报告表提出的各项污染防治、生态保护和风险防范措施的基础上，环境风险可防可控。因此从环境保护角度分析，该项目建设环境影响可行。</w:t>
            </w:r>
          </w:p>
        </w:tc>
      </w:tr>
    </w:tbl>
    <w:p>
      <w:pPr>
        <w:rPr>
          <w:rFonts w:ascii="宋体"/>
          <w:color w:val="auto"/>
        </w:rPr>
        <w:sectPr>
          <w:pgSz w:w="11906" w:h="16838"/>
          <w:pgMar w:top="1701" w:right="1531" w:bottom="1701" w:left="1531" w:header="851" w:footer="851" w:gutter="0"/>
          <w:cols w:space="720" w:num="1"/>
          <w:docGrid w:linePitch="312" w:charSpace="0"/>
        </w:sectPr>
      </w:pPr>
    </w:p>
    <w:p>
      <w:pPr>
        <w:pStyle w:val="16"/>
        <w:adjustRightInd w:val="0"/>
        <w:snapToGrid w:val="0"/>
        <w:spacing w:before="0" w:beforeAutospacing="0" w:after="0" w:afterAutospacing="0" w:line="648" w:lineRule="auto"/>
        <w:outlineLvl w:val="0"/>
        <w:rPr>
          <w:rFonts w:ascii="黑体" w:hAnsi="黑体" w:eastAsia="黑体"/>
          <w:snapToGrid w:val="0"/>
          <w:color w:val="auto"/>
          <w:sz w:val="32"/>
          <w:szCs w:val="32"/>
        </w:rPr>
      </w:pPr>
      <w:r>
        <w:rPr>
          <w:rFonts w:hint="eastAsia" w:ascii="黑体" w:hAnsi="黑体" w:eastAsia="黑体"/>
          <w:snapToGrid w:val="0"/>
          <w:color w:val="auto"/>
          <w:sz w:val="32"/>
          <w:szCs w:val="32"/>
        </w:rPr>
        <w:t>附表</w:t>
      </w:r>
    </w:p>
    <w:p>
      <w:pPr>
        <w:pStyle w:val="16"/>
        <w:adjustRightInd w:val="0"/>
        <w:snapToGrid w:val="0"/>
        <w:spacing w:before="0" w:beforeAutospacing="0" w:after="0" w:afterAutospacing="0" w:line="552" w:lineRule="auto"/>
        <w:jc w:val="center"/>
        <w:outlineLvl w:val="0"/>
        <w:rPr>
          <w:rFonts w:ascii="方正小标宋_GBK" w:hAnsi="黑体" w:eastAsia="方正小标宋_GBK"/>
          <w:snapToGrid w:val="0"/>
          <w:color w:val="auto"/>
          <w:sz w:val="38"/>
          <w:szCs w:val="38"/>
        </w:rPr>
      </w:pPr>
      <w:r>
        <w:rPr>
          <w:rFonts w:hint="eastAsia" w:ascii="方正小标宋_GBK" w:hAnsi="黑体" w:eastAsia="方正小标宋_GBK"/>
          <w:snapToGrid w:val="0"/>
          <w:color w:val="auto"/>
          <w:sz w:val="38"/>
          <w:szCs w:val="38"/>
        </w:rPr>
        <w:t>建设项目污染物排放量汇总表</w:t>
      </w:r>
    </w:p>
    <w:tbl>
      <w:tblPr>
        <w:tblStyle w:val="19"/>
        <w:tblW w:w="0" w:type="auto"/>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588"/>
        <w:gridCol w:w="1417"/>
        <w:gridCol w:w="1701"/>
        <w:gridCol w:w="1276"/>
        <w:gridCol w:w="1701"/>
        <w:gridCol w:w="1559"/>
        <w:gridCol w:w="1761"/>
        <w:gridCol w:w="1959"/>
        <w:gridCol w:w="82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trPr>
        <w:tc>
          <w:tcPr>
            <w:tcW w:w="1588" w:type="dxa"/>
            <w:tcBorders>
              <w:tl2br w:val="single" w:color="auto" w:sz="4" w:space="0"/>
            </w:tcBorders>
            <w:tcMar>
              <w:left w:w="28" w:type="dxa"/>
              <w:right w:w="28" w:type="dxa"/>
            </w:tcMar>
            <w:vAlign w:val="center"/>
          </w:tcPr>
          <w:p>
            <w:pPr>
              <w:pStyle w:val="37"/>
              <w:spacing w:beforeLines="0" w:afterLines="0" w:line="240" w:lineRule="auto"/>
              <w:jc w:val="right"/>
              <w:rPr>
                <w:rFonts w:ascii="黑体" w:hAnsi="黑体" w:eastAsia="黑体" w:cs="宋体"/>
                <w:snapToGrid w:val="0"/>
                <w:color w:val="auto"/>
                <w:spacing w:val="-6"/>
                <w:kern w:val="21"/>
                <w:szCs w:val="21"/>
              </w:rPr>
            </w:pPr>
            <w:r>
              <w:rPr>
                <w:rFonts w:hint="eastAsia" w:ascii="黑体" w:hAnsi="黑体" w:eastAsia="黑体" w:cs="宋体"/>
                <w:snapToGrid w:val="0"/>
                <w:color w:val="auto"/>
                <w:spacing w:val="-6"/>
                <w:kern w:val="21"/>
                <w:szCs w:val="21"/>
              </w:rPr>
              <w:t>项目</w:t>
            </w:r>
          </w:p>
          <w:p>
            <w:pPr>
              <w:pStyle w:val="37"/>
              <w:spacing w:beforeLines="0" w:afterLines="0" w:line="240" w:lineRule="auto"/>
              <w:jc w:val="left"/>
              <w:rPr>
                <w:rFonts w:ascii="黑体" w:hAnsi="黑体" w:eastAsia="黑体" w:cs="宋体"/>
                <w:snapToGrid w:val="0"/>
                <w:color w:val="auto"/>
                <w:spacing w:val="-6"/>
                <w:kern w:val="21"/>
                <w:szCs w:val="21"/>
              </w:rPr>
            </w:pPr>
            <w:r>
              <w:rPr>
                <w:rFonts w:hint="eastAsia" w:ascii="黑体" w:hAnsi="黑体" w:eastAsia="黑体" w:cs="宋体"/>
                <w:snapToGrid w:val="0"/>
                <w:color w:val="auto"/>
                <w:spacing w:val="-6"/>
                <w:kern w:val="21"/>
                <w:szCs w:val="21"/>
              </w:rPr>
              <w:t>分类</w:t>
            </w:r>
          </w:p>
        </w:tc>
        <w:tc>
          <w:tcPr>
            <w:tcW w:w="1417" w:type="dxa"/>
            <w:tcMar>
              <w:left w:w="28" w:type="dxa"/>
              <w:right w:w="28" w:type="dxa"/>
            </w:tcMar>
            <w:vAlign w:val="center"/>
          </w:tcPr>
          <w:p>
            <w:pPr>
              <w:pStyle w:val="37"/>
              <w:spacing w:beforeLines="0" w:afterLines="0" w:line="240" w:lineRule="auto"/>
              <w:rPr>
                <w:rFonts w:ascii="黑体" w:hAnsi="黑体" w:eastAsia="黑体" w:cs="宋体"/>
                <w:snapToGrid w:val="0"/>
                <w:color w:val="auto"/>
                <w:spacing w:val="-6"/>
                <w:kern w:val="21"/>
                <w:szCs w:val="21"/>
              </w:rPr>
            </w:pPr>
            <w:r>
              <w:rPr>
                <w:rFonts w:hint="eastAsia" w:ascii="黑体" w:hAnsi="黑体" w:eastAsia="黑体" w:cs="宋体"/>
                <w:snapToGrid w:val="0"/>
                <w:color w:val="auto"/>
                <w:spacing w:val="-6"/>
                <w:kern w:val="21"/>
                <w:szCs w:val="21"/>
              </w:rPr>
              <w:t>污染物名称</w:t>
            </w:r>
          </w:p>
        </w:tc>
        <w:tc>
          <w:tcPr>
            <w:tcW w:w="1701" w:type="dxa"/>
            <w:tcMar>
              <w:left w:w="28" w:type="dxa"/>
              <w:right w:w="28" w:type="dxa"/>
            </w:tcMar>
            <w:vAlign w:val="center"/>
          </w:tcPr>
          <w:p>
            <w:pPr>
              <w:pStyle w:val="37"/>
              <w:spacing w:beforeLines="0" w:afterLines="0" w:line="240" w:lineRule="auto"/>
              <w:rPr>
                <w:rFonts w:ascii="黑体" w:hAnsi="黑体" w:eastAsia="黑体"/>
                <w:snapToGrid w:val="0"/>
                <w:color w:val="auto"/>
                <w:spacing w:val="-6"/>
                <w:kern w:val="21"/>
                <w:szCs w:val="21"/>
              </w:rPr>
            </w:pPr>
            <w:r>
              <w:rPr>
                <w:rFonts w:ascii="黑体" w:hAnsi="黑体" w:eastAsia="黑体"/>
                <w:snapToGrid w:val="0"/>
                <w:color w:val="auto"/>
                <w:spacing w:val="-6"/>
                <w:kern w:val="21"/>
                <w:szCs w:val="21"/>
              </w:rPr>
              <w:t>现有工程</w:t>
            </w:r>
          </w:p>
          <w:p>
            <w:pPr>
              <w:pStyle w:val="37"/>
              <w:spacing w:beforeLines="0" w:afterLines="0" w:line="240" w:lineRule="auto"/>
              <w:rPr>
                <w:rFonts w:ascii="黑体" w:hAnsi="黑体" w:eastAsia="黑体"/>
                <w:snapToGrid w:val="0"/>
                <w:color w:val="auto"/>
                <w:spacing w:val="-6"/>
                <w:kern w:val="21"/>
                <w:szCs w:val="21"/>
              </w:rPr>
            </w:pPr>
            <w:r>
              <w:rPr>
                <w:rFonts w:ascii="黑体" w:hAnsi="黑体" w:eastAsia="黑体"/>
                <w:snapToGrid w:val="0"/>
                <w:color w:val="auto"/>
                <w:spacing w:val="-6"/>
                <w:kern w:val="21"/>
                <w:szCs w:val="21"/>
              </w:rPr>
              <w:t>排放量（固</w:t>
            </w:r>
            <w:r>
              <w:rPr>
                <w:rFonts w:hint="eastAsia" w:ascii="黑体" w:hAnsi="黑体" w:eastAsia="黑体"/>
                <w:snapToGrid w:val="0"/>
                <w:color w:val="auto"/>
                <w:spacing w:val="-6"/>
                <w:kern w:val="21"/>
                <w:szCs w:val="21"/>
              </w:rPr>
              <w:t>体</w:t>
            </w:r>
            <w:r>
              <w:rPr>
                <w:rFonts w:ascii="黑体" w:hAnsi="黑体" w:eastAsia="黑体"/>
                <w:snapToGrid w:val="0"/>
                <w:color w:val="auto"/>
                <w:spacing w:val="-6"/>
                <w:kern w:val="21"/>
                <w:szCs w:val="21"/>
              </w:rPr>
              <w:t>废</w:t>
            </w:r>
            <w:r>
              <w:rPr>
                <w:rFonts w:hint="eastAsia" w:ascii="黑体" w:hAnsi="黑体" w:eastAsia="黑体"/>
                <w:snapToGrid w:val="0"/>
                <w:color w:val="auto"/>
                <w:spacing w:val="-6"/>
                <w:kern w:val="21"/>
                <w:szCs w:val="21"/>
              </w:rPr>
              <w:t>物</w:t>
            </w:r>
            <w:r>
              <w:rPr>
                <w:rFonts w:ascii="黑体" w:hAnsi="黑体" w:eastAsia="黑体"/>
                <w:snapToGrid w:val="0"/>
                <w:color w:val="auto"/>
                <w:spacing w:val="-6"/>
                <w:kern w:val="21"/>
                <w:szCs w:val="21"/>
              </w:rPr>
              <w:t>产生量）</w:t>
            </w:r>
            <w:r>
              <w:rPr>
                <w:rFonts w:ascii="黑体" w:hAnsi="黑体" w:eastAsia="黑体"/>
                <w:snapToGrid w:val="0"/>
                <w:color w:val="auto"/>
                <w:spacing w:val="-6"/>
                <w:kern w:val="21"/>
                <w:szCs w:val="21"/>
              </w:rPr>
              <w:fldChar w:fldCharType="begin"/>
            </w:r>
            <w:r>
              <w:rPr>
                <w:rFonts w:ascii="黑体" w:hAnsi="黑体" w:eastAsia="黑体"/>
                <w:snapToGrid w:val="0"/>
                <w:color w:val="auto"/>
                <w:spacing w:val="-6"/>
                <w:kern w:val="21"/>
                <w:szCs w:val="21"/>
              </w:rPr>
              <w:instrText xml:space="preserve"> = 1 \* GB3 \* MERGEFORMAT </w:instrText>
            </w:r>
            <w:r>
              <w:rPr>
                <w:rFonts w:ascii="黑体" w:hAnsi="黑体" w:eastAsia="黑体"/>
                <w:snapToGrid w:val="0"/>
                <w:color w:val="auto"/>
                <w:spacing w:val="-6"/>
                <w:kern w:val="21"/>
                <w:szCs w:val="21"/>
              </w:rPr>
              <w:fldChar w:fldCharType="separate"/>
            </w:r>
            <w:r>
              <w:rPr>
                <w:rFonts w:hint="eastAsia" w:ascii="黑体" w:hAnsi="黑体" w:eastAsia="黑体" w:cs="宋体"/>
                <w:color w:val="auto"/>
                <w:kern w:val="2"/>
                <w:szCs w:val="21"/>
              </w:rPr>
              <w:t>①</w:t>
            </w:r>
            <w:r>
              <w:rPr>
                <w:rFonts w:ascii="黑体" w:hAnsi="黑体" w:eastAsia="黑体"/>
                <w:snapToGrid w:val="0"/>
                <w:color w:val="auto"/>
                <w:spacing w:val="-6"/>
                <w:kern w:val="21"/>
                <w:szCs w:val="21"/>
              </w:rPr>
              <w:fldChar w:fldCharType="end"/>
            </w:r>
          </w:p>
        </w:tc>
        <w:tc>
          <w:tcPr>
            <w:tcW w:w="1276" w:type="dxa"/>
            <w:tcMar>
              <w:left w:w="28" w:type="dxa"/>
              <w:right w:w="28" w:type="dxa"/>
            </w:tcMar>
            <w:vAlign w:val="center"/>
          </w:tcPr>
          <w:p>
            <w:pPr>
              <w:pStyle w:val="37"/>
              <w:spacing w:beforeLines="0" w:afterLines="0" w:line="240" w:lineRule="auto"/>
              <w:rPr>
                <w:rFonts w:ascii="黑体" w:hAnsi="黑体" w:eastAsia="黑体"/>
                <w:snapToGrid w:val="0"/>
                <w:color w:val="auto"/>
                <w:spacing w:val="-6"/>
                <w:kern w:val="21"/>
                <w:szCs w:val="21"/>
              </w:rPr>
            </w:pPr>
            <w:r>
              <w:rPr>
                <w:rFonts w:ascii="黑体" w:hAnsi="黑体" w:eastAsia="黑体"/>
                <w:snapToGrid w:val="0"/>
                <w:color w:val="auto"/>
                <w:spacing w:val="-6"/>
                <w:kern w:val="21"/>
                <w:szCs w:val="21"/>
              </w:rPr>
              <w:t>现有工程</w:t>
            </w:r>
          </w:p>
          <w:p>
            <w:pPr>
              <w:pStyle w:val="37"/>
              <w:spacing w:beforeLines="0" w:afterLines="0" w:line="240" w:lineRule="auto"/>
              <w:rPr>
                <w:rFonts w:ascii="黑体" w:hAnsi="黑体" w:eastAsia="黑体"/>
                <w:snapToGrid w:val="0"/>
                <w:color w:val="auto"/>
                <w:spacing w:val="-6"/>
                <w:kern w:val="21"/>
                <w:szCs w:val="21"/>
              </w:rPr>
            </w:pPr>
            <w:r>
              <w:rPr>
                <w:rFonts w:ascii="黑体" w:hAnsi="黑体" w:eastAsia="黑体"/>
                <w:snapToGrid w:val="0"/>
                <w:color w:val="auto"/>
                <w:spacing w:val="-6"/>
                <w:kern w:val="21"/>
                <w:szCs w:val="21"/>
              </w:rPr>
              <w:t>许可排放量</w:t>
            </w:r>
          </w:p>
          <w:p>
            <w:pPr>
              <w:pStyle w:val="37"/>
              <w:spacing w:beforeLines="0" w:afterLines="0"/>
              <w:rPr>
                <w:rFonts w:ascii="黑体" w:hAnsi="黑体" w:eastAsia="黑体"/>
                <w:snapToGrid w:val="0"/>
                <w:color w:val="auto"/>
                <w:spacing w:val="-6"/>
                <w:kern w:val="21"/>
                <w:szCs w:val="21"/>
              </w:rPr>
            </w:pPr>
            <w:r>
              <w:rPr>
                <w:rFonts w:ascii="黑体" w:hAnsi="黑体" w:eastAsia="黑体"/>
                <w:snapToGrid w:val="0"/>
                <w:color w:val="auto"/>
                <w:spacing w:val="-6"/>
                <w:kern w:val="21"/>
                <w:szCs w:val="21"/>
              </w:rPr>
              <w:fldChar w:fldCharType="begin"/>
            </w:r>
            <w:r>
              <w:rPr>
                <w:rFonts w:ascii="黑体" w:hAnsi="黑体" w:eastAsia="黑体"/>
                <w:snapToGrid w:val="0"/>
                <w:color w:val="auto"/>
                <w:spacing w:val="-6"/>
                <w:kern w:val="21"/>
                <w:szCs w:val="21"/>
              </w:rPr>
              <w:instrText xml:space="preserve"> = 2 \* GB3 \* MERGEFORMAT </w:instrText>
            </w:r>
            <w:r>
              <w:rPr>
                <w:rFonts w:ascii="黑体" w:hAnsi="黑体" w:eastAsia="黑体"/>
                <w:snapToGrid w:val="0"/>
                <w:color w:val="auto"/>
                <w:spacing w:val="-6"/>
                <w:kern w:val="21"/>
                <w:szCs w:val="21"/>
              </w:rPr>
              <w:fldChar w:fldCharType="separate"/>
            </w:r>
            <w:r>
              <w:rPr>
                <w:rFonts w:hint="eastAsia" w:ascii="黑体" w:hAnsi="黑体" w:eastAsia="黑体" w:cs="宋体"/>
                <w:snapToGrid w:val="0"/>
                <w:color w:val="auto"/>
                <w:spacing w:val="-6"/>
                <w:kern w:val="21"/>
                <w:szCs w:val="21"/>
              </w:rPr>
              <w:t>②</w:t>
            </w:r>
            <w:r>
              <w:rPr>
                <w:rFonts w:ascii="黑体" w:hAnsi="黑体" w:eastAsia="黑体"/>
                <w:snapToGrid w:val="0"/>
                <w:color w:val="auto"/>
                <w:spacing w:val="-6"/>
                <w:kern w:val="21"/>
                <w:szCs w:val="21"/>
              </w:rPr>
              <w:fldChar w:fldCharType="end"/>
            </w:r>
          </w:p>
        </w:tc>
        <w:tc>
          <w:tcPr>
            <w:tcW w:w="1701" w:type="dxa"/>
            <w:tcMar>
              <w:left w:w="28" w:type="dxa"/>
              <w:right w:w="28" w:type="dxa"/>
            </w:tcMar>
            <w:vAlign w:val="center"/>
          </w:tcPr>
          <w:p>
            <w:pPr>
              <w:pStyle w:val="37"/>
              <w:spacing w:beforeLines="0" w:afterLines="0" w:line="240" w:lineRule="auto"/>
              <w:rPr>
                <w:rFonts w:ascii="黑体" w:hAnsi="黑体" w:eastAsia="黑体"/>
                <w:snapToGrid w:val="0"/>
                <w:color w:val="auto"/>
                <w:spacing w:val="-6"/>
                <w:kern w:val="21"/>
                <w:szCs w:val="21"/>
              </w:rPr>
            </w:pPr>
            <w:r>
              <w:rPr>
                <w:rFonts w:ascii="黑体" w:hAnsi="黑体" w:eastAsia="黑体"/>
                <w:snapToGrid w:val="0"/>
                <w:color w:val="auto"/>
                <w:spacing w:val="-6"/>
                <w:kern w:val="21"/>
                <w:szCs w:val="21"/>
              </w:rPr>
              <w:t>在建工程</w:t>
            </w:r>
          </w:p>
          <w:p>
            <w:pPr>
              <w:pStyle w:val="37"/>
              <w:spacing w:beforeLines="0" w:afterLines="0" w:line="240" w:lineRule="auto"/>
              <w:rPr>
                <w:rFonts w:ascii="黑体" w:hAnsi="黑体" w:eastAsia="黑体"/>
                <w:snapToGrid w:val="0"/>
                <w:color w:val="auto"/>
                <w:spacing w:val="-6"/>
                <w:kern w:val="21"/>
                <w:szCs w:val="21"/>
              </w:rPr>
            </w:pPr>
            <w:r>
              <w:rPr>
                <w:rFonts w:ascii="黑体" w:hAnsi="黑体" w:eastAsia="黑体"/>
                <w:snapToGrid w:val="0"/>
                <w:color w:val="auto"/>
                <w:spacing w:val="-6"/>
                <w:kern w:val="21"/>
                <w:szCs w:val="21"/>
              </w:rPr>
              <w:t>排放量（固</w:t>
            </w:r>
            <w:r>
              <w:rPr>
                <w:rFonts w:hint="eastAsia" w:ascii="黑体" w:hAnsi="黑体" w:eastAsia="黑体"/>
                <w:snapToGrid w:val="0"/>
                <w:color w:val="auto"/>
                <w:spacing w:val="-6"/>
                <w:kern w:val="21"/>
                <w:szCs w:val="21"/>
              </w:rPr>
              <w:t>体</w:t>
            </w:r>
            <w:r>
              <w:rPr>
                <w:rFonts w:ascii="黑体" w:hAnsi="黑体" w:eastAsia="黑体"/>
                <w:snapToGrid w:val="0"/>
                <w:color w:val="auto"/>
                <w:spacing w:val="-6"/>
                <w:kern w:val="21"/>
                <w:szCs w:val="21"/>
              </w:rPr>
              <w:t>废</w:t>
            </w:r>
            <w:r>
              <w:rPr>
                <w:rFonts w:hint="eastAsia" w:ascii="黑体" w:hAnsi="黑体" w:eastAsia="黑体"/>
                <w:snapToGrid w:val="0"/>
                <w:color w:val="auto"/>
                <w:spacing w:val="-6"/>
                <w:kern w:val="21"/>
                <w:szCs w:val="21"/>
              </w:rPr>
              <w:t>物</w:t>
            </w:r>
            <w:r>
              <w:rPr>
                <w:rFonts w:ascii="黑体" w:hAnsi="黑体" w:eastAsia="黑体"/>
                <w:snapToGrid w:val="0"/>
                <w:color w:val="auto"/>
                <w:spacing w:val="-6"/>
                <w:kern w:val="21"/>
                <w:szCs w:val="21"/>
              </w:rPr>
              <w:t>产生量）</w:t>
            </w:r>
            <w:r>
              <w:rPr>
                <w:rFonts w:ascii="黑体" w:hAnsi="黑体" w:eastAsia="黑体"/>
                <w:snapToGrid w:val="0"/>
                <w:color w:val="auto"/>
                <w:spacing w:val="-6"/>
                <w:kern w:val="21"/>
                <w:szCs w:val="21"/>
              </w:rPr>
              <w:fldChar w:fldCharType="begin"/>
            </w:r>
            <w:r>
              <w:rPr>
                <w:rFonts w:ascii="黑体" w:hAnsi="黑体" w:eastAsia="黑体"/>
                <w:snapToGrid w:val="0"/>
                <w:color w:val="auto"/>
                <w:spacing w:val="-6"/>
                <w:kern w:val="21"/>
                <w:szCs w:val="21"/>
              </w:rPr>
              <w:instrText xml:space="preserve"> = 3 \* GB3 \* MERGEFORMAT </w:instrText>
            </w:r>
            <w:r>
              <w:rPr>
                <w:rFonts w:ascii="黑体" w:hAnsi="黑体" w:eastAsia="黑体"/>
                <w:snapToGrid w:val="0"/>
                <w:color w:val="auto"/>
                <w:spacing w:val="-6"/>
                <w:kern w:val="21"/>
                <w:szCs w:val="21"/>
              </w:rPr>
              <w:fldChar w:fldCharType="separate"/>
            </w:r>
            <w:r>
              <w:rPr>
                <w:rFonts w:hint="eastAsia" w:ascii="黑体" w:hAnsi="黑体" w:eastAsia="黑体" w:cs="宋体"/>
                <w:color w:val="auto"/>
                <w:kern w:val="2"/>
                <w:szCs w:val="21"/>
              </w:rPr>
              <w:t>③</w:t>
            </w:r>
            <w:r>
              <w:rPr>
                <w:rFonts w:ascii="黑体" w:hAnsi="黑体" w:eastAsia="黑体"/>
                <w:snapToGrid w:val="0"/>
                <w:color w:val="auto"/>
                <w:spacing w:val="-6"/>
                <w:kern w:val="21"/>
                <w:szCs w:val="21"/>
              </w:rPr>
              <w:fldChar w:fldCharType="end"/>
            </w:r>
          </w:p>
        </w:tc>
        <w:tc>
          <w:tcPr>
            <w:tcW w:w="1559" w:type="dxa"/>
            <w:tcMar>
              <w:left w:w="28" w:type="dxa"/>
              <w:right w:w="28" w:type="dxa"/>
            </w:tcMar>
            <w:vAlign w:val="center"/>
          </w:tcPr>
          <w:p>
            <w:pPr>
              <w:pStyle w:val="37"/>
              <w:spacing w:beforeLines="0" w:afterLines="0" w:line="240" w:lineRule="auto"/>
              <w:rPr>
                <w:rFonts w:ascii="黑体" w:hAnsi="黑体" w:eastAsia="黑体"/>
                <w:snapToGrid w:val="0"/>
                <w:color w:val="auto"/>
                <w:spacing w:val="-6"/>
                <w:kern w:val="21"/>
                <w:szCs w:val="21"/>
              </w:rPr>
            </w:pPr>
            <w:r>
              <w:rPr>
                <w:rFonts w:ascii="黑体" w:hAnsi="黑体" w:eastAsia="黑体"/>
                <w:snapToGrid w:val="0"/>
                <w:color w:val="auto"/>
                <w:spacing w:val="-6"/>
                <w:kern w:val="21"/>
                <w:szCs w:val="21"/>
              </w:rPr>
              <w:t>本项目</w:t>
            </w:r>
          </w:p>
          <w:p>
            <w:pPr>
              <w:pStyle w:val="37"/>
              <w:spacing w:beforeLines="0" w:afterLines="0" w:line="240" w:lineRule="auto"/>
              <w:rPr>
                <w:rFonts w:ascii="黑体" w:hAnsi="黑体" w:eastAsia="黑体"/>
                <w:snapToGrid w:val="0"/>
                <w:color w:val="auto"/>
                <w:spacing w:val="-6"/>
                <w:kern w:val="21"/>
                <w:szCs w:val="21"/>
              </w:rPr>
            </w:pPr>
            <w:r>
              <w:rPr>
                <w:rFonts w:ascii="黑体" w:hAnsi="黑体" w:eastAsia="黑体"/>
                <w:snapToGrid w:val="0"/>
                <w:color w:val="auto"/>
                <w:spacing w:val="-6"/>
                <w:kern w:val="21"/>
                <w:szCs w:val="21"/>
              </w:rPr>
              <w:t>排放量（固</w:t>
            </w:r>
            <w:r>
              <w:rPr>
                <w:rFonts w:hint="eastAsia" w:ascii="黑体" w:hAnsi="黑体" w:eastAsia="黑体"/>
                <w:snapToGrid w:val="0"/>
                <w:color w:val="auto"/>
                <w:spacing w:val="-6"/>
                <w:kern w:val="21"/>
                <w:szCs w:val="21"/>
              </w:rPr>
              <w:t>体</w:t>
            </w:r>
            <w:r>
              <w:rPr>
                <w:rFonts w:ascii="黑体" w:hAnsi="黑体" w:eastAsia="黑体"/>
                <w:snapToGrid w:val="0"/>
                <w:color w:val="auto"/>
                <w:spacing w:val="-6"/>
                <w:kern w:val="21"/>
                <w:szCs w:val="21"/>
              </w:rPr>
              <w:t>废</w:t>
            </w:r>
            <w:r>
              <w:rPr>
                <w:rFonts w:hint="eastAsia" w:ascii="黑体" w:hAnsi="黑体" w:eastAsia="黑体"/>
                <w:snapToGrid w:val="0"/>
                <w:color w:val="auto"/>
                <w:spacing w:val="-6"/>
                <w:kern w:val="21"/>
                <w:szCs w:val="21"/>
              </w:rPr>
              <w:t>物</w:t>
            </w:r>
            <w:r>
              <w:rPr>
                <w:rFonts w:ascii="黑体" w:hAnsi="黑体" w:eastAsia="黑体"/>
                <w:snapToGrid w:val="0"/>
                <w:color w:val="auto"/>
                <w:spacing w:val="-6"/>
                <w:kern w:val="21"/>
                <w:szCs w:val="21"/>
              </w:rPr>
              <w:t>产生量）</w:t>
            </w:r>
            <w:r>
              <w:rPr>
                <w:rFonts w:ascii="黑体" w:hAnsi="黑体" w:eastAsia="黑体"/>
                <w:snapToGrid w:val="0"/>
                <w:color w:val="auto"/>
                <w:spacing w:val="-6"/>
                <w:kern w:val="21"/>
                <w:szCs w:val="21"/>
              </w:rPr>
              <w:fldChar w:fldCharType="begin"/>
            </w:r>
            <w:r>
              <w:rPr>
                <w:rFonts w:ascii="黑体" w:hAnsi="黑体" w:eastAsia="黑体"/>
                <w:snapToGrid w:val="0"/>
                <w:color w:val="auto"/>
                <w:spacing w:val="-6"/>
                <w:kern w:val="21"/>
                <w:szCs w:val="21"/>
              </w:rPr>
              <w:instrText xml:space="preserve"> = 4 \* GB3 \* MERGEFORMAT </w:instrText>
            </w:r>
            <w:r>
              <w:rPr>
                <w:rFonts w:ascii="黑体" w:hAnsi="黑体" w:eastAsia="黑体"/>
                <w:snapToGrid w:val="0"/>
                <w:color w:val="auto"/>
                <w:spacing w:val="-6"/>
                <w:kern w:val="21"/>
                <w:szCs w:val="21"/>
              </w:rPr>
              <w:fldChar w:fldCharType="separate"/>
            </w:r>
            <w:r>
              <w:rPr>
                <w:rFonts w:hint="eastAsia" w:ascii="黑体" w:hAnsi="黑体" w:eastAsia="黑体" w:cs="宋体"/>
                <w:color w:val="auto"/>
                <w:kern w:val="2"/>
                <w:szCs w:val="21"/>
              </w:rPr>
              <w:t>④</w:t>
            </w:r>
            <w:r>
              <w:rPr>
                <w:rFonts w:ascii="黑体" w:hAnsi="黑体" w:eastAsia="黑体"/>
                <w:snapToGrid w:val="0"/>
                <w:color w:val="auto"/>
                <w:spacing w:val="-6"/>
                <w:kern w:val="21"/>
                <w:szCs w:val="21"/>
              </w:rPr>
              <w:fldChar w:fldCharType="end"/>
            </w:r>
          </w:p>
        </w:tc>
        <w:tc>
          <w:tcPr>
            <w:tcW w:w="1761" w:type="dxa"/>
            <w:tcMar>
              <w:left w:w="28" w:type="dxa"/>
              <w:right w:w="28" w:type="dxa"/>
            </w:tcMar>
            <w:vAlign w:val="center"/>
          </w:tcPr>
          <w:p>
            <w:pPr>
              <w:pStyle w:val="37"/>
              <w:spacing w:beforeLines="0" w:afterLines="0" w:line="240" w:lineRule="auto"/>
              <w:rPr>
                <w:rFonts w:ascii="黑体" w:hAnsi="黑体" w:eastAsia="黑体"/>
                <w:snapToGrid w:val="0"/>
                <w:color w:val="auto"/>
                <w:spacing w:val="-16"/>
                <w:kern w:val="21"/>
                <w:szCs w:val="21"/>
              </w:rPr>
            </w:pPr>
            <w:r>
              <w:rPr>
                <w:rFonts w:ascii="黑体" w:hAnsi="黑体" w:eastAsia="黑体"/>
                <w:snapToGrid w:val="0"/>
                <w:color w:val="auto"/>
                <w:spacing w:val="-16"/>
                <w:kern w:val="21"/>
                <w:szCs w:val="21"/>
              </w:rPr>
              <w:t>以新带老削减量</w:t>
            </w:r>
          </w:p>
          <w:p>
            <w:pPr>
              <w:pStyle w:val="37"/>
              <w:spacing w:beforeLines="0" w:afterLines="0" w:line="240" w:lineRule="auto"/>
              <w:rPr>
                <w:rFonts w:ascii="黑体" w:hAnsi="黑体" w:eastAsia="黑体"/>
                <w:snapToGrid w:val="0"/>
                <w:color w:val="auto"/>
                <w:spacing w:val="-16"/>
                <w:kern w:val="21"/>
                <w:szCs w:val="21"/>
              </w:rPr>
            </w:pPr>
            <w:r>
              <w:rPr>
                <w:rFonts w:ascii="黑体" w:hAnsi="黑体" w:eastAsia="黑体"/>
                <w:snapToGrid w:val="0"/>
                <w:color w:val="auto"/>
                <w:spacing w:val="-16"/>
                <w:kern w:val="21"/>
                <w:szCs w:val="21"/>
              </w:rPr>
              <w:t>（新建项目不填）</w:t>
            </w:r>
            <w:r>
              <w:rPr>
                <w:rFonts w:ascii="黑体" w:hAnsi="黑体" w:eastAsia="黑体"/>
                <w:snapToGrid w:val="0"/>
                <w:color w:val="auto"/>
                <w:spacing w:val="-16"/>
                <w:kern w:val="21"/>
                <w:szCs w:val="21"/>
              </w:rPr>
              <w:fldChar w:fldCharType="begin"/>
            </w:r>
            <w:r>
              <w:rPr>
                <w:rFonts w:ascii="黑体" w:hAnsi="黑体" w:eastAsia="黑体"/>
                <w:snapToGrid w:val="0"/>
                <w:color w:val="auto"/>
                <w:spacing w:val="-16"/>
                <w:kern w:val="21"/>
                <w:szCs w:val="21"/>
              </w:rPr>
              <w:instrText xml:space="preserve"> = 5 \* GB3 \* MERGEFORMAT </w:instrText>
            </w:r>
            <w:r>
              <w:rPr>
                <w:rFonts w:ascii="黑体" w:hAnsi="黑体" w:eastAsia="黑体"/>
                <w:snapToGrid w:val="0"/>
                <w:color w:val="auto"/>
                <w:spacing w:val="-16"/>
                <w:kern w:val="21"/>
                <w:szCs w:val="21"/>
              </w:rPr>
              <w:fldChar w:fldCharType="separate"/>
            </w:r>
            <w:r>
              <w:rPr>
                <w:rFonts w:hint="eastAsia" w:ascii="黑体" w:hAnsi="黑体" w:eastAsia="黑体" w:cs="宋体"/>
                <w:color w:val="auto"/>
                <w:kern w:val="2"/>
                <w:szCs w:val="21"/>
              </w:rPr>
              <w:t>⑤</w:t>
            </w:r>
            <w:r>
              <w:rPr>
                <w:rFonts w:ascii="黑体" w:hAnsi="黑体" w:eastAsia="黑体"/>
                <w:snapToGrid w:val="0"/>
                <w:color w:val="auto"/>
                <w:spacing w:val="-16"/>
                <w:kern w:val="21"/>
                <w:szCs w:val="21"/>
              </w:rPr>
              <w:fldChar w:fldCharType="end"/>
            </w:r>
          </w:p>
        </w:tc>
        <w:tc>
          <w:tcPr>
            <w:tcW w:w="1959" w:type="dxa"/>
            <w:tcMar>
              <w:left w:w="28" w:type="dxa"/>
              <w:right w:w="28" w:type="dxa"/>
            </w:tcMar>
            <w:vAlign w:val="center"/>
          </w:tcPr>
          <w:p>
            <w:pPr>
              <w:pStyle w:val="37"/>
              <w:spacing w:beforeLines="0" w:afterLines="0" w:line="240" w:lineRule="auto"/>
              <w:rPr>
                <w:rFonts w:ascii="黑体" w:hAnsi="黑体" w:eastAsia="黑体"/>
                <w:snapToGrid w:val="0"/>
                <w:color w:val="auto"/>
                <w:spacing w:val="-16"/>
                <w:kern w:val="21"/>
                <w:szCs w:val="21"/>
              </w:rPr>
            </w:pPr>
            <w:r>
              <w:rPr>
                <w:rFonts w:ascii="黑体" w:hAnsi="黑体" w:eastAsia="黑体"/>
                <w:snapToGrid w:val="0"/>
                <w:color w:val="auto"/>
                <w:spacing w:val="-16"/>
                <w:kern w:val="21"/>
                <w:szCs w:val="21"/>
              </w:rPr>
              <w:t>本项目建成后</w:t>
            </w:r>
          </w:p>
          <w:p>
            <w:pPr>
              <w:pStyle w:val="37"/>
              <w:spacing w:beforeLines="0" w:afterLines="0" w:line="240" w:lineRule="auto"/>
              <w:rPr>
                <w:rFonts w:ascii="黑体" w:hAnsi="黑体" w:eastAsia="黑体"/>
                <w:snapToGrid w:val="0"/>
                <w:color w:val="auto"/>
                <w:spacing w:val="-16"/>
                <w:kern w:val="21"/>
                <w:szCs w:val="21"/>
              </w:rPr>
            </w:pPr>
            <w:r>
              <w:rPr>
                <w:rFonts w:hint="eastAsia" w:ascii="黑体" w:hAnsi="黑体" w:eastAsia="黑体"/>
                <w:snapToGrid w:val="0"/>
                <w:color w:val="auto"/>
                <w:spacing w:val="-16"/>
                <w:kern w:val="21"/>
                <w:szCs w:val="21"/>
              </w:rPr>
              <w:t>全厂</w:t>
            </w:r>
            <w:r>
              <w:rPr>
                <w:rFonts w:ascii="黑体" w:hAnsi="黑体" w:eastAsia="黑体"/>
                <w:snapToGrid w:val="0"/>
                <w:color w:val="auto"/>
                <w:spacing w:val="-16"/>
                <w:kern w:val="21"/>
                <w:szCs w:val="21"/>
              </w:rPr>
              <w:t>排放量（固</w:t>
            </w:r>
            <w:r>
              <w:rPr>
                <w:rFonts w:hint="eastAsia" w:ascii="黑体" w:hAnsi="黑体" w:eastAsia="黑体"/>
                <w:snapToGrid w:val="0"/>
                <w:color w:val="auto"/>
                <w:spacing w:val="-16"/>
                <w:kern w:val="21"/>
                <w:szCs w:val="21"/>
              </w:rPr>
              <w:t>体</w:t>
            </w:r>
            <w:r>
              <w:rPr>
                <w:rFonts w:ascii="黑体" w:hAnsi="黑体" w:eastAsia="黑体"/>
                <w:snapToGrid w:val="0"/>
                <w:color w:val="auto"/>
                <w:spacing w:val="-16"/>
                <w:kern w:val="21"/>
                <w:szCs w:val="21"/>
              </w:rPr>
              <w:t>废</w:t>
            </w:r>
            <w:r>
              <w:rPr>
                <w:rFonts w:hint="eastAsia" w:ascii="黑体" w:hAnsi="黑体" w:eastAsia="黑体"/>
                <w:snapToGrid w:val="0"/>
                <w:color w:val="auto"/>
                <w:spacing w:val="-16"/>
                <w:kern w:val="21"/>
                <w:szCs w:val="21"/>
              </w:rPr>
              <w:t>物</w:t>
            </w:r>
            <w:r>
              <w:rPr>
                <w:rFonts w:ascii="黑体" w:hAnsi="黑体" w:eastAsia="黑体"/>
                <w:snapToGrid w:val="0"/>
                <w:color w:val="auto"/>
                <w:spacing w:val="-16"/>
                <w:kern w:val="21"/>
                <w:szCs w:val="21"/>
              </w:rPr>
              <w:t>产生量）</w:t>
            </w:r>
            <w:r>
              <w:rPr>
                <w:rFonts w:ascii="黑体" w:hAnsi="黑体" w:eastAsia="黑体"/>
                <w:snapToGrid w:val="0"/>
                <w:color w:val="auto"/>
                <w:spacing w:val="-16"/>
                <w:kern w:val="21"/>
                <w:szCs w:val="21"/>
              </w:rPr>
              <w:fldChar w:fldCharType="begin"/>
            </w:r>
            <w:r>
              <w:rPr>
                <w:rFonts w:ascii="黑体" w:hAnsi="黑体" w:eastAsia="黑体"/>
                <w:snapToGrid w:val="0"/>
                <w:color w:val="auto"/>
                <w:spacing w:val="-16"/>
                <w:kern w:val="21"/>
                <w:szCs w:val="21"/>
              </w:rPr>
              <w:instrText xml:space="preserve"> = 6 \* GB3 \* MERGEFORMAT </w:instrText>
            </w:r>
            <w:r>
              <w:rPr>
                <w:rFonts w:ascii="黑体" w:hAnsi="黑体" w:eastAsia="黑体"/>
                <w:snapToGrid w:val="0"/>
                <w:color w:val="auto"/>
                <w:spacing w:val="-16"/>
                <w:kern w:val="21"/>
                <w:szCs w:val="21"/>
              </w:rPr>
              <w:fldChar w:fldCharType="separate"/>
            </w:r>
            <w:r>
              <w:rPr>
                <w:rFonts w:hint="eastAsia" w:ascii="黑体" w:hAnsi="黑体" w:eastAsia="黑体" w:cs="宋体"/>
                <w:color w:val="auto"/>
                <w:kern w:val="2"/>
                <w:szCs w:val="21"/>
              </w:rPr>
              <w:t>⑥</w:t>
            </w:r>
            <w:r>
              <w:rPr>
                <w:rFonts w:ascii="黑体" w:hAnsi="黑体" w:eastAsia="黑体"/>
                <w:snapToGrid w:val="0"/>
                <w:color w:val="auto"/>
                <w:spacing w:val="-16"/>
                <w:kern w:val="21"/>
                <w:szCs w:val="21"/>
              </w:rPr>
              <w:fldChar w:fldCharType="end"/>
            </w:r>
          </w:p>
        </w:tc>
        <w:tc>
          <w:tcPr>
            <w:tcW w:w="826" w:type="dxa"/>
            <w:tcMar>
              <w:left w:w="28" w:type="dxa"/>
              <w:right w:w="28" w:type="dxa"/>
            </w:tcMar>
            <w:vAlign w:val="center"/>
          </w:tcPr>
          <w:p>
            <w:pPr>
              <w:pStyle w:val="37"/>
              <w:spacing w:beforeLines="0" w:afterLines="0" w:line="240" w:lineRule="auto"/>
              <w:rPr>
                <w:rFonts w:ascii="黑体" w:hAnsi="黑体" w:eastAsia="黑体"/>
                <w:snapToGrid w:val="0"/>
                <w:color w:val="auto"/>
                <w:spacing w:val="-6"/>
                <w:kern w:val="21"/>
                <w:szCs w:val="21"/>
              </w:rPr>
            </w:pPr>
            <w:r>
              <w:rPr>
                <w:rFonts w:ascii="黑体" w:hAnsi="黑体" w:eastAsia="黑体"/>
                <w:snapToGrid w:val="0"/>
                <w:color w:val="auto"/>
                <w:spacing w:val="-6"/>
                <w:kern w:val="21"/>
                <w:szCs w:val="21"/>
              </w:rPr>
              <w:t>变化量</w:t>
            </w:r>
          </w:p>
          <w:p>
            <w:pPr>
              <w:pStyle w:val="37"/>
              <w:spacing w:beforeLines="0" w:afterLines="0" w:line="240" w:lineRule="auto"/>
              <w:rPr>
                <w:rFonts w:ascii="黑体" w:hAnsi="黑体" w:eastAsia="黑体"/>
                <w:snapToGrid w:val="0"/>
                <w:color w:val="auto"/>
                <w:spacing w:val="-6"/>
                <w:kern w:val="21"/>
                <w:szCs w:val="21"/>
              </w:rPr>
            </w:pPr>
            <w:r>
              <w:rPr>
                <w:rFonts w:ascii="黑体" w:hAnsi="黑体" w:eastAsia="黑体"/>
                <w:snapToGrid w:val="0"/>
                <w:color w:val="auto"/>
                <w:spacing w:val="-6"/>
                <w:kern w:val="21"/>
                <w:szCs w:val="21"/>
              </w:rPr>
              <w:fldChar w:fldCharType="begin"/>
            </w:r>
            <w:r>
              <w:rPr>
                <w:rFonts w:ascii="黑体" w:hAnsi="黑体" w:eastAsia="黑体"/>
                <w:snapToGrid w:val="0"/>
                <w:color w:val="auto"/>
                <w:spacing w:val="-6"/>
                <w:kern w:val="21"/>
                <w:szCs w:val="21"/>
              </w:rPr>
              <w:instrText xml:space="preserve"> = 7 \* GB3 \* MERGEFORMAT </w:instrText>
            </w:r>
            <w:r>
              <w:rPr>
                <w:rFonts w:ascii="黑体" w:hAnsi="黑体" w:eastAsia="黑体"/>
                <w:snapToGrid w:val="0"/>
                <w:color w:val="auto"/>
                <w:spacing w:val="-6"/>
                <w:kern w:val="21"/>
                <w:szCs w:val="21"/>
              </w:rPr>
              <w:fldChar w:fldCharType="separate"/>
            </w:r>
            <w:r>
              <w:rPr>
                <w:rFonts w:hint="eastAsia" w:ascii="黑体" w:hAnsi="黑体" w:eastAsia="黑体" w:cs="宋体"/>
                <w:color w:val="auto"/>
                <w:kern w:val="2"/>
                <w:szCs w:val="21"/>
              </w:rPr>
              <w:t>⑦</w:t>
            </w:r>
            <w:r>
              <w:rPr>
                <w:rFonts w:ascii="黑体" w:hAnsi="黑体" w:eastAsia="黑体"/>
                <w:snapToGrid w:val="0"/>
                <w:color w:val="auto"/>
                <w:spacing w:val="-6"/>
                <w:kern w:val="21"/>
                <w:szCs w:val="21"/>
              </w:rPr>
              <w:fldChar w:fldCharType="end"/>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废气</w:t>
            </w:r>
          </w:p>
        </w:tc>
        <w:tc>
          <w:tcPr>
            <w:tcW w:w="1417"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非甲烷总烃</w:t>
            </w:r>
          </w:p>
        </w:tc>
        <w:tc>
          <w:tcPr>
            <w:tcW w:w="1701" w:type="dxa"/>
            <w:vAlign w:val="center"/>
          </w:tcPr>
          <w:p>
            <w:pPr>
              <w:pStyle w:val="37"/>
              <w:spacing w:beforeLines="0" w:afterLines="0" w:line="240" w:lineRule="auto"/>
              <w:rPr>
                <w:rFonts w:hint="default" w:hAnsi="宋体" w:eastAsia="宋体" w:cs="宋体"/>
                <w:snapToGrid w:val="0"/>
                <w:color w:val="auto"/>
                <w:kern w:val="21"/>
                <w:szCs w:val="21"/>
                <w:lang w:val="en-US" w:eastAsia="zh-CN"/>
              </w:rPr>
            </w:pPr>
            <w:r>
              <w:rPr>
                <w:rFonts w:hint="eastAsia" w:hAnsi="宋体" w:cs="宋体"/>
                <w:snapToGrid w:val="0"/>
                <w:color w:val="auto"/>
                <w:kern w:val="21"/>
                <w:szCs w:val="21"/>
                <w:lang w:val="en-US" w:eastAsia="zh-CN"/>
              </w:rPr>
              <w:t>/</w:t>
            </w:r>
          </w:p>
        </w:tc>
        <w:tc>
          <w:tcPr>
            <w:tcW w:w="1276"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701"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559"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0.00</w:t>
            </w:r>
            <w:r>
              <w:rPr>
                <w:rFonts w:hint="eastAsia" w:hAnsi="宋体" w:cs="宋体"/>
                <w:snapToGrid w:val="0"/>
                <w:color w:val="auto"/>
                <w:kern w:val="21"/>
                <w:szCs w:val="21"/>
                <w:lang w:val="en-US" w:eastAsia="zh-CN"/>
              </w:rPr>
              <w:t>96</w:t>
            </w:r>
            <w:r>
              <w:rPr>
                <w:rFonts w:hint="eastAsia" w:hAnsi="宋体" w:cs="宋体"/>
                <w:snapToGrid w:val="0"/>
                <w:color w:val="auto"/>
                <w:kern w:val="21"/>
                <w:szCs w:val="21"/>
              </w:rPr>
              <w:t>t/a</w:t>
            </w:r>
          </w:p>
        </w:tc>
        <w:tc>
          <w:tcPr>
            <w:tcW w:w="1761"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w:t>
            </w:r>
          </w:p>
        </w:tc>
        <w:tc>
          <w:tcPr>
            <w:tcW w:w="1959"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lang w:val="en-US" w:eastAsia="zh-CN"/>
              </w:rPr>
              <w:t>0.0096</w:t>
            </w:r>
            <w:r>
              <w:rPr>
                <w:rFonts w:hint="eastAsia" w:hAnsi="宋体" w:cs="宋体"/>
                <w:snapToGrid w:val="0"/>
                <w:color w:val="auto"/>
                <w:kern w:val="21"/>
                <w:szCs w:val="21"/>
              </w:rPr>
              <w:t>t/a</w:t>
            </w:r>
          </w:p>
        </w:tc>
        <w:tc>
          <w:tcPr>
            <w:tcW w:w="826"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+0.00</w:t>
            </w:r>
            <w:r>
              <w:rPr>
                <w:rFonts w:hint="eastAsia" w:hAnsi="宋体" w:cs="宋体"/>
                <w:snapToGrid w:val="0"/>
                <w:color w:val="auto"/>
                <w:kern w:val="21"/>
                <w:szCs w:val="21"/>
                <w:lang w:val="en-US" w:eastAsia="zh-CN"/>
              </w:rPr>
              <w:t>96</w:t>
            </w:r>
            <w:r>
              <w:rPr>
                <w:rFonts w:hint="eastAsia" w:hAnsi="宋体" w:cs="宋体"/>
                <w:snapToGrid w:val="0"/>
                <w:color w:val="auto"/>
                <w:kern w:val="21"/>
                <w:szCs w:val="21"/>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废水</w:t>
            </w:r>
          </w:p>
        </w:tc>
        <w:tc>
          <w:tcPr>
            <w:tcW w:w="1417"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701"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276"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701"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559"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761"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959"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826"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一般工业</w:t>
            </w:r>
          </w:p>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固体废物</w:t>
            </w:r>
          </w:p>
        </w:tc>
        <w:tc>
          <w:tcPr>
            <w:tcW w:w="1417"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701"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276"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701"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559"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761"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959"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826"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危险废物</w:t>
            </w:r>
          </w:p>
        </w:tc>
        <w:tc>
          <w:tcPr>
            <w:tcW w:w="1417"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落地油泥</w:t>
            </w:r>
          </w:p>
        </w:tc>
        <w:tc>
          <w:tcPr>
            <w:tcW w:w="1701"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0.2t/a</w:t>
            </w:r>
          </w:p>
        </w:tc>
        <w:tc>
          <w:tcPr>
            <w:tcW w:w="1276"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701"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559" w:type="dxa"/>
            <w:vAlign w:val="center"/>
          </w:tcPr>
          <w:p>
            <w:pPr>
              <w:jc w:val="center"/>
              <w:rPr>
                <w:rFonts w:hAnsi="宋体" w:cs="宋体"/>
                <w:snapToGrid w:val="0"/>
                <w:color w:val="auto"/>
                <w:kern w:val="21"/>
                <w:szCs w:val="21"/>
              </w:rPr>
            </w:pPr>
            <w:r>
              <w:rPr>
                <w:rFonts w:hint="eastAsia" w:hAnsi="宋体" w:cs="宋体"/>
                <w:snapToGrid w:val="0"/>
                <w:color w:val="auto"/>
                <w:kern w:val="21"/>
                <w:szCs w:val="21"/>
              </w:rPr>
              <w:t>/</w:t>
            </w:r>
          </w:p>
        </w:tc>
        <w:tc>
          <w:tcPr>
            <w:tcW w:w="1761"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w:t>
            </w:r>
          </w:p>
        </w:tc>
        <w:tc>
          <w:tcPr>
            <w:tcW w:w="1959"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0.2t/a</w:t>
            </w:r>
          </w:p>
        </w:tc>
        <w:tc>
          <w:tcPr>
            <w:tcW w:w="826" w:type="dxa"/>
            <w:vAlign w:val="center"/>
          </w:tcPr>
          <w:p>
            <w:pPr>
              <w:pStyle w:val="37"/>
              <w:spacing w:beforeLines="0" w:afterLines="0" w:line="240" w:lineRule="auto"/>
              <w:rPr>
                <w:rFonts w:hAnsi="宋体" w:cs="宋体"/>
                <w:snapToGrid w:val="0"/>
                <w:color w:val="auto"/>
                <w:kern w:val="21"/>
                <w:szCs w:val="21"/>
              </w:rPr>
            </w:pPr>
            <w:r>
              <w:rPr>
                <w:rFonts w:hint="eastAsia" w:hAnsi="宋体" w:cs="宋体"/>
                <w:snapToGrid w:val="0"/>
                <w:color w:val="auto"/>
                <w:kern w:val="21"/>
                <w:szCs w:val="21"/>
              </w:rPr>
              <w:t>/</w:t>
            </w:r>
          </w:p>
        </w:tc>
      </w:tr>
    </w:tbl>
    <w:p>
      <w:pPr>
        <w:pStyle w:val="37"/>
        <w:spacing w:before="192" w:beforeLines="80" w:after="24"/>
        <w:jc w:val="left"/>
        <w:rPr>
          <w:rFonts w:hAnsi="宋体"/>
          <w:snapToGrid w:val="0"/>
          <w:color w:val="auto"/>
          <w:spacing w:val="-6"/>
          <w:kern w:val="21"/>
          <w:szCs w:val="21"/>
        </w:rPr>
      </w:pPr>
      <w:r>
        <w:rPr>
          <w:rFonts w:hAnsi="宋体"/>
          <w:snapToGrid w:val="0"/>
          <w:color w:val="auto"/>
          <w:kern w:val="21"/>
          <w:szCs w:val="21"/>
        </w:rPr>
        <w:t>注：</w:t>
      </w:r>
      <w:r>
        <w:rPr>
          <w:rFonts w:hAnsi="宋体"/>
          <w:snapToGrid w:val="0"/>
          <w:color w:val="auto"/>
          <w:spacing w:val="-16"/>
          <w:kern w:val="21"/>
          <w:szCs w:val="21"/>
        </w:rPr>
        <w:fldChar w:fldCharType="begin"/>
      </w:r>
      <w:r>
        <w:rPr>
          <w:rFonts w:hAnsi="宋体"/>
          <w:snapToGrid w:val="0"/>
          <w:color w:val="auto"/>
          <w:spacing w:val="-16"/>
          <w:kern w:val="21"/>
          <w:szCs w:val="21"/>
        </w:rPr>
        <w:instrText xml:space="preserve"> = 6 \* GB3 \* MERGEFORMAT </w:instrText>
      </w:r>
      <w:r>
        <w:rPr>
          <w:rFonts w:hAnsi="宋体"/>
          <w:snapToGrid w:val="0"/>
          <w:color w:val="auto"/>
          <w:spacing w:val="-16"/>
          <w:kern w:val="21"/>
          <w:szCs w:val="21"/>
        </w:rPr>
        <w:fldChar w:fldCharType="separate"/>
      </w:r>
      <w:r>
        <w:rPr>
          <w:rFonts w:hint="eastAsia" w:hAnsi="宋体"/>
          <w:color w:val="auto"/>
          <w:szCs w:val="21"/>
        </w:rPr>
        <w:t>⑥</w:t>
      </w:r>
      <w:r>
        <w:rPr>
          <w:rFonts w:hAnsi="宋体"/>
          <w:snapToGrid w:val="0"/>
          <w:color w:val="auto"/>
          <w:spacing w:val="-16"/>
          <w:kern w:val="21"/>
          <w:szCs w:val="21"/>
        </w:rPr>
        <w:fldChar w:fldCharType="end"/>
      </w:r>
      <w:r>
        <w:rPr>
          <w:rFonts w:hAnsi="宋体"/>
          <w:snapToGrid w:val="0"/>
          <w:color w:val="auto"/>
          <w:spacing w:val="-16"/>
          <w:kern w:val="21"/>
          <w:szCs w:val="21"/>
        </w:rPr>
        <w:t>=</w:t>
      </w:r>
      <w:r>
        <w:rPr>
          <w:rFonts w:hAnsi="宋体"/>
          <w:snapToGrid w:val="0"/>
          <w:color w:val="auto"/>
          <w:spacing w:val="-6"/>
          <w:kern w:val="21"/>
          <w:szCs w:val="21"/>
        </w:rPr>
        <w:fldChar w:fldCharType="begin"/>
      </w:r>
      <w:r>
        <w:rPr>
          <w:rFonts w:hAnsi="宋体"/>
          <w:snapToGrid w:val="0"/>
          <w:color w:val="auto"/>
          <w:spacing w:val="-6"/>
          <w:kern w:val="21"/>
          <w:szCs w:val="21"/>
        </w:rPr>
        <w:instrText xml:space="preserve"> = 1 \* GB3 \* MERGEFORMAT </w:instrText>
      </w:r>
      <w:r>
        <w:rPr>
          <w:rFonts w:hAnsi="宋体"/>
          <w:snapToGrid w:val="0"/>
          <w:color w:val="auto"/>
          <w:spacing w:val="-6"/>
          <w:kern w:val="21"/>
          <w:szCs w:val="21"/>
        </w:rPr>
        <w:fldChar w:fldCharType="separate"/>
      </w:r>
      <w:r>
        <w:rPr>
          <w:rFonts w:hint="eastAsia" w:hAnsi="宋体"/>
          <w:color w:val="auto"/>
          <w:szCs w:val="21"/>
        </w:rPr>
        <w:t>①</w:t>
      </w:r>
      <w:r>
        <w:rPr>
          <w:rFonts w:hAnsi="宋体"/>
          <w:snapToGrid w:val="0"/>
          <w:color w:val="auto"/>
          <w:spacing w:val="-6"/>
          <w:kern w:val="21"/>
          <w:szCs w:val="21"/>
        </w:rPr>
        <w:fldChar w:fldCharType="end"/>
      </w:r>
      <w:r>
        <w:rPr>
          <w:rFonts w:hAnsi="宋体"/>
          <w:snapToGrid w:val="0"/>
          <w:color w:val="auto"/>
          <w:spacing w:val="-6"/>
          <w:kern w:val="21"/>
          <w:szCs w:val="21"/>
        </w:rPr>
        <w:t>+</w:t>
      </w:r>
      <w:r>
        <w:rPr>
          <w:rFonts w:hAnsi="宋体"/>
          <w:snapToGrid w:val="0"/>
          <w:color w:val="auto"/>
          <w:spacing w:val="-6"/>
          <w:kern w:val="21"/>
          <w:szCs w:val="21"/>
        </w:rPr>
        <w:fldChar w:fldCharType="begin"/>
      </w:r>
      <w:r>
        <w:rPr>
          <w:rFonts w:hAnsi="宋体"/>
          <w:snapToGrid w:val="0"/>
          <w:color w:val="auto"/>
          <w:spacing w:val="-6"/>
          <w:kern w:val="21"/>
          <w:szCs w:val="21"/>
        </w:rPr>
        <w:instrText xml:space="preserve"> = 3 \* GB3 \* MERGEFORMAT </w:instrText>
      </w:r>
      <w:r>
        <w:rPr>
          <w:rFonts w:hAnsi="宋体"/>
          <w:snapToGrid w:val="0"/>
          <w:color w:val="auto"/>
          <w:spacing w:val="-6"/>
          <w:kern w:val="21"/>
          <w:szCs w:val="21"/>
        </w:rPr>
        <w:fldChar w:fldCharType="separate"/>
      </w:r>
      <w:r>
        <w:rPr>
          <w:rFonts w:hint="eastAsia" w:hAnsi="宋体"/>
          <w:color w:val="auto"/>
          <w:szCs w:val="21"/>
        </w:rPr>
        <w:t>③</w:t>
      </w:r>
      <w:r>
        <w:rPr>
          <w:rFonts w:hAnsi="宋体"/>
          <w:snapToGrid w:val="0"/>
          <w:color w:val="auto"/>
          <w:spacing w:val="-6"/>
          <w:kern w:val="21"/>
          <w:szCs w:val="21"/>
        </w:rPr>
        <w:fldChar w:fldCharType="end"/>
      </w:r>
      <w:r>
        <w:rPr>
          <w:rFonts w:hAnsi="宋体"/>
          <w:snapToGrid w:val="0"/>
          <w:color w:val="auto"/>
          <w:spacing w:val="-6"/>
          <w:kern w:val="21"/>
          <w:szCs w:val="21"/>
        </w:rPr>
        <w:t>+</w:t>
      </w:r>
      <w:r>
        <w:rPr>
          <w:rFonts w:hAnsi="宋体"/>
          <w:snapToGrid w:val="0"/>
          <w:color w:val="auto"/>
          <w:spacing w:val="-6"/>
          <w:kern w:val="21"/>
          <w:szCs w:val="21"/>
        </w:rPr>
        <w:fldChar w:fldCharType="begin"/>
      </w:r>
      <w:r>
        <w:rPr>
          <w:rFonts w:hAnsi="宋体"/>
          <w:snapToGrid w:val="0"/>
          <w:color w:val="auto"/>
          <w:spacing w:val="-6"/>
          <w:kern w:val="21"/>
          <w:szCs w:val="21"/>
        </w:rPr>
        <w:instrText xml:space="preserve"> = 4 \* GB3 \* MERGEFORMAT </w:instrText>
      </w:r>
      <w:r>
        <w:rPr>
          <w:rFonts w:hAnsi="宋体"/>
          <w:snapToGrid w:val="0"/>
          <w:color w:val="auto"/>
          <w:spacing w:val="-6"/>
          <w:kern w:val="21"/>
          <w:szCs w:val="21"/>
        </w:rPr>
        <w:fldChar w:fldCharType="separate"/>
      </w:r>
      <w:r>
        <w:rPr>
          <w:rFonts w:hint="eastAsia" w:hAnsi="宋体"/>
          <w:color w:val="auto"/>
          <w:szCs w:val="21"/>
        </w:rPr>
        <w:t>④</w:t>
      </w:r>
      <w:r>
        <w:rPr>
          <w:rFonts w:hAnsi="宋体"/>
          <w:snapToGrid w:val="0"/>
          <w:color w:val="auto"/>
          <w:spacing w:val="-6"/>
          <w:kern w:val="21"/>
          <w:szCs w:val="21"/>
        </w:rPr>
        <w:fldChar w:fldCharType="end"/>
      </w:r>
      <w:r>
        <w:rPr>
          <w:rFonts w:hAnsi="宋体"/>
          <w:snapToGrid w:val="0"/>
          <w:color w:val="auto"/>
          <w:spacing w:val="-6"/>
          <w:kern w:val="21"/>
          <w:szCs w:val="21"/>
        </w:rPr>
        <w:t>-</w:t>
      </w:r>
      <w:r>
        <w:rPr>
          <w:rFonts w:hAnsi="宋体"/>
          <w:snapToGrid w:val="0"/>
          <w:color w:val="auto"/>
          <w:spacing w:val="-16"/>
          <w:kern w:val="21"/>
          <w:szCs w:val="21"/>
        </w:rPr>
        <w:fldChar w:fldCharType="begin"/>
      </w:r>
      <w:r>
        <w:rPr>
          <w:rFonts w:hAnsi="宋体"/>
          <w:snapToGrid w:val="0"/>
          <w:color w:val="auto"/>
          <w:spacing w:val="-16"/>
          <w:kern w:val="21"/>
          <w:szCs w:val="21"/>
        </w:rPr>
        <w:instrText xml:space="preserve"> = 5 \* GB3 \* MERGEFORMAT </w:instrText>
      </w:r>
      <w:r>
        <w:rPr>
          <w:rFonts w:hAnsi="宋体"/>
          <w:snapToGrid w:val="0"/>
          <w:color w:val="auto"/>
          <w:spacing w:val="-16"/>
          <w:kern w:val="21"/>
          <w:szCs w:val="21"/>
        </w:rPr>
        <w:fldChar w:fldCharType="separate"/>
      </w:r>
      <w:r>
        <w:rPr>
          <w:rFonts w:hint="eastAsia" w:hAnsi="宋体"/>
          <w:color w:val="auto"/>
          <w:szCs w:val="21"/>
        </w:rPr>
        <w:t>⑤</w:t>
      </w:r>
      <w:r>
        <w:rPr>
          <w:rFonts w:hAnsi="宋体"/>
          <w:snapToGrid w:val="0"/>
          <w:color w:val="auto"/>
          <w:spacing w:val="-16"/>
          <w:kern w:val="21"/>
          <w:szCs w:val="21"/>
        </w:rPr>
        <w:fldChar w:fldCharType="end"/>
      </w:r>
      <w:r>
        <w:rPr>
          <w:rFonts w:hAnsi="宋体"/>
          <w:snapToGrid w:val="0"/>
          <w:color w:val="auto"/>
          <w:spacing w:val="-16"/>
          <w:kern w:val="21"/>
          <w:szCs w:val="21"/>
        </w:rPr>
        <w:t>；</w:t>
      </w:r>
      <w:r>
        <w:rPr>
          <w:rFonts w:hAnsi="宋体"/>
          <w:snapToGrid w:val="0"/>
          <w:color w:val="auto"/>
          <w:spacing w:val="-6"/>
          <w:kern w:val="21"/>
          <w:szCs w:val="21"/>
        </w:rPr>
        <w:fldChar w:fldCharType="begin"/>
      </w:r>
      <w:r>
        <w:rPr>
          <w:rFonts w:hAnsi="宋体"/>
          <w:snapToGrid w:val="0"/>
          <w:color w:val="auto"/>
          <w:spacing w:val="-6"/>
          <w:kern w:val="21"/>
          <w:szCs w:val="21"/>
        </w:rPr>
        <w:instrText xml:space="preserve"> = 7 \* GB3 \* MERGEFORMAT </w:instrText>
      </w:r>
      <w:r>
        <w:rPr>
          <w:rFonts w:hAnsi="宋体"/>
          <w:snapToGrid w:val="0"/>
          <w:color w:val="auto"/>
          <w:spacing w:val="-6"/>
          <w:kern w:val="21"/>
          <w:szCs w:val="21"/>
        </w:rPr>
        <w:fldChar w:fldCharType="separate"/>
      </w:r>
      <w:r>
        <w:rPr>
          <w:rFonts w:hint="eastAsia" w:hAnsi="宋体"/>
          <w:color w:val="auto"/>
          <w:szCs w:val="21"/>
        </w:rPr>
        <w:t>⑦</w:t>
      </w:r>
      <w:r>
        <w:rPr>
          <w:rFonts w:hAnsi="宋体"/>
          <w:snapToGrid w:val="0"/>
          <w:color w:val="auto"/>
          <w:spacing w:val="-6"/>
          <w:kern w:val="21"/>
          <w:szCs w:val="21"/>
        </w:rPr>
        <w:fldChar w:fldCharType="end"/>
      </w:r>
      <w:r>
        <w:rPr>
          <w:rFonts w:hAnsi="宋体"/>
          <w:snapToGrid w:val="0"/>
          <w:color w:val="auto"/>
          <w:spacing w:val="-6"/>
          <w:kern w:val="21"/>
          <w:szCs w:val="21"/>
        </w:rPr>
        <w:t>=</w:t>
      </w:r>
      <w:r>
        <w:rPr>
          <w:rFonts w:hAnsi="宋体"/>
          <w:snapToGrid w:val="0"/>
          <w:color w:val="auto"/>
          <w:spacing w:val="-16"/>
          <w:kern w:val="21"/>
          <w:szCs w:val="21"/>
        </w:rPr>
        <w:fldChar w:fldCharType="begin"/>
      </w:r>
      <w:r>
        <w:rPr>
          <w:rFonts w:hAnsi="宋体"/>
          <w:snapToGrid w:val="0"/>
          <w:color w:val="auto"/>
          <w:spacing w:val="-16"/>
          <w:kern w:val="21"/>
          <w:szCs w:val="21"/>
        </w:rPr>
        <w:instrText xml:space="preserve"> = 6 \* GB3 \* MERGEFORMAT </w:instrText>
      </w:r>
      <w:r>
        <w:rPr>
          <w:rFonts w:hAnsi="宋体"/>
          <w:snapToGrid w:val="0"/>
          <w:color w:val="auto"/>
          <w:spacing w:val="-16"/>
          <w:kern w:val="21"/>
          <w:szCs w:val="21"/>
        </w:rPr>
        <w:fldChar w:fldCharType="separate"/>
      </w:r>
      <w:r>
        <w:rPr>
          <w:rFonts w:hint="eastAsia" w:hAnsi="宋体"/>
          <w:color w:val="auto"/>
          <w:szCs w:val="21"/>
        </w:rPr>
        <w:t>⑥</w:t>
      </w:r>
      <w:r>
        <w:rPr>
          <w:rFonts w:hAnsi="宋体"/>
          <w:snapToGrid w:val="0"/>
          <w:color w:val="auto"/>
          <w:spacing w:val="-16"/>
          <w:kern w:val="21"/>
          <w:szCs w:val="21"/>
        </w:rPr>
        <w:fldChar w:fldCharType="end"/>
      </w:r>
      <w:r>
        <w:rPr>
          <w:rFonts w:hAnsi="宋体"/>
          <w:snapToGrid w:val="0"/>
          <w:color w:val="auto"/>
          <w:spacing w:val="-16"/>
          <w:kern w:val="21"/>
          <w:szCs w:val="21"/>
        </w:rPr>
        <w:t>-</w:t>
      </w:r>
      <w:r>
        <w:rPr>
          <w:rFonts w:hAnsi="宋体"/>
          <w:snapToGrid w:val="0"/>
          <w:color w:val="auto"/>
          <w:spacing w:val="-6"/>
          <w:kern w:val="21"/>
          <w:szCs w:val="21"/>
        </w:rPr>
        <w:fldChar w:fldCharType="begin"/>
      </w:r>
      <w:r>
        <w:rPr>
          <w:rFonts w:hAnsi="宋体"/>
          <w:snapToGrid w:val="0"/>
          <w:color w:val="auto"/>
          <w:spacing w:val="-6"/>
          <w:kern w:val="21"/>
          <w:szCs w:val="21"/>
        </w:rPr>
        <w:instrText xml:space="preserve"> = 1 \* GB3 \* MERGEFORMAT </w:instrText>
      </w:r>
      <w:r>
        <w:rPr>
          <w:rFonts w:hAnsi="宋体"/>
          <w:snapToGrid w:val="0"/>
          <w:color w:val="auto"/>
          <w:spacing w:val="-6"/>
          <w:kern w:val="21"/>
          <w:szCs w:val="21"/>
        </w:rPr>
        <w:fldChar w:fldCharType="separate"/>
      </w:r>
      <w:r>
        <w:rPr>
          <w:rFonts w:hint="eastAsia" w:hAnsi="宋体"/>
          <w:color w:val="auto"/>
          <w:szCs w:val="21"/>
        </w:rPr>
        <w:t>①</w:t>
      </w:r>
      <w:r>
        <w:rPr>
          <w:rFonts w:hAnsi="宋体"/>
          <w:snapToGrid w:val="0"/>
          <w:color w:val="auto"/>
          <w:spacing w:val="-6"/>
          <w:kern w:val="21"/>
          <w:szCs w:val="21"/>
        </w:rPr>
        <w:fldChar w:fldCharType="end"/>
      </w:r>
    </w:p>
    <w:p>
      <w:pPr>
        <w:rPr>
          <w:color w:val="auto"/>
        </w:rPr>
        <w:sectPr>
          <w:footerReference r:id="rId6" w:type="default"/>
          <w:pgSz w:w="16838" w:h="11906" w:orient="landscape"/>
          <w:pgMar w:top="1701" w:right="1531" w:bottom="1701" w:left="1531" w:header="851" w:footer="851" w:gutter="0"/>
          <w:cols w:space="720" w:num="1"/>
          <w:docGrid w:linePitch="312" w:charSpace="0"/>
        </w:sectPr>
      </w:pPr>
    </w:p>
    <w:p>
      <w:pPr>
        <w:rPr>
          <w:rFonts w:ascii="宋体" w:hAnsi="宋体" w:eastAsia="黑体"/>
          <w:color w:val="auto"/>
        </w:rPr>
      </w:pPr>
    </w:p>
    <w:sectPr>
      <w:footerReference r:id="rId7" w:type="default"/>
      <w:pgSz w:w="11906" w:h="16838"/>
      <w:pgMar w:top="1701" w:right="1531" w:bottom="1701" w:left="1531" w:header="851" w:footer="851" w:gutter="0"/>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Li Super">
    <w:altName w:val="宋体"/>
    <w:panose1 w:val="00000000000000000000"/>
    <w:charset w:val="86"/>
    <w:family w:val="roman"/>
    <w:pitch w:val="default"/>
    <w:sig w:usb0="00000000" w:usb1="00000000" w:usb2="00000010" w:usb3="00000000" w:csb0="00040000" w:csb1="00000000"/>
  </w:font>
  <w:font w:name="等线">
    <w:panose1 w:val="02010600030101010101"/>
    <w:charset w:val="86"/>
    <w:family w:val="auto"/>
    <w:pitch w:val="default"/>
    <w:sig w:usb0="A00002BF" w:usb1="38CF7CFA" w:usb2="00000016" w:usb3="00000000" w:csb0="0004000F" w:csb1="00000000"/>
  </w:font>
  <w:font w:name="仿宋_GB2312">
    <w:altName w:val="仿宋"/>
    <w:panose1 w:val="02010609030101010101"/>
    <w:charset w:val="86"/>
    <w:family w:val="modern"/>
    <w:pitch w:val="default"/>
    <w:sig w:usb0="00000000" w:usb1="00000000" w:usb2="00000000" w:usb3="00000000" w:csb0="00040000" w:csb1="00000000"/>
  </w:font>
  <w:font w:name="方正小标宋_GBK">
    <w:altName w:val="Arial Unicode MS"/>
    <w:panose1 w:val="00000000000000000000"/>
    <w:charset w:val="86"/>
    <w:family w:val="script"/>
    <w:pitch w:val="default"/>
    <w:sig w:usb0="00000000" w:usb1="00000000" w:usb2="00082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 w:name="Wingdings 2">
    <w:panose1 w:val="05020102010507070707"/>
    <w:charset w:val="02"/>
    <w:family w:val="roman"/>
    <w:pitch w:val="default"/>
    <w:sig w:usb0="00000000" w:usb1="00000000" w:usb2="00000000" w:usb3="00000000" w:csb0="80000000" w:csb1="00000000"/>
  </w:font>
  <w:font w:name="等线 Light">
    <w:panose1 w:val="02010600030101010101"/>
    <w:charset w:val="86"/>
    <w:family w:val="auto"/>
    <w:pitch w:val="default"/>
    <w:sig w:usb0="A00002BF" w:usb1="38CF7CFA"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楷体">
    <w:panose1 w:val="02010609060101010101"/>
    <w:charset w:val="86"/>
    <w:family w:val="auto"/>
    <w:pitch w:val="default"/>
    <w:sig w:usb0="800002BF" w:usb1="38CF7CFA" w:usb2="00000016" w:usb3="00000000" w:csb0="00040001" w:csb1="00000000"/>
  </w:font>
  <w:font w:name="MS PGothic">
    <w:panose1 w:val="020B0600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framePr w:wrap="around" w:vAnchor="text" w:hAnchor="margin" w:xAlign="center" w:y="1"/>
      <w:rPr>
        <w:rStyle w:val="22"/>
      </w:rPr>
    </w:pPr>
    <w:r>
      <w:fldChar w:fldCharType="begin"/>
    </w:r>
    <w:r>
      <w:rPr>
        <w:rStyle w:val="22"/>
      </w:rPr>
      <w:instrText xml:space="preserve">PAGE  </w:instrText>
    </w:r>
    <w:r>
      <w:fldChar w:fldCharType="end"/>
    </w:r>
  </w:p>
  <w:p>
    <w:pPr>
      <w:pStyle w:val="13"/>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framePr w:wrap="around" w:vAnchor="text" w:hAnchor="margin" w:xAlign="outside" w:y="1"/>
      <w:rPr>
        <w:rStyle w:val="22"/>
        <w:rFonts w:ascii="宋体" w:hAnsi="宋体"/>
        <w:sz w:val="28"/>
        <w:szCs w:val="28"/>
      </w:rPr>
    </w:pPr>
    <w:r>
      <w:rPr>
        <w:rStyle w:val="22"/>
        <w:rFonts w:hint="eastAsia" w:ascii="宋体" w:hAnsi="宋体"/>
        <w:sz w:val="28"/>
        <w:szCs w:val="28"/>
      </w:rPr>
      <w:t>—</w:t>
    </w:r>
    <w:r>
      <w:rPr>
        <w:rStyle w:val="22"/>
        <w:rFonts w:hint="eastAsia" w:ascii="宋体" w:hAnsi="宋体"/>
        <w:sz w:val="20"/>
      </w:rPr>
      <w:t xml:space="preserve">  </w:t>
    </w:r>
    <w:r>
      <w:rPr>
        <w:rStyle w:val="22"/>
        <w:rFonts w:ascii="宋体" w:hAnsi="宋体"/>
        <w:sz w:val="26"/>
        <w:szCs w:val="26"/>
      </w:rPr>
      <w:fldChar w:fldCharType="begin"/>
    </w:r>
    <w:r>
      <w:rPr>
        <w:rStyle w:val="22"/>
        <w:rFonts w:ascii="宋体" w:hAnsi="宋体"/>
        <w:sz w:val="26"/>
        <w:szCs w:val="26"/>
      </w:rPr>
      <w:instrText xml:space="preserve">PAGE  </w:instrText>
    </w:r>
    <w:r>
      <w:rPr>
        <w:rStyle w:val="22"/>
        <w:rFonts w:ascii="宋体" w:hAnsi="宋体"/>
        <w:sz w:val="26"/>
        <w:szCs w:val="26"/>
      </w:rPr>
      <w:fldChar w:fldCharType="separate"/>
    </w:r>
    <w:r>
      <w:rPr>
        <w:rStyle w:val="22"/>
        <w:rFonts w:ascii="宋体" w:hAnsi="宋体"/>
        <w:sz w:val="26"/>
        <w:szCs w:val="26"/>
      </w:rPr>
      <w:t>44</w:t>
    </w:r>
    <w:r>
      <w:rPr>
        <w:rStyle w:val="22"/>
        <w:rFonts w:ascii="宋体" w:hAnsi="宋体"/>
        <w:sz w:val="26"/>
        <w:szCs w:val="26"/>
      </w:rPr>
      <w:fldChar w:fldCharType="end"/>
    </w:r>
    <w:r>
      <w:rPr>
        <w:rStyle w:val="22"/>
        <w:rFonts w:hint="eastAsia" w:ascii="宋体" w:hAnsi="宋体"/>
        <w:sz w:val="20"/>
      </w:rPr>
      <w:t xml:space="preserve">  </w:t>
    </w:r>
    <w:r>
      <w:rPr>
        <w:rStyle w:val="22"/>
        <w:rFonts w:hint="eastAsia" w:ascii="宋体" w:hAnsi="宋体"/>
        <w:sz w:val="28"/>
        <w:szCs w:val="28"/>
      </w:rPr>
      <w:t>—</w:t>
    </w:r>
  </w:p>
  <w:p>
    <w:pPr>
      <w:pStyle w:val="13"/>
      <w:ind w:right="360" w:firstLine="360"/>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framePr w:wrap="around" w:vAnchor="text" w:hAnchor="margin" w:xAlign="center" w:y="1"/>
      <w:rPr>
        <w:rStyle w:val="22"/>
        <w:rFonts w:ascii="宋体" w:hAnsi="宋体"/>
        <w:sz w:val="28"/>
        <w:szCs w:val="28"/>
      </w:rPr>
    </w:pPr>
    <w:r>
      <w:rPr>
        <w:rStyle w:val="22"/>
        <w:rFonts w:hint="eastAsia" w:ascii="宋体" w:hAnsi="宋体"/>
        <w:sz w:val="28"/>
        <w:szCs w:val="28"/>
      </w:rPr>
      <w:t>—</w:t>
    </w:r>
    <w:r>
      <w:rPr>
        <w:rStyle w:val="22"/>
        <w:rFonts w:hint="eastAsia" w:ascii="宋体" w:hAnsi="宋体"/>
        <w:sz w:val="20"/>
      </w:rPr>
      <w:t xml:space="preserve">  </w:t>
    </w:r>
    <w:r>
      <w:rPr>
        <w:rStyle w:val="22"/>
        <w:rFonts w:ascii="宋体" w:hAnsi="宋体"/>
        <w:sz w:val="26"/>
        <w:szCs w:val="26"/>
      </w:rPr>
      <w:fldChar w:fldCharType="begin"/>
    </w:r>
    <w:r>
      <w:rPr>
        <w:rStyle w:val="22"/>
        <w:rFonts w:ascii="宋体" w:hAnsi="宋体"/>
        <w:sz w:val="26"/>
        <w:szCs w:val="26"/>
      </w:rPr>
      <w:instrText xml:space="preserve">PAGE  </w:instrText>
    </w:r>
    <w:r>
      <w:rPr>
        <w:rStyle w:val="22"/>
        <w:rFonts w:ascii="宋体" w:hAnsi="宋体"/>
        <w:sz w:val="26"/>
        <w:szCs w:val="26"/>
      </w:rPr>
      <w:fldChar w:fldCharType="separate"/>
    </w:r>
    <w:r>
      <w:rPr>
        <w:rStyle w:val="22"/>
        <w:rFonts w:ascii="宋体" w:hAnsi="宋体"/>
        <w:sz w:val="26"/>
        <w:szCs w:val="26"/>
      </w:rPr>
      <w:t>45</w:t>
    </w:r>
    <w:r>
      <w:rPr>
        <w:rStyle w:val="22"/>
        <w:rFonts w:ascii="宋体" w:hAnsi="宋体"/>
        <w:sz w:val="26"/>
        <w:szCs w:val="26"/>
      </w:rPr>
      <w:fldChar w:fldCharType="end"/>
    </w:r>
    <w:r>
      <w:rPr>
        <w:rStyle w:val="22"/>
        <w:rFonts w:hint="eastAsia" w:ascii="宋体" w:hAnsi="宋体"/>
        <w:sz w:val="20"/>
      </w:rPr>
      <w:t xml:space="preserve">  </w:t>
    </w:r>
    <w:r>
      <w:rPr>
        <w:rStyle w:val="22"/>
        <w:rFonts w:hint="eastAsia" w:ascii="宋体" w:hAnsi="宋体"/>
        <w:sz w:val="28"/>
        <w:szCs w:val="28"/>
      </w:rPr>
      <w:t>—</w:t>
    </w:r>
  </w:p>
  <w:p>
    <w:pPr>
      <w:pStyle w:val="13"/>
      <w:ind w:right="360" w:firstLine="360"/>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framePr w:wrap="around" w:vAnchor="text" w:hAnchor="margin" w:xAlign="outside" w:y="1"/>
      <w:rPr>
        <w:rStyle w:val="22"/>
        <w:rFonts w:ascii="宋体" w:hAnsi="宋体"/>
        <w:sz w:val="28"/>
        <w:szCs w:val="28"/>
      </w:rPr>
    </w:pPr>
    <w:r>
      <w:rPr>
        <w:rStyle w:val="22"/>
        <w:rFonts w:hint="eastAsia" w:ascii="宋体" w:hAnsi="宋体"/>
        <w:sz w:val="28"/>
        <w:szCs w:val="28"/>
      </w:rPr>
      <w:t>—</w:t>
    </w:r>
    <w:r>
      <w:rPr>
        <w:rStyle w:val="22"/>
        <w:rFonts w:hint="eastAsia" w:ascii="宋体" w:hAnsi="宋体"/>
        <w:sz w:val="20"/>
      </w:rPr>
      <w:t xml:space="preserve">  </w:t>
    </w:r>
    <w:r>
      <w:rPr>
        <w:rStyle w:val="22"/>
        <w:rFonts w:ascii="宋体" w:hAnsi="宋体"/>
        <w:sz w:val="26"/>
        <w:szCs w:val="26"/>
      </w:rPr>
      <w:fldChar w:fldCharType="begin"/>
    </w:r>
    <w:r>
      <w:rPr>
        <w:rStyle w:val="22"/>
        <w:rFonts w:ascii="宋体" w:hAnsi="宋体"/>
        <w:sz w:val="26"/>
        <w:szCs w:val="26"/>
      </w:rPr>
      <w:instrText xml:space="preserve">PAGE  </w:instrText>
    </w:r>
    <w:r>
      <w:rPr>
        <w:rStyle w:val="22"/>
        <w:rFonts w:ascii="宋体" w:hAnsi="宋体"/>
        <w:sz w:val="26"/>
        <w:szCs w:val="26"/>
      </w:rPr>
      <w:fldChar w:fldCharType="separate"/>
    </w:r>
    <w:r>
      <w:rPr>
        <w:rStyle w:val="22"/>
        <w:rFonts w:ascii="宋体" w:hAnsi="宋体"/>
        <w:sz w:val="26"/>
        <w:szCs w:val="26"/>
      </w:rPr>
      <w:t>46</w:t>
    </w:r>
    <w:r>
      <w:rPr>
        <w:rStyle w:val="22"/>
        <w:rFonts w:ascii="宋体" w:hAnsi="宋体"/>
        <w:sz w:val="26"/>
        <w:szCs w:val="26"/>
      </w:rPr>
      <w:fldChar w:fldCharType="end"/>
    </w:r>
    <w:r>
      <w:rPr>
        <w:rStyle w:val="22"/>
        <w:rFonts w:hint="eastAsia" w:ascii="宋体" w:hAnsi="宋体"/>
        <w:sz w:val="20"/>
      </w:rPr>
      <w:t xml:space="preserve">  </w:t>
    </w:r>
    <w:r>
      <w:rPr>
        <w:rStyle w:val="22"/>
        <w:rFonts w:hint="eastAsia" w:ascii="宋体" w:hAnsi="宋体"/>
        <w:sz w:val="28"/>
        <w:szCs w:val="28"/>
      </w:rPr>
      <w:t>—</w:t>
    </w:r>
  </w:p>
  <w:p>
    <w:pPr>
      <w:pStyle w:val="13"/>
      <w:ind w:right="360" w:firstLine="360"/>
      <w:jc w:val="center"/>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dit="trackedChanges" w:enforcement="0"/>
  <w:defaultTabStop w:val="420"/>
  <w:doNotHyphenateCaps/>
  <w:drawingGridVerticalSpacing w:val="156"/>
  <w:displayHorizontalDrawingGridEvery w:val="1"/>
  <w:displayVerticalDrawingGridEvery w:val="1"/>
  <w:noPunctuationKerning w:val="1"/>
  <w:characterSpacingControl w:val="compressPunctuation"/>
  <w:noLineBreaksAfter w:lang="zh-CN" w:val="([{·‘“〈《「『【〔〖（．［｛￡￥"/>
  <w:noLineBreaksBefore w:lang="zh-CN" w:val="!),.:;?]}¨·ˇˉ―‖’”…∶、。〃々〉》」』】〕〗！＂＇），．：；？］｀｜｝～￠"/>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JlNDIzMGJjNmExYTY3NmQ4ZDQ3YTMzOGU1ZTkxY2UifQ=="/>
  </w:docVars>
  <w:rsids>
    <w:rsidRoot w:val="00A14947"/>
    <w:rsid w:val="000060B3"/>
    <w:rsid w:val="000153B7"/>
    <w:rsid w:val="00025B11"/>
    <w:rsid w:val="00041A8B"/>
    <w:rsid w:val="0004364B"/>
    <w:rsid w:val="00053EB9"/>
    <w:rsid w:val="00055774"/>
    <w:rsid w:val="00061B1F"/>
    <w:rsid w:val="000733C4"/>
    <w:rsid w:val="00074783"/>
    <w:rsid w:val="0008070B"/>
    <w:rsid w:val="000810AC"/>
    <w:rsid w:val="00081A02"/>
    <w:rsid w:val="00082231"/>
    <w:rsid w:val="00092D38"/>
    <w:rsid w:val="0009377B"/>
    <w:rsid w:val="000A20C9"/>
    <w:rsid w:val="000B058F"/>
    <w:rsid w:val="000B4467"/>
    <w:rsid w:val="000B4DB9"/>
    <w:rsid w:val="000C09AC"/>
    <w:rsid w:val="000C767F"/>
    <w:rsid w:val="000D5A44"/>
    <w:rsid w:val="000E3258"/>
    <w:rsid w:val="000E3ED2"/>
    <w:rsid w:val="00131F42"/>
    <w:rsid w:val="001357F1"/>
    <w:rsid w:val="00140FA8"/>
    <w:rsid w:val="00142FEB"/>
    <w:rsid w:val="00143A2D"/>
    <w:rsid w:val="00145A41"/>
    <w:rsid w:val="00151675"/>
    <w:rsid w:val="00157435"/>
    <w:rsid w:val="0017504D"/>
    <w:rsid w:val="0017671A"/>
    <w:rsid w:val="00177422"/>
    <w:rsid w:val="00184590"/>
    <w:rsid w:val="001870D1"/>
    <w:rsid w:val="0018781E"/>
    <w:rsid w:val="0019262D"/>
    <w:rsid w:val="001A1B35"/>
    <w:rsid w:val="001A48A2"/>
    <w:rsid w:val="001A6F61"/>
    <w:rsid w:val="001B72B8"/>
    <w:rsid w:val="001C69B3"/>
    <w:rsid w:val="001D5595"/>
    <w:rsid w:val="001D7874"/>
    <w:rsid w:val="001D7F22"/>
    <w:rsid w:val="001F0F17"/>
    <w:rsid w:val="001F3347"/>
    <w:rsid w:val="001F64B9"/>
    <w:rsid w:val="001F69E4"/>
    <w:rsid w:val="00200785"/>
    <w:rsid w:val="002125B4"/>
    <w:rsid w:val="002155B8"/>
    <w:rsid w:val="00224839"/>
    <w:rsid w:val="002249B2"/>
    <w:rsid w:val="00226574"/>
    <w:rsid w:val="002278EC"/>
    <w:rsid w:val="0023280E"/>
    <w:rsid w:val="002377D1"/>
    <w:rsid w:val="002460C2"/>
    <w:rsid w:val="002506BC"/>
    <w:rsid w:val="00254345"/>
    <w:rsid w:val="00264557"/>
    <w:rsid w:val="00275F40"/>
    <w:rsid w:val="002805AB"/>
    <w:rsid w:val="00284204"/>
    <w:rsid w:val="00291773"/>
    <w:rsid w:val="002A168C"/>
    <w:rsid w:val="002A3DC7"/>
    <w:rsid w:val="002B49E2"/>
    <w:rsid w:val="002B7B00"/>
    <w:rsid w:val="002B7C44"/>
    <w:rsid w:val="002C2B17"/>
    <w:rsid w:val="002D3DD0"/>
    <w:rsid w:val="002E1F3A"/>
    <w:rsid w:val="002E298A"/>
    <w:rsid w:val="002F5600"/>
    <w:rsid w:val="00301978"/>
    <w:rsid w:val="0030332C"/>
    <w:rsid w:val="003051C2"/>
    <w:rsid w:val="00312296"/>
    <w:rsid w:val="00314F0E"/>
    <w:rsid w:val="00321D8E"/>
    <w:rsid w:val="00325928"/>
    <w:rsid w:val="00332863"/>
    <w:rsid w:val="0033684D"/>
    <w:rsid w:val="00337B42"/>
    <w:rsid w:val="00341B42"/>
    <w:rsid w:val="0034348F"/>
    <w:rsid w:val="00356653"/>
    <w:rsid w:val="0035743F"/>
    <w:rsid w:val="00357BE2"/>
    <w:rsid w:val="0036170C"/>
    <w:rsid w:val="00366E0F"/>
    <w:rsid w:val="00381A72"/>
    <w:rsid w:val="00384676"/>
    <w:rsid w:val="00390857"/>
    <w:rsid w:val="003A4BF3"/>
    <w:rsid w:val="003B420D"/>
    <w:rsid w:val="003C6C16"/>
    <w:rsid w:val="003D794D"/>
    <w:rsid w:val="003E3058"/>
    <w:rsid w:val="003E76A9"/>
    <w:rsid w:val="003F0809"/>
    <w:rsid w:val="003F6A8C"/>
    <w:rsid w:val="003F755C"/>
    <w:rsid w:val="00406F01"/>
    <w:rsid w:val="00416D50"/>
    <w:rsid w:val="00416FD5"/>
    <w:rsid w:val="00417772"/>
    <w:rsid w:val="00420E6A"/>
    <w:rsid w:val="00425A9E"/>
    <w:rsid w:val="00426D6B"/>
    <w:rsid w:val="00431E6C"/>
    <w:rsid w:val="00433CE7"/>
    <w:rsid w:val="00452738"/>
    <w:rsid w:val="00456091"/>
    <w:rsid w:val="00462178"/>
    <w:rsid w:val="00466321"/>
    <w:rsid w:val="00484B9B"/>
    <w:rsid w:val="004855F6"/>
    <w:rsid w:val="0048661E"/>
    <w:rsid w:val="00494670"/>
    <w:rsid w:val="004A3823"/>
    <w:rsid w:val="004E6946"/>
    <w:rsid w:val="004E7D8C"/>
    <w:rsid w:val="004F1AD8"/>
    <w:rsid w:val="005039CB"/>
    <w:rsid w:val="0050558F"/>
    <w:rsid w:val="00506286"/>
    <w:rsid w:val="00510813"/>
    <w:rsid w:val="00511990"/>
    <w:rsid w:val="00511DE0"/>
    <w:rsid w:val="00514870"/>
    <w:rsid w:val="00514B9B"/>
    <w:rsid w:val="00517F02"/>
    <w:rsid w:val="00524303"/>
    <w:rsid w:val="005258A2"/>
    <w:rsid w:val="005401AE"/>
    <w:rsid w:val="00542E07"/>
    <w:rsid w:val="00545424"/>
    <w:rsid w:val="00554A7B"/>
    <w:rsid w:val="0055572C"/>
    <w:rsid w:val="0056106A"/>
    <w:rsid w:val="005720AE"/>
    <w:rsid w:val="00585555"/>
    <w:rsid w:val="00594D77"/>
    <w:rsid w:val="005969E4"/>
    <w:rsid w:val="005A06B7"/>
    <w:rsid w:val="005A1759"/>
    <w:rsid w:val="005A68A7"/>
    <w:rsid w:val="005D36AB"/>
    <w:rsid w:val="005F07D5"/>
    <w:rsid w:val="006008AD"/>
    <w:rsid w:val="00617CC3"/>
    <w:rsid w:val="006377A6"/>
    <w:rsid w:val="00637A3D"/>
    <w:rsid w:val="006411EF"/>
    <w:rsid w:val="006748B8"/>
    <w:rsid w:val="006775C3"/>
    <w:rsid w:val="0069290A"/>
    <w:rsid w:val="0069775A"/>
    <w:rsid w:val="00697813"/>
    <w:rsid w:val="006A3EE8"/>
    <w:rsid w:val="006A72BF"/>
    <w:rsid w:val="006B03F2"/>
    <w:rsid w:val="006B37DC"/>
    <w:rsid w:val="006B4F68"/>
    <w:rsid w:val="006C0592"/>
    <w:rsid w:val="006C272E"/>
    <w:rsid w:val="006C5479"/>
    <w:rsid w:val="006D13B5"/>
    <w:rsid w:val="006E12FF"/>
    <w:rsid w:val="006E607E"/>
    <w:rsid w:val="00706C5D"/>
    <w:rsid w:val="00713BA5"/>
    <w:rsid w:val="00732922"/>
    <w:rsid w:val="0075162E"/>
    <w:rsid w:val="00754034"/>
    <w:rsid w:val="00756556"/>
    <w:rsid w:val="007618C4"/>
    <w:rsid w:val="0076536E"/>
    <w:rsid w:val="00767980"/>
    <w:rsid w:val="00770B19"/>
    <w:rsid w:val="0077463F"/>
    <w:rsid w:val="007836EA"/>
    <w:rsid w:val="00784CDA"/>
    <w:rsid w:val="007906C4"/>
    <w:rsid w:val="007940EA"/>
    <w:rsid w:val="007967E8"/>
    <w:rsid w:val="007A2170"/>
    <w:rsid w:val="007A22BF"/>
    <w:rsid w:val="007A3323"/>
    <w:rsid w:val="007B72B8"/>
    <w:rsid w:val="007B7A58"/>
    <w:rsid w:val="007C21B5"/>
    <w:rsid w:val="007E4BD2"/>
    <w:rsid w:val="007F3777"/>
    <w:rsid w:val="00801393"/>
    <w:rsid w:val="00802F88"/>
    <w:rsid w:val="0081293E"/>
    <w:rsid w:val="00815465"/>
    <w:rsid w:val="00817E9A"/>
    <w:rsid w:val="008306BD"/>
    <w:rsid w:val="00831A80"/>
    <w:rsid w:val="00833743"/>
    <w:rsid w:val="008340A4"/>
    <w:rsid w:val="0087135F"/>
    <w:rsid w:val="00872D94"/>
    <w:rsid w:val="00880364"/>
    <w:rsid w:val="00891592"/>
    <w:rsid w:val="00891E9E"/>
    <w:rsid w:val="008A2F68"/>
    <w:rsid w:val="008B4FA6"/>
    <w:rsid w:val="008B5282"/>
    <w:rsid w:val="008B7C17"/>
    <w:rsid w:val="008C2D01"/>
    <w:rsid w:val="008C40E6"/>
    <w:rsid w:val="008D0F7A"/>
    <w:rsid w:val="008D68E4"/>
    <w:rsid w:val="008E0506"/>
    <w:rsid w:val="008E0CFF"/>
    <w:rsid w:val="008E5D6B"/>
    <w:rsid w:val="008E76F0"/>
    <w:rsid w:val="008F15FE"/>
    <w:rsid w:val="008F2D29"/>
    <w:rsid w:val="008F5187"/>
    <w:rsid w:val="008F60D8"/>
    <w:rsid w:val="00902727"/>
    <w:rsid w:val="0090312B"/>
    <w:rsid w:val="0091736D"/>
    <w:rsid w:val="0093037A"/>
    <w:rsid w:val="0094154D"/>
    <w:rsid w:val="0095155F"/>
    <w:rsid w:val="00954429"/>
    <w:rsid w:val="009563CE"/>
    <w:rsid w:val="00976328"/>
    <w:rsid w:val="0097680D"/>
    <w:rsid w:val="00982438"/>
    <w:rsid w:val="0098404C"/>
    <w:rsid w:val="00985283"/>
    <w:rsid w:val="00995992"/>
    <w:rsid w:val="009A03E5"/>
    <w:rsid w:val="009A0F3B"/>
    <w:rsid w:val="009A1BB4"/>
    <w:rsid w:val="009A2628"/>
    <w:rsid w:val="009A3200"/>
    <w:rsid w:val="009B0897"/>
    <w:rsid w:val="009B7BD9"/>
    <w:rsid w:val="009C7DD5"/>
    <w:rsid w:val="009E227D"/>
    <w:rsid w:val="009E5019"/>
    <w:rsid w:val="009E6C71"/>
    <w:rsid w:val="00A04F1B"/>
    <w:rsid w:val="00A0501B"/>
    <w:rsid w:val="00A14947"/>
    <w:rsid w:val="00A32A83"/>
    <w:rsid w:val="00A368DB"/>
    <w:rsid w:val="00A423AA"/>
    <w:rsid w:val="00A53EC6"/>
    <w:rsid w:val="00A55C0F"/>
    <w:rsid w:val="00A71622"/>
    <w:rsid w:val="00A8713F"/>
    <w:rsid w:val="00A90BA1"/>
    <w:rsid w:val="00A97A9A"/>
    <w:rsid w:val="00AA0671"/>
    <w:rsid w:val="00AA2531"/>
    <w:rsid w:val="00AB1E09"/>
    <w:rsid w:val="00AB5330"/>
    <w:rsid w:val="00AB7747"/>
    <w:rsid w:val="00AC14CE"/>
    <w:rsid w:val="00AC2A56"/>
    <w:rsid w:val="00AD055E"/>
    <w:rsid w:val="00AD47A7"/>
    <w:rsid w:val="00AF0CBF"/>
    <w:rsid w:val="00AF257F"/>
    <w:rsid w:val="00AF33CF"/>
    <w:rsid w:val="00AF4D50"/>
    <w:rsid w:val="00AF6179"/>
    <w:rsid w:val="00B1295A"/>
    <w:rsid w:val="00B20A45"/>
    <w:rsid w:val="00B22C5C"/>
    <w:rsid w:val="00B24F30"/>
    <w:rsid w:val="00B31ABF"/>
    <w:rsid w:val="00B33BE3"/>
    <w:rsid w:val="00B53B5D"/>
    <w:rsid w:val="00B6055E"/>
    <w:rsid w:val="00B6317D"/>
    <w:rsid w:val="00B7723F"/>
    <w:rsid w:val="00B80534"/>
    <w:rsid w:val="00B8433C"/>
    <w:rsid w:val="00B87491"/>
    <w:rsid w:val="00BA29E9"/>
    <w:rsid w:val="00BA7142"/>
    <w:rsid w:val="00BB237C"/>
    <w:rsid w:val="00BB41A3"/>
    <w:rsid w:val="00BC32DC"/>
    <w:rsid w:val="00BC35B6"/>
    <w:rsid w:val="00BD1B51"/>
    <w:rsid w:val="00BD4596"/>
    <w:rsid w:val="00BE1405"/>
    <w:rsid w:val="00BE312D"/>
    <w:rsid w:val="00BF1C20"/>
    <w:rsid w:val="00C10578"/>
    <w:rsid w:val="00C135BC"/>
    <w:rsid w:val="00C15C95"/>
    <w:rsid w:val="00C2596A"/>
    <w:rsid w:val="00C27537"/>
    <w:rsid w:val="00C328FE"/>
    <w:rsid w:val="00C33507"/>
    <w:rsid w:val="00C4409D"/>
    <w:rsid w:val="00C44E72"/>
    <w:rsid w:val="00C45A06"/>
    <w:rsid w:val="00C47E5B"/>
    <w:rsid w:val="00C61E4B"/>
    <w:rsid w:val="00C64BFF"/>
    <w:rsid w:val="00C704E9"/>
    <w:rsid w:val="00C763C9"/>
    <w:rsid w:val="00C80057"/>
    <w:rsid w:val="00C82232"/>
    <w:rsid w:val="00C82913"/>
    <w:rsid w:val="00C972B1"/>
    <w:rsid w:val="00CA2CCE"/>
    <w:rsid w:val="00CA43FD"/>
    <w:rsid w:val="00CA7EF8"/>
    <w:rsid w:val="00CB27AE"/>
    <w:rsid w:val="00CC489B"/>
    <w:rsid w:val="00CD2BCD"/>
    <w:rsid w:val="00CD3A4C"/>
    <w:rsid w:val="00CE10E9"/>
    <w:rsid w:val="00CE2910"/>
    <w:rsid w:val="00CE5393"/>
    <w:rsid w:val="00CF36BE"/>
    <w:rsid w:val="00CF6000"/>
    <w:rsid w:val="00D003F3"/>
    <w:rsid w:val="00D0364F"/>
    <w:rsid w:val="00D06834"/>
    <w:rsid w:val="00D308ED"/>
    <w:rsid w:val="00D36D86"/>
    <w:rsid w:val="00D428AA"/>
    <w:rsid w:val="00D50A34"/>
    <w:rsid w:val="00D53EFA"/>
    <w:rsid w:val="00D76088"/>
    <w:rsid w:val="00D94A7C"/>
    <w:rsid w:val="00D95896"/>
    <w:rsid w:val="00DB2983"/>
    <w:rsid w:val="00DC1257"/>
    <w:rsid w:val="00DC3DC0"/>
    <w:rsid w:val="00DC5B2B"/>
    <w:rsid w:val="00DC6D34"/>
    <w:rsid w:val="00DD318D"/>
    <w:rsid w:val="00DE4648"/>
    <w:rsid w:val="00DF2E12"/>
    <w:rsid w:val="00DF514A"/>
    <w:rsid w:val="00DF6690"/>
    <w:rsid w:val="00DF6804"/>
    <w:rsid w:val="00E0358D"/>
    <w:rsid w:val="00E04323"/>
    <w:rsid w:val="00E070A2"/>
    <w:rsid w:val="00E2656A"/>
    <w:rsid w:val="00E412D0"/>
    <w:rsid w:val="00E4719A"/>
    <w:rsid w:val="00E56322"/>
    <w:rsid w:val="00E60982"/>
    <w:rsid w:val="00E62C62"/>
    <w:rsid w:val="00E654C1"/>
    <w:rsid w:val="00E65D97"/>
    <w:rsid w:val="00E72A5A"/>
    <w:rsid w:val="00E73354"/>
    <w:rsid w:val="00E9242D"/>
    <w:rsid w:val="00EB5255"/>
    <w:rsid w:val="00EB5C47"/>
    <w:rsid w:val="00ED0639"/>
    <w:rsid w:val="00ED732E"/>
    <w:rsid w:val="00EF4755"/>
    <w:rsid w:val="00EF7135"/>
    <w:rsid w:val="00F027DB"/>
    <w:rsid w:val="00F07BA7"/>
    <w:rsid w:val="00F14A7A"/>
    <w:rsid w:val="00F22985"/>
    <w:rsid w:val="00F3383E"/>
    <w:rsid w:val="00F41C9B"/>
    <w:rsid w:val="00F4562A"/>
    <w:rsid w:val="00F465A7"/>
    <w:rsid w:val="00F50B7C"/>
    <w:rsid w:val="00F550E6"/>
    <w:rsid w:val="00F74345"/>
    <w:rsid w:val="00F80A0A"/>
    <w:rsid w:val="00F82B19"/>
    <w:rsid w:val="00F9212D"/>
    <w:rsid w:val="00F965DA"/>
    <w:rsid w:val="00FA406A"/>
    <w:rsid w:val="00FB503A"/>
    <w:rsid w:val="00FB516C"/>
    <w:rsid w:val="00FD0236"/>
    <w:rsid w:val="00FD18F4"/>
    <w:rsid w:val="00FD54DB"/>
    <w:rsid w:val="00FD619F"/>
    <w:rsid w:val="01290F7E"/>
    <w:rsid w:val="012913E6"/>
    <w:rsid w:val="012D2D77"/>
    <w:rsid w:val="01423DC5"/>
    <w:rsid w:val="014B4CFA"/>
    <w:rsid w:val="015D1E09"/>
    <w:rsid w:val="015E48BC"/>
    <w:rsid w:val="01866164"/>
    <w:rsid w:val="01A31ABB"/>
    <w:rsid w:val="01AA16F8"/>
    <w:rsid w:val="01B03FDC"/>
    <w:rsid w:val="01F4561D"/>
    <w:rsid w:val="0207642D"/>
    <w:rsid w:val="020A6DBF"/>
    <w:rsid w:val="022C1A0A"/>
    <w:rsid w:val="023A123D"/>
    <w:rsid w:val="02455005"/>
    <w:rsid w:val="02697903"/>
    <w:rsid w:val="026C026A"/>
    <w:rsid w:val="028A71EE"/>
    <w:rsid w:val="028B3ADB"/>
    <w:rsid w:val="028D2B2E"/>
    <w:rsid w:val="02A3285B"/>
    <w:rsid w:val="02B978DD"/>
    <w:rsid w:val="02D634CE"/>
    <w:rsid w:val="02D77FEE"/>
    <w:rsid w:val="02EE79FE"/>
    <w:rsid w:val="02F96569"/>
    <w:rsid w:val="02FD6F28"/>
    <w:rsid w:val="03364748"/>
    <w:rsid w:val="03722A70"/>
    <w:rsid w:val="03BD3DD6"/>
    <w:rsid w:val="03C30C20"/>
    <w:rsid w:val="03D20319"/>
    <w:rsid w:val="03E36BE1"/>
    <w:rsid w:val="03EA7B21"/>
    <w:rsid w:val="03F6739B"/>
    <w:rsid w:val="03FB485E"/>
    <w:rsid w:val="03FD36E2"/>
    <w:rsid w:val="041965BD"/>
    <w:rsid w:val="042D6131"/>
    <w:rsid w:val="042E00BE"/>
    <w:rsid w:val="042F2EB7"/>
    <w:rsid w:val="0446094A"/>
    <w:rsid w:val="04550B38"/>
    <w:rsid w:val="0459269D"/>
    <w:rsid w:val="048B53CF"/>
    <w:rsid w:val="048D2975"/>
    <w:rsid w:val="04BF763E"/>
    <w:rsid w:val="04E951E7"/>
    <w:rsid w:val="04F00248"/>
    <w:rsid w:val="0535057C"/>
    <w:rsid w:val="05376C79"/>
    <w:rsid w:val="05452288"/>
    <w:rsid w:val="05A70276"/>
    <w:rsid w:val="05C041EC"/>
    <w:rsid w:val="05D435B9"/>
    <w:rsid w:val="05F83EAE"/>
    <w:rsid w:val="05FF6AEF"/>
    <w:rsid w:val="06270CA0"/>
    <w:rsid w:val="062F7D99"/>
    <w:rsid w:val="063E7D85"/>
    <w:rsid w:val="066E30C6"/>
    <w:rsid w:val="06B60C99"/>
    <w:rsid w:val="06B83B8B"/>
    <w:rsid w:val="06E27EAC"/>
    <w:rsid w:val="06EF64F1"/>
    <w:rsid w:val="071B3760"/>
    <w:rsid w:val="071E158A"/>
    <w:rsid w:val="07293586"/>
    <w:rsid w:val="07295285"/>
    <w:rsid w:val="07487DBA"/>
    <w:rsid w:val="075449B1"/>
    <w:rsid w:val="075854A9"/>
    <w:rsid w:val="07593D76"/>
    <w:rsid w:val="07636392"/>
    <w:rsid w:val="076D5176"/>
    <w:rsid w:val="07770C56"/>
    <w:rsid w:val="078C218D"/>
    <w:rsid w:val="079020FF"/>
    <w:rsid w:val="07AD01D2"/>
    <w:rsid w:val="07BE2DF7"/>
    <w:rsid w:val="07BF0703"/>
    <w:rsid w:val="07C23A68"/>
    <w:rsid w:val="07C46548"/>
    <w:rsid w:val="08012539"/>
    <w:rsid w:val="081163FE"/>
    <w:rsid w:val="0860520D"/>
    <w:rsid w:val="08834CC4"/>
    <w:rsid w:val="08D538D0"/>
    <w:rsid w:val="0902518B"/>
    <w:rsid w:val="090D7925"/>
    <w:rsid w:val="092217DD"/>
    <w:rsid w:val="092566E5"/>
    <w:rsid w:val="092A3778"/>
    <w:rsid w:val="09351E51"/>
    <w:rsid w:val="09383E5F"/>
    <w:rsid w:val="093922A3"/>
    <w:rsid w:val="093A7294"/>
    <w:rsid w:val="09502F56"/>
    <w:rsid w:val="09531315"/>
    <w:rsid w:val="095B3169"/>
    <w:rsid w:val="097E5F64"/>
    <w:rsid w:val="098A46BA"/>
    <w:rsid w:val="098E58FB"/>
    <w:rsid w:val="09A340BC"/>
    <w:rsid w:val="09D16D3F"/>
    <w:rsid w:val="09FD46CD"/>
    <w:rsid w:val="0A1B6742"/>
    <w:rsid w:val="0A263993"/>
    <w:rsid w:val="0A2D3AC2"/>
    <w:rsid w:val="0A6071C9"/>
    <w:rsid w:val="0A7306EA"/>
    <w:rsid w:val="0A741754"/>
    <w:rsid w:val="0A836C5F"/>
    <w:rsid w:val="0AA755DF"/>
    <w:rsid w:val="0ACD0F93"/>
    <w:rsid w:val="0AD07C44"/>
    <w:rsid w:val="0AFD3DEF"/>
    <w:rsid w:val="0B093D05"/>
    <w:rsid w:val="0B120D44"/>
    <w:rsid w:val="0B1B4889"/>
    <w:rsid w:val="0B6B4A72"/>
    <w:rsid w:val="0B771008"/>
    <w:rsid w:val="0B8E7CE6"/>
    <w:rsid w:val="0BBF789B"/>
    <w:rsid w:val="0BC72B31"/>
    <w:rsid w:val="0BD27BF6"/>
    <w:rsid w:val="0BDB2BA0"/>
    <w:rsid w:val="0BDD5611"/>
    <w:rsid w:val="0BE65639"/>
    <w:rsid w:val="0BEE438C"/>
    <w:rsid w:val="0C2B4210"/>
    <w:rsid w:val="0C2D70D0"/>
    <w:rsid w:val="0C3B3C7D"/>
    <w:rsid w:val="0C5171D7"/>
    <w:rsid w:val="0C6C4419"/>
    <w:rsid w:val="0C9E5704"/>
    <w:rsid w:val="0CAB2EAE"/>
    <w:rsid w:val="0CAC2B9A"/>
    <w:rsid w:val="0CBD2CFA"/>
    <w:rsid w:val="0CCD3A34"/>
    <w:rsid w:val="0CE83A0C"/>
    <w:rsid w:val="0CEC61EE"/>
    <w:rsid w:val="0CF71EEF"/>
    <w:rsid w:val="0D0B7392"/>
    <w:rsid w:val="0D173DFF"/>
    <w:rsid w:val="0D2D73F1"/>
    <w:rsid w:val="0D3F313C"/>
    <w:rsid w:val="0D437E45"/>
    <w:rsid w:val="0D4960EF"/>
    <w:rsid w:val="0D4D70C6"/>
    <w:rsid w:val="0D621C7D"/>
    <w:rsid w:val="0D714374"/>
    <w:rsid w:val="0DBA6D92"/>
    <w:rsid w:val="0DC379D7"/>
    <w:rsid w:val="0DCB2B73"/>
    <w:rsid w:val="0DDB528A"/>
    <w:rsid w:val="0DE948F0"/>
    <w:rsid w:val="0E1C749F"/>
    <w:rsid w:val="0E393BEB"/>
    <w:rsid w:val="0E4D2AEF"/>
    <w:rsid w:val="0E6058A2"/>
    <w:rsid w:val="0E67314B"/>
    <w:rsid w:val="0E73034D"/>
    <w:rsid w:val="0E94727B"/>
    <w:rsid w:val="0E9B4C74"/>
    <w:rsid w:val="0EB421D9"/>
    <w:rsid w:val="0EC75D5E"/>
    <w:rsid w:val="0ECB504C"/>
    <w:rsid w:val="0EE546EB"/>
    <w:rsid w:val="0EF12D8B"/>
    <w:rsid w:val="0EFC3072"/>
    <w:rsid w:val="0EFD0497"/>
    <w:rsid w:val="0F092816"/>
    <w:rsid w:val="0F13775A"/>
    <w:rsid w:val="0F24390A"/>
    <w:rsid w:val="0F2758EC"/>
    <w:rsid w:val="0F280FC4"/>
    <w:rsid w:val="0F5A1CA5"/>
    <w:rsid w:val="0F5C0006"/>
    <w:rsid w:val="0F5F45FE"/>
    <w:rsid w:val="0F67447A"/>
    <w:rsid w:val="0F696D55"/>
    <w:rsid w:val="0F744668"/>
    <w:rsid w:val="0F9627F7"/>
    <w:rsid w:val="0F9A112B"/>
    <w:rsid w:val="0FB467D5"/>
    <w:rsid w:val="0FC1695C"/>
    <w:rsid w:val="101316CB"/>
    <w:rsid w:val="103D7805"/>
    <w:rsid w:val="10436E6B"/>
    <w:rsid w:val="106D2F64"/>
    <w:rsid w:val="108D17BC"/>
    <w:rsid w:val="10AC2D6C"/>
    <w:rsid w:val="10B63710"/>
    <w:rsid w:val="10F10820"/>
    <w:rsid w:val="111C2F7A"/>
    <w:rsid w:val="112E4449"/>
    <w:rsid w:val="11381354"/>
    <w:rsid w:val="114871A2"/>
    <w:rsid w:val="115F2A04"/>
    <w:rsid w:val="11641383"/>
    <w:rsid w:val="11665CA1"/>
    <w:rsid w:val="117E017D"/>
    <w:rsid w:val="11910454"/>
    <w:rsid w:val="1191417E"/>
    <w:rsid w:val="11C113C0"/>
    <w:rsid w:val="11D6509F"/>
    <w:rsid w:val="11D81D3B"/>
    <w:rsid w:val="11E01C2E"/>
    <w:rsid w:val="11FD6167"/>
    <w:rsid w:val="12174F59"/>
    <w:rsid w:val="122050AB"/>
    <w:rsid w:val="1223332E"/>
    <w:rsid w:val="12373EC2"/>
    <w:rsid w:val="1257497F"/>
    <w:rsid w:val="125C0A33"/>
    <w:rsid w:val="12651008"/>
    <w:rsid w:val="12696E37"/>
    <w:rsid w:val="12A37EB1"/>
    <w:rsid w:val="12B4614C"/>
    <w:rsid w:val="12BD0BC5"/>
    <w:rsid w:val="12C25EE2"/>
    <w:rsid w:val="12CD3B60"/>
    <w:rsid w:val="12EF7697"/>
    <w:rsid w:val="12FB5DDC"/>
    <w:rsid w:val="13291137"/>
    <w:rsid w:val="133303DA"/>
    <w:rsid w:val="134F252E"/>
    <w:rsid w:val="136754AC"/>
    <w:rsid w:val="136C3EED"/>
    <w:rsid w:val="13951726"/>
    <w:rsid w:val="13AD0903"/>
    <w:rsid w:val="13BB48EC"/>
    <w:rsid w:val="13CE328A"/>
    <w:rsid w:val="13D84274"/>
    <w:rsid w:val="13F461DC"/>
    <w:rsid w:val="141811AD"/>
    <w:rsid w:val="1438389B"/>
    <w:rsid w:val="14396509"/>
    <w:rsid w:val="145A5D58"/>
    <w:rsid w:val="146A2951"/>
    <w:rsid w:val="14786492"/>
    <w:rsid w:val="14A514A2"/>
    <w:rsid w:val="14DD2C3C"/>
    <w:rsid w:val="14E47187"/>
    <w:rsid w:val="14E90674"/>
    <w:rsid w:val="14F81510"/>
    <w:rsid w:val="14F926F4"/>
    <w:rsid w:val="152B128F"/>
    <w:rsid w:val="1571672E"/>
    <w:rsid w:val="158F6EEB"/>
    <w:rsid w:val="15924739"/>
    <w:rsid w:val="15992757"/>
    <w:rsid w:val="15B27D47"/>
    <w:rsid w:val="15C251DC"/>
    <w:rsid w:val="15C90AAF"/>
    <w:rsid w:val="15D126E0"/>
    <w:rsid w:val="15E038B4"/>
    <w:rsid w:val="15F74F92"/>
    <w:rsid w:val="15FA71B4"/>
    <w:rsid w:val="16087E1D"/>
    <w:rsid w:val="160E4CE9"/>
    <w:rsid w:val="161D173C"/>
    <w:rsid w:val="162D6D8F"/>
    <w:rsid w:val="16383A4B"/>
    <w:rsid w:val="163A6CA3"/>
    <w:rsid w:val="163C75C3"/>
    <w:rsid w:val="16467BBB"/>
    <w:rsid w:val="16851B74"/>
    <w:rsid w:val="1696119B"/>
    <w:rsid w:val="1697420C"/>
    <w:rsid w:val="169D11A8"/>
    <w:rsid w:val="16B807CF"/>
    <w:rsid w:val="16E76D02"/>
    <w:rsid w:val="16F06BDB"/>
    <w:rsid w:val="16F433E8"/>
    <w:rsid w:val="17004BB1"/>
    <w:rsid w:val="17025D0E"/>
    <w:rsid w:val="17146F11"/>
    <w:rsid w:val="174A16E0"/>
    <w:rsid w:val="1757703A"/>
    <w:rsid w:val="176356CD"/>
    <w:rsid w:val="17676F98"/>
    <w:rsid w:val="17701D14"/>
    <w:rsid w:val="17735226"/>
    <w:rsid w:val="17740032"/>
    <w:rsid w:val="178A120B"/>
    <w:rsid w:val="179C6865"/>
    <w:rsid w:val="179F0E07"/>
    <w:rsid w:val="17C57205"/>
    <w:rsid w:val="17E67A01"/>
    <w:rsid w:val="17E90E2A"/>
    <w:rsid w:val="17FE1FC2"/>
    <w:rsid w:val="17FF44C5"/>
    <w:rsid w:val="181B5077"/>
    <w:rsid w:val="1824593A"/>
    <w:rsid w:val="1875756F"/>
    <w:rsid w:val="18783674"/>
    <w:rsid w:val="1890336F"/>
    <w:rsid w:val="18921B70"/>
    <w:rsid w:val="18926548"/>
    <w:rsid w:val="189A5B33"/>
    <w:rsid w:val="189D1E29"/>
    <w:rsid w:val="189F624C"/>
    <w:rsid w:val="18A1495D"/>
    <w:rsid w:val="18A41246"/>
    <w:rsid w:val="18C105A4"/>
    <w:rsid w:val="18C37C57"/>
    <w:rsid w:val="18CE5C46"/>
    <w:rsid w:val="193A174E"/>
    <w:rsid w:val="195B1BCF"/>
    <w:rsid w:val="19671F3D"/>
    <w:rsid w:val="196E445D"/>
    <w:rsid w:val="196F0330"/>
    <w:rsid w:val="198B7A27"/>
    <w:rsid w:val="19993C89"/>
    <w:rsid w:val="199B0AC2"/>
    <w:rsid w:val="19B912EE"/>
    <w:rsid w:val="19BD3451"/>
    <w:rsid w:val="19CE0F66"/>
    <w:rsid w:val="19DB4ABE"/>
    <w:rsid w:val="19F623F7"/>
    <w:rsid w:val="1A1C66C0"/>
    <w:rsid w:val="1A42393B"/>
    <w:rsid w:val="1A5605E9"/>
    <w:rsid w:val="1A760DCE"/>
    <w:rsid w:val="1A7801BE"/>
    <w:rsid w:val="1A7849EB"/>
    <w:rsid w:val="1A7E4CD5"/>
    <w:rsid w:val="1A8011C2"/>
    <w:rsid w:val="1A9E141F"/>
    <w:rsid w:val="1AAD45DE"/>
    <w:rsid w:val="1ADA16BA"/>
    <w:rsid w:val="1AE91551"/>
    <w:rsid w:val="1AEE665F"/>
    <w:rsid w:val="1AFE4700"/>
    <w:rsid w:val="1B046F80"/>
    <w:rsid w:val="1B09565B"/>
    <w:rsid w:val="1B0B3E29"/>
    <w:rsid w:val="1B1F6F0C"/>
    <w:rsid w:val="1B3267B5"/>
    <w:rsid w:val="1B40161D"/>
    <w:rsid w:val="1B441859"/>
    <w:rsid w:val="1B447857"/>
    <w:rsid w:val="1B6606B1"/>
    <w:rsid w:val="1B716D64"/>
    <w:rsid w:val="1B8511C4"/>
    <w:rsid w:val="1B95123F"/>
    <w:rsid w:val="1B961B9F"/>
    <w:rsid w:val="1BA038C5"/>
    <w:rsid w:val="1BB45504"/>
    <w:rsid w:val="1BF63026"/>
    <w:rsid w:val="1C0A42A2"/>
    <w:rsid w:val="1C336906"/>
    <w:rsid w:val="1C3A3DDB"/>
    <w:rsid w:val="1C5B514C"/>
    <w:rsid w:val="1C5E7925"/>
    <w:rsid w:val="1C6C5EA1"/>
    <w:rsid w:val="1C7E4482"/>
    <w:rsid w:val="1C894C01"/>
    <w:rsid w:val="1C9553F8"/>
    <w:rsid w:val="1C966826"/>
    <w:rsid w:val="1CAC4828"/>
    <w:rsid w:val="1CAC6004"/>
    <w:rsid w:val="1CB32516"/>
    <w:rsid w:val="1CB97B08"/>
    <w:rsid w:val="1CC15E4F"/>
    <w:rsid w:val="1CD4640E"/>
    <w:rsid w:val="1CED4F09"/>
    <w:rsid w:val="1CFD070F"/>
    <w:rsid w:val="1D291FE4"/>
    <w:rsid w:val="1D417544"/>
    <w:rsid w:val="1D457285"/>
    <w:rsid w:val="1D4D182F"/>
    <w:rsid w:val="1D5F6196"/>
    <w:rsid w:val="1D6132A5"/>
    <w:rsid w:val="1D666F19"/>
    <w:rsid w:val="1D6B6712"/>
    <w:rsid w:val="1D8E56D5"/>
    <w:rsid w:val="1D903980"/>
    <w:rsid w:val="1DE10B3A"/>
    <w:rsid w:val="1DF60118"/>
    <w:rsid w:val="1E013226"/>
    <w:rsid w:val="1E380731"/>
    <w:rsid w:val="1E507BEF"/>
    <w:rsid w:val="1E623A13"/>
    <w:rsid w:val="1E7075C2"/>
    <w:rsid w:val="1E7A43DA"/>
    <w:rsid w:val="1E850D93"/>
    <w:rsid w:val="1E901D3E"/>
    <w:rsid w:val="1E9963C7"/>
    <w:rsid w:val="1E9C4939"/>
    <w:rsid w:val="1EC1126F"/>
    <w:rsid w:val="1EE0071E"/>
    <w:rsid w:val="1EFC5515"/>
    <w:rsid w:val="1F2B5BA0"/>
    <w:rsid w:val="1F2E1816"/>
    <w:rsid w:val="1F31662D"/>
    <w:rsid w:val="1F363239"/>
    <w:rsid w:val="1F4D6154"/>
    <w:rsid w:val="1F5A0233"/>
    <w:rsid w:val="1F647304"/>
    <w:rsid w:val="1F947BE9"/>
    <w:rsid w:val="1FA14E37"/>
    <w:rsid w:val="1FA238EF"/>
    <w:rsid w:val="1FB21CC3"/>
    <w:rsid w:val="1FC0184D"/>
    <w:rsid w:val="1FC81A2E"/>
    <w:rsid w:val="1FCD6C57"/>
    <w:rsid w:val="1FE7539E"/>
    <w:rsid w:val="1FEF1CA8"/>
    <w:rsid w:val="20026253"/>
    <w:rsid w:val="202200A7"/>
    <w:rsid w:val="20671BE0"/>
    <w:rsid w:val="206D21E8"/>
    <w:rsid w:val="206E37B2"/>
    <w:rsid w:val="20771BD7"/>
    <w:rsid w:val="207F74D4"/>
    <w:rsid w:val="20833B96"/>
    <w:rsid w:val="20963CB8"/>
    <w:rsid w:val="20A774A8"/>
    <w:rsid w:val="20A81A1B"/>
    <w:rsid w:val="20B07FB6"/>
    <w:rsid w:val="20B646FB"/>
    <w:rsid w:val="20BE41B8"/>
    <w:rsid w:val="21333432"/>
    <w:rsid w:val="213B74B1"/>
    <w:rsid w:val="215A2310"/>
    <w:rsid w:val="21646C39"/>
    <w:rsid w:val="216C5A40"/>
    <w:rsid w:val="21766A12"/>
    <w:rsid w:val="217750CC"/>
    <w:rsid w:val="219D2D23"/>
    <w:rsid w:val="21B87493"/>
    <w:rsid w:val="21DE318A"/>
    <w:rsid w:val="21EF5B80"/>
    <w:rsid w:val="22270C59"/>
    <w:rsid w:val="222D2299"/>
    <w:rsid w:val="22431452"/>
    <w:rsid w:val="224F3EAD"/>
    <w:rsid w:val="22576990"/>
    <w:rsid w:val="22637002"/>
    <w:rsid w:val="227117DF"/>
    <w:rsid w:val="228C3783"/>
    <w:rsid w:val="22C455C3"/>
    <w:rsid w:val="22CC58EC"/>
    <w:rsid w:val="22DD5BAD"/>
    <w:rsid w:val="22E7713E"/>
    <w:rsid w:val="22F47480"/>
    <w:rsid w:val="22F83FEB"/>
    <w:rsid w:val="231057D9"/>
    <w:rsid w:val="23494ECF"/>
    <w:rsid w:val="234A25AF"/>
    <w:rsid w:val="235002CB"/>
    <w:rsid w:val="23535F81"/>
    <w:rsid w:val="23711FEF"/>
    <w:rsid w:val="23825FAA"/>
    <w:rsid w:val="239664B8"/>
    <w:rsid w:val="23A729B4"/>
    <w:rsid w:val="23D72239"/>
    <w:rsid w:val="23DE1C48"/>
    <w:rsid w:val="23EB61A9"/>
    <w:rsid w:val="23EF7F21"/>
    <w:rsid w:val="240210CD"/>
    <w:rsid w:val="24123354"/>
    <w:rsid w:val="24727DCD"/>
    <w:rsid w:val="24822A0F"/>
    <w:rsid w:val="24A51F50"/>
    <w:rsid w:val="24BA3864"/>
    <w:rsid w:val="24BF09F7"/>
    <w:rsid w:val="24DF6C66"/>
    <w:rsid w:val="24DF7844"/>
    <w:rsid w:val="24E22A16"/>
    <w:rsid w:val="25207829"/>
    <w:rsid w:val="25225BC4"/>
    <w:rsid w:val="252D4E07"/>
    <w:rsid w:val="252D53FE"/>
    <w:rsid w:val="252E746D"/>
    <w:rsid w:val="25501C63"/>
    <w:rsid w:val="2557307F"/>
    <w:rsid w:val="256453AD"/>
    <w:rsid w:val="25A77F4A"/>
    <w:rsid w:val="25A95A70"/>
    <w:rsid w:val="25B77111"/>
    <w:rsid w:val="25BA5ED0"/>
    <w:rsid w:val="25EC2D81"/>
    <w:rsid w:val="25FB1F49"/>
    <w:rsid w:val="25FB2978"/>
    <w:rsid w:val="25FD4E35"/>
    <w:rsid w:val="260B672B"/>
    <w:rsid w:val="2619782D"/>
    <w:rsid w:val="2625234E"/>
    <w:rsid w:val="2630355E"/>
    <w:rsid w:val="263162FA"/>
    <w:rsid w:val="26387542"/>
    <w:rsid w:val="264473EE"/>
    <w:rsid w:val="264A7253"/>
    <w:rsid w:val="26554B29"/>
    <w:rsid w:val="265E4AAD"/>
    <w:rsid w:val="26634C9A"/>
    <w:rsid w:val="2670658E"/>
    <w:rsid w:val="2674499C"/>
    <w:rsid w:val="274B6DD8"/>
    <w:rsid w:val="274C4B40"/>
    <w:rsid w:val="274C6BEA"/>
    <w:rsid w:val="276672CA"/>
    <w:rsid w:val="276F7982"/>
    <w:rsid w:val="277057A2"/>
    <w:rsid w:val="277E783A"/>
    <w:rsid w:val="27957148"/>
    <w:rsid w:val="279C6EDA"/>
    <w:rsid w:val="27CC5901"/>
    <w:rsid w:val="27FC35A6"/>
    <w:rsid w:val="280D0539"/>
    <w:rsid w:val="28313DEE"/>
    <w:rsid w:val="2833475B"/>
    <w:rsid w:val="283377CD"/>
    <w:rsid w:val="28373807"/>
    <w:rsid w:val="285D08F3"/>
    <w:rsid w:val="28937899"/>
    <w:rsid w:val="289C2D26"/>
    <w:rsid w:val="289D091F"/>
    <w:rsid w:val="289D128F"/>
    <w:rsid w:val="28A87747"/>
    <w:rsid w:val="28B60BD0"/>
    <w:rsid w:val="28C01A4F"/>
    <w:rsid w:val="28C26CFB"/>
    <w:rsid w:val="28C84AAD"/>
    <w:rsid w:val="28CA12F8"/>
    <w:rsid w:val="28CC5F68"/>
    <w:rsid w:val="28DA74B8"/>
    <w:rsid w:val="28FA191A"/>
    <w:rsid w:val="28FB32A8"/>
    <w:rsid w:val="291D0C4F"/>
    <w:rsid w:val="29206EB8"/>
    <w:rsid w:val="29595666"/>
    <w:rsid w:val="295C5FCF"/>
    <w:rsid w:val="295D37EA"/>
    <w:rsid w:val="29804E7F"/>
    <w:rsid w:val="29874881"/>
    <w:rsid w:val="29C76584"/>
    <w:rsid w:val="29D76564"/>
    <w:rsid w:val="29E300F8"/>
    <w:rsid w:val="29E325E0"/>
    <w:rsid w:val="2A23219A"/>
    <w:rsid w:val="2A234E91"/>
    <w:rsid w:val="2A2E45FD"/>
    <w:rsid w:val="2A4274B0"/>
    <w:rsid w:val="2A434D74"/>
    <w:rsid w:val="2A452503"/>
    <w:rsid w:val="2A49284D"/>
    <w:rsid w:val="2A4A22BA"/>
    <w:rsid w:val="2A6E7289"/>
    <w:rsid w:val="2AAA2228"/>
    <w:rsid w:val="2B0222BA"/>
    <w:rsid w:val="2B14398C"/>
    <w:rsid w:val="2B195E49"/>
    <w:rsid w:val="2B52553E"/>
    <w:rsid w:val="2B5D3585"/>
    <w:rsid w:val="2B620F43"/>
    <w:rsid w:val="2B692874"/>
    <w:rsid w:val="2B9C7294"/>
    <w:rsid w:val="2B9F6C4C"/>
    <w:rsid w:val="2BA41B9E"/>
    <w:rsid w:val="2BA72CFC"/>
    <w:rsid w:val="2BA73E61"/>
    <w:rsid w:val="2BA936A8"/>
    <w:rsid w:val="2BBE22F2"/>
    <w:rsid w:val="2BD60005"/>
    <w:rsid w:val="2BDB3343"/>
    <w:rsid w:val="2BF362E4"/>
    <w:rsid w:val="2C1F6654"/>
    <w:rsid w:val="2C315A5A"/>
    <w:rsid w:val="2C373211"/>
    <w:rsid w:val="2C4226A4"/>
    <w:rsid w:val="2C453E2B"/>
    <w:rsid w:val="2C471B3F"/>
    <w:rsid w:val="2C4B1C25"/>
    <w:rsid w:val="2C5543BC"/>
    <w:rsid w:val="2C9B522B"/>
    <w:rsid w:val="2CB0732E"/>
    <w:rsid w:val="2CB52AB9"/>
    <w:rsid w:val="2CB71165"/>
    <w:rsid w:val="2CD07D87"/>
    <w:rsid w:val="2CDB717B"/>
    <w:rsid w:val="2CE10D2D"/>
    <w:rsid w:val="2CF72DFA"/>
    <w:rsid w:val="2CFF43AF"/>
    <w:rsid w:val="2D4A7315"/>
    <w:rsid w:val="2D6E1236"/>
    <w:rsid w:val="2D8546B4"/>
    <w:rsid w:val="2D8B6BA9"/>
    <w:rsid w:val="2D8C2F56"/>
    <w:rsid w:val="2D972FD9"/>
    <w:rsid w:val="2D9E56F5"/>
    <w:rsid w:val="2DA25C3B"/>
    <w:rsid w:val="2DAC419C"/>
    <w:rsid w:val="2DBC36D1"/>
    <w:rsid w:val="2DBD2768"/>
    <w:rsid w:val="2DC5112E"/>
    <w:rsid w:val="2DC5364D"/>
    <w:rsid w:val="2DEB5E7E"/>
    <w:rsid w:val="2DEE5136"/>
    <w:rsid w:val="2E0B7727"/>
    <w:rsid w:val="2E446C02"/>
    <w:rsid w:val="2E4B1DBB"/>
    <w:rsid w:val="2E667F96"/>
    <w:rsid w:val="2E7A132F"/>
    <w:rsid w:val="2E7B66E8"/>
    <w:rsid w:val="2E8226AB"/>
    <w:rsid w:val="2E9C07EA"/>
    <w:rsid w:val="2EA23D0C"/>
    <w:rsid w:val="2EA6558A"/>
    <w:rsid w:val="2ED21682"/>
    <w:rsid w:val="2ED8717E"/>
    <w:rsid w:val="2EF40B2D"/>
    <w:rsid w:val="2F000F31"/>
    <w:rsid w:val="2F080744"/>
    <w:rsid w:val="2F283EAA"/>
    <w:rsid w:val="2F520F27"/>
    <w:rsid w:val="2F8509B5"/>
    <w:rsid w:val="2F9C17B4"/>
    <w:rsid w:val="2FD065E6"/>
    <w:rsid w:val="2FD96870"/>
    <w:rsid w:val="2FE75783"/>
    <w:rsid w:val="30063B76"/>
    <w:rsid w:val="30134B5A"/>
    <w:rsid w:val="301917A7"/>
    <w:rsid w:val="301B756B"/>
    <w:rsid w:val="30234671"/>
    <w:rsid w:val="3038636F"/>
    <w:rsid w:val="30444608"/>
    <w:rsid w:val="30580BC9"/>
    <w:rsid w:val="30635C28"/>
    <w:rsid w:val="3070443D"/>
    <w:rsid w:val="308158FC"/>
    <w:rsid w:val="30885806"/>
    <w:rsid w:val="30890898"/>
    <w:rsid w:val="30B041E1"/>
    <w:rsid w:val="30F36BFE"/>
    <w:rsid w:val="311E2ED7"/>
    <w:rsid w:val="312C7DA4"/>
    <w:rsid w:val="312D6348"/>
    <w:rsid w:val="315619EE"/>
    <w:rsid w:val="315C449C"/>
    <w:rsid w:val="317462A9"/>
    <w:rsid w:val="318673DE"/>
    <w:rsid w:val="31902871"/>
    <w:rsid w:val="319C7F59"/>
    <w:rsid w:val="31B428F2"/>
    <w:rsid w:val="31B82709"/>
    <w:rsid w:val="31BC4627"/>
    <w:rsid w:val="31C25180"/>
    <w:rsid w:val="31D05482"/>
    <w:rsid w:val="31D07670"/>
    <w:rsid w:val="31E27053"/>
    <w:rsid w:val="31EA61B5"/>
    <w:rsid w:val="320D0E56"/>
    <w:rsid w:val="32317519"/>
    <w:rsid w:val="32400B34"/>
    <w:rsid w:val="32513718"/>
    <w:rsid w:val="32803FFD"/>
    <w:rsid w:val="329A654D"/>
    <w:rsid w:val="329E6876"/>
    <w:rsid w:val="32D84EB5"/>
    <w:rsid w:val="32F15B31"/>
    <w:rsid w:val="33062CAE"/>
    <w:rsid w:val="33114479"/>
    <w:rsid w:val="33147085"/>
    <w:rsid w:val="331A7AA9"/>
    <w:rsid w:val="332143CC"/>
    <w:rsid w:val="332D32F1"/>
    <w:rsid w:val="333015F2"/>
    <w:rsid w:val="334B6320"/>
    <w:rsid w:val="33595455"/>
    <w:rsid w:val="338C71DD"/>
    <w:rsid w:val="339E7B3C"/>
    <w:rsid w:val="33CD3B29"/>
    <w:rsid w:val="33D934D4"/>
    <w:rsid w:val="33FE2F6A"/>
    <w:rsid w:val="340E07E5"/>
    <w:rsid w:val="34235BF7"/>
    <w:rsid w:val="342D5ABF"/>
    <w:rsid w:val="34527638"/>
    <w:rsid w:val="34BD4F0D"/>
    <w:rsid w:val="34C13432"/>
    <w:rsid w:val="34E959C3"/>
    <w:rsid w:val="35133E3C"/>
    <w:rsid w:val="352C6A5F"/>
    <w:rsid w:val="35364852"/>
    <w:rsid w:val="353F42E9"/>
    <w:rsid w:val="356C2617"/>
    <w:rsid w:val="357113CD"/>
    <w:rsid w:val="358C091D"/>
    <w:rsid w:val="358C5FA8"/>
    <w:rsid w:val="358C6C4A"/>
    <w:rsid w:val="35C0732F"/>
    <w:rsid w:val="35C15DF1"/>
    <w:rsid w:val="35DA3E43"/>
    <w:rsid w:val="35F129CD"/>
    <w:rsid w:val="360176A2"/>
    <w:rsid w:val="3602154B"/>
    <w:rsid w:val="36074A7F"/>
    <w:rsid w:val="3609784F"/>
    <w:rsid w:val="361A5D7C"/>
    <w:rsid w:val="364A6F3B"/>
    <w:rsid w:val="364C7833"/>
    <w:rsid w:val="364F6A1D"/>
    <w:rsid w:val="36596593"/>
    <w:rsid w:val="365B2DB7"/>
    <w:rsid w:val="36637DA1"/>
    <w:rsid w:val="366A3CE4"/>
    <w:rsid w:val="36923549"/>
    <w:rsid w:val="369E2DBA"/>
    <w:rsid w:val="36B16042"/>
    <w:rsid w:val="36B75FBF"/>
    <w:rsid w:val="36BD0C45"/>
    <w:rsid w:val="36EE6A20"/>
    <w:rsid w:val="372E6AD4"/>
    <w:rsid w:val="37394DD1"/>
    <w:rsid w:val="373B6744"/>
    <w:rsid w:val="374675C3"/>
    <w:rsid w:val="376A5ACE"/>
    <w:rsid w:val="377F4883"/>
    <w:rsid w:val="37DA28DD"/>
    <w:rsid w:val="37E00298"/>
    <w:rsid w:val="37E01F2E"/>
    <w:rsid w:val="37F848EE"/>
    <w:rsid w:val="37FD5054"/>
    <w:rsid w:val="38176BBC"/>
    <w:rsid w:val="383852B2"/>
    <w:rsid w:val="38413AB9"/>
    <w:rsid w:val="38451629"/>
    <w:rsid w:val="38544EE4"/>
    <w:rsid w:val="38A72AA6"/>
    <w:rsid w:val="38B302F9"/>
    <w:rsid w:val="38B97EC5"/>
    <w:rsid w:val="38BC21B1"/>
    <w:rsid w:val="38CC5B33"/>
    <w:rsid w:val="38F12CD3"/>
    <w:rsid w:val="38F94775"/>
    <w:rsid w:val="392971ED"/>
    <w:rsid w:val="392E6561"/>
    <w:rsid w:val="392F6279"/>
    <w:rsid w:val="39325651"/>
    <w:rsid w:val="39347FEC"/>
    <w:rsid w:val="393835EF"/>
    <w:rsid w:val="39495276"/>
    <w:rsid w:val="3976109B"/>
    <w:rsid w:val="398C1B37"/>
    <w:rsid w:val="39A36F16"/>
    <w:rsid w:val="39D37108"/>
    <w:rsid w:val="39FA22AE"/>
    <w:rsid w:val="3A270767"/>
    <w:rsid w:val="3A2A553A"/>
    <w:rsid w:val="3A43603C"/>
    <w:rsid w:val="3A4C09E6"/>
    <w:rsid w:val="3A5617DC"/>
    <w:rsid w:val="3A872856"/>
    <w:rsid w:val="3AA5334D"/>
    <w:rsid w:val="3AA63179"/>
    <w:rsid w:val="3AB31AA7"/>
    <w:rsid w:val="3AC47988"/>
    <w:rsid w:val="3AE30FBF"/>
    <w:rsid w:val="3B3763D1"/>
    <w:rsid w:val="3B545D1E"/>
    <w:rsid w:val="3B664D4A"/>
    <w:rsid w:val="3B7E2D65"/>
    <w:rsid w:val="3B7E311A"/>
    <w:rsid w:val="3BE610FE"/>
    <w:rsid w:val="3BE97328"/>
    <w:rsid w:val="3C291F1B"/>
    <w:rsid w:val="3C2B6D87"/>
    <w:rsid w:val="3C2F6E1E"/>
    <w:rsid w:val="3C441B1A"/>
    <w:rsid w:val="3C481BE8"/>
    <w:rsid w:val="3C4F64BA"/>
    <w:rsid w:val="3C824080"/>
    <w:rsid w:val="3C903009"/>
    <w:rsid w:val="3CCF70E3"/>
    <w:rsid w:val="3CDA245A"/>
    <w:rsid w:val="3CE46170"/>
    <w:rsid w:val="3D063245"/>
    <w:rsid w:val="3D1E06B7"/>
    <w:rsid w:val="3D9D5A63"/>
    <w:rsid w:val="3DC01D40"/>
    <w:rsid w:val="3DC46ABA"/>
    <w:rsid w:val="3DCF0187"/>
    <w:rsid w:val="3E216694"/>
    <w:rsid w:val="3E2569CA"/>
    <w:rsid w:val="3E53102B"/>
    <w:rsid w:val="3E676755"/>
    <w:rsid w:val="3EAF5F64"/>
    <w:rsid w:val="3ECE4BD8"/>
    <w:rsid w:val="3EDA0523"/>
    <w:rsid w:val="3F161AFC"/>
    <w:rsid w:val="3F3228E8"/>
    <w:rsid w:val="3F334F59"/>
    <w:rsid w:val="3F376A27"/>
    <w:rsid w:val="3F3E27B9"/>
    <w:rsid w:val="3F497187"/>
    <w:rsid w:val="3F7508D7"/>
    <w:rsid w:val="3FA118A5"/>
    <w:rsid w:val="3FC32226"/>
    <w:rsid w:val="3FC65745"/>
    <w:rsid w:val="40055B41"/>
    <w:rsid w:val="400D2D13"/>
    <w:rsid w:val="401720A1"/>
    <w:rsid w:val="402D6A2B"/>
    <w:rsid w:val="40751A71"/>
    <w:rsid w:val="407A6407"/>
    <w:rsid w:val="408A281A"/>
    <w:rsid w:val="408C0CB3"/>
    <w:rsid w:val="40980764"/>
    <w:rsid w:val="40AA4CB4"/>
    <w:rsid w:val="40BA6F59"/>
    <w:rsid w:val="40C7232D"/>
    <w:rsid w:val="40E77DF5"/>
    <w:rsid w:val="40FA5D5F"/>
    <w:rsid w:val="4100366D"/>
    <w:rsid w:val="411C75E7"/>
    <w:rsid w:val="41364006"/>
    <w:rsid w:val="415223B2"/>
    <w:rsid w:val="416351FC"/>
    <w:rsid w:val="416E3878"/>
    <w:rsid w:val="416F4624"/>
    <w:rsid w:val="41744D2D"/>
    <w:rsid w:val="418C6C53"/>
    <w:rsid w:val="41A50A65"/>
    <w:rsid w:val="41A7714D"/>
    <w:rsid w:val="41BE5A2A"/>
    <w:rsid w:val="41D57EC1"/>
    <w:rsid w:val="41E225DE"/>
    <w:rsid w:val="41EC6FB9"/>
    <w:rsid w:val="41FF010B"/>
    <w:rsid w:val="4200449D"/>
    <w:rsid w:val="42305010"/>
    <w:rsid w:val="42306FE1"/>
    <w:rsid w:val="423671F6"/>
    <w:rsid w:val="42374B5B"/>
    <w:rsid w:val="423A3BCC"/>
    <w:rsid w:val="424E57D2"/>
    <w:rsid w:val="426B4382"/>
    <w:rsid w:val="42B26C49"/>
    <w:rsid w:val="42DF3807"/>
    <w:rsid w:val="42E65EFD"/>
    <w:rsid w:val="433A4C90"/>
    <w:rsid w:val="433A6FE6"/>
    <w:rsid w:val="433C5D1E"/>
    <w:rsid w:val="43480868"/>
    <w:rsid w:val="4350713C"/>
    <w:rsid w:val="435A177E"/>
    <w:rsid w:val="435D78A4"/>
    <w:rsid w:val="436653E0"/>
    <w:rsid w:val="436B3C9C"/>
    <w:rsid w:val="437C555D"/>
    <w:rsid w:val="43A13CDB"/>
    <w:rsid w:val="43C4431A"/>
    <w:rsid w:val="43C57155"/>
    <w:rsid w:val="43C57E2B"/>
    <w:rsid w:val="43EF57C5"/>
    <w:rsid w:val="43FC7652"/>
    <w:rsid w:val="440C13F8"/>
    <w:rsid w:val="440D7B9D"/>
    <w:rsid w:val="4428069F"/>
    <w:rsid w:val="444F4AE9"/>
    <w:rsid w:val="447137A5"/>
    <w:rsid w:val="44722916"/>
    <w:rsid w:val="44935E12"/>
    <w:rsid w:val="449C358C"/>
    <w:rsid w:val="449F79AA"/>
    <w:rsid w:val="44AC3552"/>
    <w:rsid w:val="44B951CC"/>
    <w:rsid w:val="44CD14E0"/>
    <w:rsid w:val="44D74E51"/>
    <w:rsid w:val="44DB384C"/>
    <w:rsid w:val="44F20B0B"/>
    <w:rsid w:val="452205EB"/>
    <w:rsid w:val="452B4445"/>
    <w:rsid w:val="452E5F4C"/>
    <w:rsid w:val="45522A66"/>
    <w:rsid w:val="45612018"/>
    <w:rsid w:val="45617F7A"/>
    <w:rsid w:val="45734F7D"/>
    <w:rsid w:val="458946E9"/>
    <w:rsid w:val="45A47C0E"/>
    <w:rsid w:val="45E9361E"/>
    <w:rsid w:val="462E594E"/>
    <w:rsid w:val="46441477"/>
    <w:rsid w:val="46525D94"/>
    <w:rsid w:val="46577FD6"/>
    <w:rsid w:val="4664447A"/>
    <w:rsid w:val="466B13AC"/>
    <w:rsid w:val="46722D5A"/>
    <w:rsid w:val="46817C77"/>
    <w:rsid w:val="469A57B5"/>
    <w:rsid w:val="46A92B0D"/>
    <w:rsid w:val="46B201E0"/>
    <w:rsid w:val="46B36C86"/>
    <w:rsid w:val="46CC173D"/>
    <w:rsid w:val="46D955A7"/>
    <w:rsid w:val="46E91D19"/>
    <w:rsid w:val="46F008F8"/>
    <w:rsid w:val="47133957"/>
    <w:rsid w:val="472607B1"/>
    <w:rsid w:val="474F1FEE"/>
    <w:rsid w:val="476A5F43"/>
    <w:rsid w:val="47A07E0C"/>
    <w:rsid w:val="47A452FD"/>
    <w:rsid w:val="47B16CDB"/>
    <w:rsid w:val="47CA322E"/>
    <w:rsid w:val="47DE73A4"/>
    <w:rsid w:val="47E114F6"/>
    <w:rsid w:val="48090E9B"/>
    <w:rsid w:val="484540EF"/>
    <w:rsid w:val="4848504C"/>
    <w:rsid w:val="48554020"/>
    <w:rsid w:val="4870272E"/>
    <w:rsid w:val="487D4E0F"/>
    <w:rsid w:val="48947BA1"/>
    <w:rsid w:val="48A42D59"/>
    <w:rsid w:val="48A54FAE"/>
    <w:rsid w:val="48AB6FFA"/>
    <w:rsid w:val="48E56510"/>
    <w:rsid w:val="48FC3BA1"/>
    <w:rsid w:val="49380D36"/>
    <w:rsid w:val="493F10DB"/>
    <w:rsid w:val="494D6EBA"/>
    <w:rsid w:val="495B1721"/>
    <w:rsid w:val="49835FFF"/>
    <w:rsid w:val="49D10890"/>
    <w:rsid w:val="49DC7715"/>
    <w:rsid w:val="49F66B7A"/>
    <w:rsid w:val="49FB3008"/>
    <w:rsid w:val="49FD0D06"/>
    <w:rsid w:val="4A023139"/>
    <w:rsid w:val="4A067CB6"/>
    <w:rsid w:val="4A104E58"/>
    <w:rsid w:val="4A1F03F6"/>
    <w:rsid w:val="4A2B5FB0"/>
    <w:rsid w:val="4A525D6E"/>
    <w:rsid w:val="4A5A6F9A"/>
    <w:rsid w:val="4A7B17F3"/>
    <w:rsid w:val="4A7B576F"/>
    <w:rsid w:val="4A90125B"/>
    <w:rsid w:val="4A986F0B"/>
    <w:rsid w:val="4AA15C2A"/>
    <w:rsid w:val="4AA47FDF"/>
    <w:rsid w:val="4AC705C3"/>
    <w:rsid w:val="4AD76B5C"/>
    <w:rsid w:val="4AD9363D"/>
    <w:rsid w:val="4AF26853"/>
    <w:rsid w:val="4AF561A9"/>
    <w:rsid w:val="4B074E64"/>
    <w:rsid w:val="4B570D16"/>
    <w:rsid w:val="4B67478A"/>
    <w:rsid w:val="4B6C00AA"/>
    <w:rsid w:val="4B961983"/>
    <w:rsid w:val="4BB74194"/>
    <w:rsid w:val="4BE40D01"/>
    <w:rsid w:val="4BEB12ED"/>
    <w:rsid w:val="4BF53AEC"/>
    <w:rsid w:val="4C085366"/>
    <w:rsid w:val="4C0B7D32"/>
    <w:rsid w:val="4C2E6ECC"/>
    <w:rsid w:val="4C4332C5"/>
    <w:rsid w:val="4C4A0649"/>
    <w:rsid w:val="4C4C306A"/>
    <w:rsid w:val="4C7E5ECA"/>
    <w:rsid w:val="4C801E04"/>
    <w:rsid w:val="4C876AA5"/>
    <w:rsid w:val="4CB132D9"/>
    <w:rsid w:val="4CB37AAC"/>
    <w:rsid w:val="4CD560D5"/>
    <w:rsid w:val="4CED014A"/>
    <w:rsid w:val="4D065CB8"/>
    <w:rsid w:val="4D0E00FB"/>
    <w:rsid w:val="4D137AF0"/>
    <w:rsid w:val="4D176606"/>
    <w:rsid w:val="4D1A2C2C"/>
    <w:rsid w:val="4D481CA4"/>
    <w:rsid w:val="4D5F1982"/>
    <w:rsid w:val="4D6435E3"/>
    <w:rsid w:val="4D891B60"/>
    <w:rsid w:val="4DA17D92"/>
    <w:rsid w:val="4DB017E2"/>
    <w:rsid w:val="4DB101F4"/>
    <w:rsid w:val="4DBB4021"/>
    <w:rsid w:val="4DCB4AEF"/>
    <w:rsid w:val="4DEC4FB0"/>
    <w:rsid w:val="4E075D8A"/>
    <w:rsid w:val="4E172B07"/>
    <w:rsid w:val="4E482E11"/>
    <w:rsid w:val="4E704CB8"/>
    <w:rsid w:val="4E8C6919"/>
    <w:rsid w:val="4E8F1192"/>
    <w:rsid w:val="4E977924"/>
    <w:rsid w:val="4E9837C4"/>
    <w:rsid w:val="4E9E163B"/>
    <w:rsid w:val="4EA24A72"/>
    <w:rsid w:val="4EA54365"/>
    <w:rsid w:val="4EA56104"/>
    <w:rsid w:val="4EA742B3"/>
    <w:rsid w:val="4EAA6AF8"/>
    <w:rsid w:val="4EC00FAD"/>
    <w:rsid w:val="4EFE636C"/>
    <w:rsid w:val="4F20462E"/>
    <w:rsid w:val="4F264D23"/>
    <w:rsid w:val="4F2E0C11"/>
    <w:rsid w:val="4F352733"/>
    <w:rsid w:val="4F5346D7"/>
    <w:rsid w:val="4F711119"/>
    <w:rsid w:val="4F7C11B0"/>
    <w:rsid w:val="4F9843DC"/>
    <w:rsid w:val="4FB353FA"/>
    <w:rsid w:val="4FC22F85"/>
    <w:rsid w:val="4FC62A8C"/>
    <w:rsid w:val="4FC77EC1"/>
    <w:rsid w:val="4FE17A31"/>
    <w:rsid w:val="4FE20F0D"/>
    <w:rsid w:val="4FE51552"/>
    <w:rsid w:val="4FFB5146"/>
    <w:rsid w:val="50004B20"/>
    <w:rsid w:val="5006393C"/>
    <w:rsid w:val="50116CE8"/>
    <w:rsid w:val="501A714A"/>
    <w:rsid w:val="503D701D"/>
    <w:rsid w:val="50504C4B"/>
    <w:rsid w:val="505276FF"/>
    <w:rsid w:val="508B1A2D"/>
    <w:rsid w:val="509A1EB3"/>
    <w:rsid w:val="509C6E7C"/>
    <w:rsid w:val="50F442BF"/>
    <w:rsid w:val="510542A6"/>
    <w:rsid w:val="5162104E"/>
    <w:rsid w:val="518061F4"/>
    <w:rsid w:val="519F4057"/>
    <w:rsid w:val="51C1728E"/>
    <w:rsid w:val="51CA4951"/>
    <w:rsid w:val="51CB0999"/>
    <w:rsid w:val="51E27A74"/>
    <w:rsid w:val="520A5BE6"/>
    <w:rsid w:val="521E31BF"/>
    <w:rsid w:val="521F35F1"/>
    <w:rsid w:val="523631D0"/>
    <w:rsid w:val="52405823"/>
    <w:rsid w:val="52641C79"/>
    <w:rsid w:val="52862B2E"/>
    <w:rsid w:val="529F3DFF"/>
    <w:rsid w:val="52A52712"/>
    <w:rsid w:val="52AF45F6"/>
    <w:rsid w:val="52B15DE1"/>
    <w:rsid w:val="52BB5702"/>
    <w:rsid w:val="52C87C11"/>
    <w:rsid w:val="52E84768"/>
    <w:rsid w:val="52EA41C9"/>
    <w:rsid w:val="52F400F5"/>
    <w:rsid w:val="52F972DC"/>
    <w:rsid w:val="530B3EA0"/>
    <w:rsid w:val="53263501"/>
    <w:rsid w:val="53267789"/>
    <w:rsid w:val="534327B1"/>
    <w:rsid w:val="537806AC"/>
    <w:rsid w:val="53967514"/>
    <w:rsid w:val="53A039CC"/>
    <w:rsid w:val="53A1505A"/>
    <w:rsid w:val="53B47B37"/>
    <w:rsid w:val="53BD15D2"/>
    <w:rsid w:val="53DB0C3B"/>
    <w:rsid w:val="53EE7B52"/>
    <w:rsid w:val="54063E08"/>
    <w:rsid w:val="543437E8"/>
    <w:rsid w:val="545253A1"/>
    <w:rsid w:val="5453081C"/>
    <w:rsid w:val="54555553"/>
    <w:rsid w:val="545A32D6"/>
    <w:rsid w:val="5463310B"/>
    <w:rsid w:val="546B1C78"/>
    <w:rsid w:val="547F73BC"/>
    <w:rsid w:val="54901A26"/>
    <w:rsid w:val="54B716A8"/>
    <w:rsid w:val="54F73313"/>
    <w:rsid w:val="54F80955"/>
    <w:rsid w:val="55043FA3"/>
    <w:rsid w:val="551C775D"/>
    <w:rsid w:val="553A6081"/>
    <w:rsid w:val="554D03BA"/>
    <w:rsid w:val="555170A7"/>
    <w:rsid w:val="55535E25"/>
    <w:rsid w:val="556A11E7"/>
    <w:rsid w:val="557650C0"/>
    <w:rsid w:val="55840CA9"/>
    <w:rsid w:val="5587536D"/>
    <w:rsid w:val="559A7A46"/>
    <w:rsid w:val="559B174B"/>
    <w:rsid w:val="55BB6D58"/>
    <w:rsid w:val="55CE0CF4"/>
    <w:rsid w:val="55DD5669"/>
    <w:rsid w:val="55E96345"/>
    <w:rsid w:val="55EE061D"/>
    <w:rsid w:val="55F3214B"/>
    <w:rsid w:val="55FF6223"/>
    <w:rsid w:val="56030728"/>
    <w:rsid w:val="563A6A35"/>
    <w:rsid w:val="56466840"/>
    <w:rsid w:val="564D5B0B"/>
    <w:rsid w:val="567539EE"/>
    <w:rsid w:val="567C521B"/>
    <w:rsid w:val="56A80E60"/>
    <w:rsid w:val="56B00AA9"/>
    <w:rsid w:val="56B22A9C"/>
    <w:rsid w:val="56BF62D6"/>
    <w:rsid w:val="56D30863"/>
    <w:rsid w:val="57062333"/>
    <w:rsid w:val="570D04C7"/>
    <w:rsid w:val="579E765B"/>
    <w:rsid w:val="57B72A76"/>
    <w:rsid w:val="57C3426C"/>
    <w:rsid w:val="57CE1F93"/>
    <w:rsid w:val="581A7F84"/>
    <w:rsid w:val="58690F0C"/>
    <w:rsid w:val="586A23D5"/>
    <w:rsid w:val="588743D1"/>
    <w:rsid w:val="5887701A"/>
    <w:rsid w:val="58905AA1"/>
    <w:rsid w:val="58A43CF2"/>
    <w:rsid w:val="58A731E8"/>
    <w:rsid w:val="58B15A5D"/>
    <w:rsid w:val="58BF6B1A"/>
    <w:rsid w:val="58C5610C"/>
    <w:rsid w:val="58CC444C"/>
    <w:rsid w:val="58F53FD6"/>
    <w:rsid w:val="58F741C1"/>
    <w:rsid w:val="59341051"/>
    <w:rsid w:val="594F1B2D"/>
    <w:rsid w:val="598B2E17"/>
    <w:rsid w:val="599047D0"/>
    <w:rsid w:val="59A42ED5"/>
    <w:rsid w:val="59C0439F"/>
    <w:rsid w:val="59C21319"/>
    <w:rsid w:val="59E92631"/>
    <w:rsid w:val="59FD052C"/>
    <w:rsid w:val="5A1D5A49"/>
    <w:rsid w:val="5A4412E8"/>
    <w:rsid w:val="5A4B36A6"/>
    <w:rsid w:val="5A7B0A82"/>
    <w:rsid w:val="5A931EDF"/>
    <w:rsid w:val="5ABE2233"/>
    <w:rsid w:val="5AE64A95"/>
    <w:rsid w:val="5AF97E00"/>
    <w:rsid w:val="5B0D2022"/>
    <w:rsid w:val="5B2C7534"/>
    <w:rsid w:val="5B476268"/>
    <w:rsid w:val="5B59067D"/>
    <w:rsid w:val="5B8717B1"/>
    <w:rsid w:val="5B873DAA"/>
    <w:rsid w:val="5B884B8B"/>
    <w:rsid w:val="5B8B15E4"/>
    <w:rsid w:val="5B94486F"/>
    <w:rsid w:val="5BA86FC7"/>
    <w:rsid w:val="5BAF4E87"/>
    <w:rsid w:val="5BB667F6"/>
    <w:rsid w:val="5BC42AB5"/>
    <w:rsid w:val="5BDF5D95"/>
    <w:rsid w:val="5BF60D08"/>
    <w:rsid w:val="5BFE2A26"/>
    <w:rsid w:val="5BFE7528"/>
    <w:rsid w:val="5C2060A7"/>
    <w:rsid w:val="5C6D078C"/>
    <w:rsid w:val="5C763D84"/>
    <w:rsid w:val="5CB359BA"/>
    <w:rsid w:val="5CB44DD2"/>
    <w:rsid w:val="5CD821BC"/>
    <w:rsid w:val="5CD85714"/>
    <w:rsid w:val="5CD86B67"/>
    <w:rsid w:val="5CEC6CB8"/>
    <w:rsid w:val="5D1658F7"/>
    <w:rsid w:val="5D3513BC"/>
    <w:rsid w:val="5D413C55"/>
    <w:rsid w:val="5D771DD8"/>
    <w:rsid w:val="5D8647D3"/>
    <w:rsid w:val="5DB669A1"/>
    <w:rsid w:val="5DD86F40"/>
    <w:rsid w:val="5DDD5914"/>
    <w:rsid w:val="5DEE611E"/>
    <w:rsid w:val="5E082F75"/>
    <w:rsid w:val="5E1368B0"/>
    <w:rsid w:val="5E2467F1"/>
    <w:rsid w:val="5E2C27BF"/>
    <w:rsid w:val="5E325C9F"/>
    <w:rsid w:val="5E486BBF"/>
    <w:rsid w:val="5E615012"/>
    <w:rsid w:val="5E776851"/>
    <w:rsid w:val="5E876B61"/>
    <w:rsid w:val="5E9369F0"/>
    <w:rsid w:val="5ECB5F83"/>
    <w:rsid w:val="5EFA5A2A"/>
    <w:rsid w:val="5EFC5E61"/>
    <w:rsid w:val="5F093789"/>
    <w:rsid w:val="5F1A2B43"/>
    <w:rsid w:val="5F1A32D5"/>
    <w:rsid w:val="5F1C2834"/>
    <w:rsid w:val="5F233F07"/>
    <w:rsid w:val="5F447FDD"/>
    <w:rsid w:val="5F5024DD"/>
    <w:rsid w:val="5F796DF2"/>
    <w:rsid w:val="5F867064"/>
    <w:rsid w:val="5F8F1515"/>
    <w:rsid w:val="5F9F6BAE"/>
    <w:rsid w:val="5FAA682D"/>
    <w:rsid w:val="5FB837BB"/>
    <w:rsid w:val="5FC07894"/>
    <w:rsid w:val="5FC133DB"/>
    <w:rsid w:val="5FE8720C"/>
    <w:rsid w:val="600A7947"/>
    <w:rsid w:val="600B078E"/>
    <w:rsid w:val="60142BFD"/>
    <w:rsid w:val="6017124D"/>
    <w:rsid w:val="603040BD"/>
    <w:rsid w:val="60477D84"/>
    <w:rsid w:val="60491120"/>
    <w:rsid w:val="60536011"/>
    <w:rsid w:val="60600E46"/>
    <w:rsid w:val="60714EA5"/>
    <w:rsid w:val="60876BD1"/>
    <w:rsid w:val="60A60085"/>
    <w:rsid w:val="60AD72FD"/>
    <w:rsid w:val="60C142AF"/>
    <w:rsid w:val="60C61DEB"/>
    <w:rsid w:val="60CC405A"/>
    <w:rsid w:val="60E51FA2"/>
    <w:rsid w:val="60FE73F7"/>
    <w:rsid w:val="61021EFD"/>
    <w:rsid w:val="613958BE"/>
    <w:rsid w:val="61505D6B"/>
    <w:rsid w:val="616207F0"/>
    <w:rsid w:val="61E215D8"/>
    <w:rsid w:val="61E5185B"/>
    <w:rsid w:val="621B3775"/>
    <w:rsid w:val="621F2E23"/>
    <w:rsid w:val="62364782"/>
    <w:rsid w:val="623E1C75"/>
    <w:rsid w:val="623F6A34"/>
    <w:rsid w:val="62576235"/>
    <w:rsid w:val="62710B4C"/>
    <w:rsid w:val="62844E39"/>
    <w:rsid w:val="62DE6052"/>
    <w:rsid w:val="62EA0377"/>
    <w:rsid w:val="6316280A"/>
    <w:rsid w:val="6394356A"/>
    <w:rsid w:val="63A10A72"/>
    <w:rsid w:val="63A138F9"/>
    <w:rsid w:val="63A95043"/>
    <w:rsid w:val="63C61B2C"/>
    <w:rsid w:val="63C73244"/>
    <w:rsid w:val="63D40BE9"/>
    <w:rsid w:val="63D77671"/>
    <w:rsid w:val="63EF7FA0"/>
    <w:rsid w:val="640E36AB"/>
    <w:rsid w:val="64102431"/>
    <w:rsid w:val="64315F9E"/>
    <w:rsid w:val="643C2838"/>
    <w:rsid w:val="646A3423"/>
    <w:rsid w:val="6479063F"/>
    <w:rsid w:val="64856C38"/>
    <w:rsid w:val="648B7995"/>
    <w:rsid w:val="649C61C5"/>
    <w:rsid w:val="649E1F3D"/>
    <w:rsid w:val="64A5243A"/>
    <w:rsid w:val="64C644FC"/>
    <w:rsid w:val="64CC4691"/>
    <w:rsid w:val="64CF3219"/>
    <w:rsid w:val="64D64496"/>
    <w:rsid w:val="64DB4CF3"/>
    <w:rsid w:val="64DB6C52"/>
    <w:rsid w:val="64E57B6C"/>
    <w:rsid w:val="64E67655"/>
    <w:rsid w:val="64F531DE"/>
    <w:rsid w:val="650A7ED3"/>
    <w:rsid w:val="650B4E0D"/>
    <w:rsid w:val="650D0D78"/>
    <w:rsid w:val="65300F6A"/>
    <w:rsid w:val="65373578"/>
    <w:rsid w:val="6538663E"/>
    <w:rsid w:val="655F347A"/>
    <w:rsid w:val="65A75264"/>
    <w:rsid w:val="65B73030"/>
    <w:rsid w:val="65D8147F"/>
    <w:rsid w:val="660D737A"/>
    <w:rsid w:val="66193D64"/>
    <w:rsid w:val="66270337"/>
    <w:rsid w:val="66413CE2"/>
    <w:rsid w:val="66611682"/>
    <w:rsid w:val="666A4ACD"/>
    <w:rsid w:val="668A46E8"/>
    <w:rsid w:val="66A92D23"/>
    <w:rsid w:val="66B8786C"/>
    <w:rsid w:val="66D42D85"/>
    <w:rsid w:val="66D437D5"/>
    <w:rsid w:val="66DE650E"/>
    <w:rsid w:val="66E94CC7"/>
    <w:rsid w:val="66F760E2"/>
    <w:rsid w:val="67117FE8"/>
    <w:rsid w:val="671601C0"/>
    <w:rsid w:val="671B7875"/>
    <w:rsid w:val="671D192D"/>
    <w:rsid w:val="671F124A"/>
    <w:rsid w:val="672A7B41"/>
    <w:rsid w:val="672B1DF8"/>
    <w:rsid w:val="67464389"/>
    <w:rsid w:val="674B78CD"/>
    <w:rsid w:val="6751773B"/>
    <w:rsid w:val="677A33C6"/>
    <w:rsid w:val="679366A2"/>
    <w:rsid w:val="67957627"/>
    <w:rsid w:val="67A145BA"/>
    <w:rsid w:val="67AB79BD"/>
    <w:rsid w:val="67B03991"/>
    <w:rsid w:val="67D052DA"/>
    <w:rsid w:val="67D6544C"/>
    <w:rsid w:val="67E047CE"/>
    <w:rsid w:val="67E46FC6"/>
    <w:rsid w:val="67ED03C9"/>
    <w:rsid w:val="67EE0FE4"/>
    <w:rsid w:val="6814255B"/>
    <w:rsid w:val="681F6961"/>
    <w:rsid w:val="682140F7"/>
    <w:rsid w:val="68223326"/>
    <w:rsid w:val="685D514D"/>
    <w:rsid w:val="685F19E3"/>
    <w:rsid w:val="68606B28"/>
    <w:rsid w:val="68610A2F"/>
    <w:rsid w:val="68657836"/>
    <w:rsid w:val="686F2EFB"/>
    <w:rsid w:val="68805514"/>
    <w:rsid w:val="68860257"/>
    <w:rsid w:val="68C917E7"/>
    <w:rsid w:val="690918AD"/>
    <w:rsid w:val="690D0B0D"/>
    <w:rsid w:val="69316E2F"/>
    <w:rsid w:val="694E2071"/>
    <w:rsid w:val="6974326C"/>
    <w:rsid w:val="69766163"/>
    <w:rsid w:val="697A3B33"/>
    <w:rsid w:val="69831701"/>
    <w:rsid w:val="69847953"/>
    <w:rsid w:val="698C05B6"/>
    <w:rsid w:val="69A43B52"/>
    <w:rsid w:val="69C63F32"/>
    <w:rsid w:val="69D44760"/>
    <w:rsid w:val="69FE0E72"/>
    <w:rsid w:val="6A0C77DB"/>
    <w:rsid w:val="6A317D67"/>
    <w:rsid w:val="6A3368E3"/>
    <w:rsid w:val="6A366774"/>
    <w:rsid w:val="6A520EC7"/>
    <w:rsid w:val="6A5541AC"/>
    <w:rsid w:val="6A625ACF"/>
    <w:rsid w:val="6A667EFB"/>
    <w:rsid w:val="6A7B757C"/>
    <w:rsid w:val="6A841BD5"/>
    <w:rsid w:val="6A86139C"/>
    <w:rsid w:val="6AB53CDC"/>
    <w:rsid w:val="6AB626F1"/>
    <w:rsid w:val="6ADF0BB9"/>
    <w:rsid w:val="6AF87E20"/>
    <w:rsid w:val="6B2C2704"/>
    <w:rsid w:val="6B315608"/>
    <w:rsid w:val="6B322639"/>
    <w:rsid w:val="6B350A03"/>
    <w:rsid w:val="6B422D4A"/>
    <w:rsid w:val="6B846553"/>
    <w:rsid w:val="6BA51F78"/>
    <w:rsid w:val="6BB27DB4"/>
    <w:rsid w:val="6BDE799A"/>
    <w:rsid w:val="6BF46467"/>
    <w:rsid w:val="6BF65B3A"/>
    <w:rsid w:val="6C164BB8"/>
    <w:rsid w:val="6C1B3E73"/>
    <w:rsid w:val="6C2A0E88"/>
    <w:rsid w:val="6C606B10"/>
    <w:rsid w:val="6C636C38"/>
    <w:rsid w:val="6C826F1A"/>
    <w:rsid w:val="6CC04E53"/>
    <w:rsid w:val="6CF832AB"/>
    <w:rsid w:val="6D3E5B44"/>
    <w:rsid w:val="6D4C3A6D"/>
    <w:rsid w:val="6D664546"/>
    <w:rsid w:val="6D837F22"/>
    <w:rsid w:val="6DA305C4"/>
    <w:rsid w:val="6DB34098"/>
    <w:rsid w:val="6DB545B6"/>
    <w:rsid w:val="6DC1204A"/>
    <w:rsid w:val="6DCD2DE1"/>
    <w:rsid w:val="6DE02FB4"/>
    <w:rsid w:val="6DF36EBB"/>
    <w:rsid w:val="6E0E20CE"/>
    <w:rsid w:val="6E0E3AE0"/>
    <w:rsid w:val="6E215DA7"/>
    <w:rsid w:val="6E4C05D0"/>
    <w:rsid w:val="6E4F6D17"/>
    <w:rsid w:val="6E514CED"/>
    <w:rsid w:val="6E62679B"/>
    <w:rsid w:val="6E67586D"/>
    <w:rsid w:val="6E680650"/>
    <w:rsid w:val="6E6E7B7B"/>
    <w:rsid w:val="6E783B43"/>
    <w:rsid w:val="6EB563D5"/>
    <w:rsid w:val="6EC14BA8"/>
    <w:rsid w:val="6ED92677"/>
    <w:rsid w:val="6ED935D7"/>
    <w:rsid w:val="6ED9662B"/>
    <w:rsid w:val="6EE61554"/>
    <w:rsid w:val="6EF15980"/>
    <w:rsid w:val="6F225983"/>
    <w:rsid w:val="6F316A46"/>
    <w:rsid w:val="6F412070"/>
    <w:rsid w:val="6F467459"/>
    <w:rsid w:val="6F5E00B2"/>
    <w:rsid w:val="6F6448EB"/>
    <w:rsid w:val="6F76182F"/>
    <w:rsid w:val="6F7E47E7"/>
    <w:rsid w:val="6F990823"/>
    <w:rsid w:val="6FA278A0"/>
    <w:rsid w:val="6FAB10BB"/>
    <w:rsid w:val="6FC14D32"/>
    <w:rsid w:val="6FC75308"/>
    <w:rsid w:val="6FD12176"/>
    <w:rsid w:val="6FD1351C"/>
    <w:rsid w:val="6FD1721D"/>
    <w:rsid w:val="6FD24A6F"/>
    <w:rsid w:val="6FFC5590"/>
    <w:rsid w:val="70085F6E"/>
    <w:rsid w:val="70096C82"/>
    <w:rsid w:val="700E0156"/>
    <w:rsid w:val="701875CA"/>
    <w:rsid w:val="701908FC"/>
    <w:rsid w:val="701D437B"/>
    <w:rsid w:val="70307576"/>
    <w:rsid w:val="706D1DD0"/>
    <w:rsid w:val="707E16B0"/>
    <w:rsid w:val="70853A8E"/>
    <w:rsid w:val="70856B87"/>
    <w:rsid w:val="708911AA"/>
    <w:rsid w:val="708F339A"/>
    <w:rsid w:val="70D527EE"/>
    <w:rsid w:val="70EB6D00"/>
    <w:rsid w:val="70EE076C"/>
    <w:rsid w:val="71244C66"/>
    <w:rsid w:val="71274519"/>
    <w:rsid w:val="712F108D"/>
    <w:rsid w:val="713734FD"/>
    <w:rsid w:val="71452DCF"/>
    <w:rsid w:val="714872C3"/>
    <w:rsid w:val="714B7705"/>
    <w:rsid w:val="715B5300"/>
    <w:rsid w:val="717E112C"/>
    <w:rsid w:val="718A7AD1"/>
    <w:rsid w:val="719B0A84"/>
    <w:rsid w:val="71A55CBB"/>
    <w:rsid w:val="71AA0173"/>
    <w:rsid w:val="71B8041D"/>
    <w:rsid w:val="71D27F8A"/>
    <w:rsid w:val="72001B41"/>
    <w:rsid w:val="720D141A"/>
    <w:rsid w:val="72111FA0"/>
    <w:rsid w:val="722D477B"/>
    <w:rsid w:val="723839D1"/>
    <w:rsid w:val="72553024"/>
    <w:rsid w:val="72825E9B"/>
    <w:rsid w:val="728A528D"/>
    <w:rsid w:val="728E1F82"/>
    <w:rsid w:val="72D13B9D"/>
    <w:rsid w:val="72D37256"/>
    <w:rsid w:val="72E62E0C"/>
    <w:rsid w:val="72FA20F1"/>
    <w:rsid w:val="72FA78C0"/>
    <w:rsid w:val="72FD4605"/>
    <w:rsid w:val="7304106C"/>
    <w:rsid w:val="730A7B4B"/>
    <w:rsid w:val="73122968"/>
    <w:rsid w:val="731F5D5E"/>
    <w:rsid w:val="732533BA"/>
    <w:rsid w:val="73495B3B"/>
    <w:rsid w:val="73502E3D"/>
    <w:rsid w:val="737407F8"/>
    <w:rsid w:val="73786BA6"/>
    <w:rsid w:val="73C51AD5"/>
    <w:rsid w:val="73CB68E0"/>
    <w:rsid w:val="73F73CFA"/>
    <w:rsid w:val="73FB4EEA"/>
    <w:rsid w:val="74095DE3"/>
    <w:rsid w:val="741E793C"/>
    <w:rsid w:val="742C095F"/>
    <w:rsid w:val="74411F41"/>
    <w:rsid w:val="744A09B8"/>
    <w:rsid w:val="745E3944"/>
    <w:rsid w:val="746637A8"/>
    <w:rsid w:val="746D7143"/>
    <w:rsid w:val="74787EE0"/>
    <w:rsid w:val="747C0427"/>
    <w:rsid w:val="74955C8D"/>
    <w:rsid w:val="74975A3C"/>
    <w:rsid w:val="74BC1CDD"/>
    <w:rsid w:val="74E05076"/>
    <w:rsid w:val="74E601FF"/>
    <w:rsid w:val="75024A79"/>
    <w:rsid w:val="750705C0"/>
    <w:rsid w:val="751F199D"/>
    <w:rsid w:val="753B3B97"/>
    <w:rsid w:val="75456ED5"/>
    <w:rsid w:val="75752846"/>
    <w:rsid w:val="757A7E5C"/>
    <w:rsid w:val="759A3424"/>
    <w:rsid w:val="75CF77C5"/>
    <w:rsid w:val="75E76FA0"/>
    <w:rsid w:val="760A7432"/>
    <w:rsid w:val="7635099D"/>
    <w:rsid w:val="768D112B"/>
    <w:rsid w:val="768F7938"/>
    <w:rsid w:val="769767EC"/>
    <w:rsid w:val="769F3B67"/>
    <w:rsid w:val="76D96E05"/>
    <w:rsid w:val="76DF78F2"/>
    <w:rsid w:val="77017D85"/>
    <w:rsid w:val="77161E07"/>
    <w:rsid w:val="771732C7"/>
    <w:rsid w:val="77696B25"/>
    <w:rsid w:val="776E1C43"/>
    <w:rsid w:val="77762421"/>
    <w:rsid w:val="77866F8C"/>
    <w:rsid w:val="779A5DBE"/>
    <w:rsid w:val="77A52B1E"/>
    <w:rsid w:val="77B56B1F"/>
    <w:rsid w:val="77C3055A"/>
    <w:rsid w:val="77EF32B0"/>
    <w:rsid w:val="77F2564D"/>
    <w:rsid w:val="7802592D"/>
    <w:rsid w:val="780F09F4"/>
    <w:rsid w:val="781D331F"/>
    <w:rsid w:val="78261E50"/>
    <w:rsid w:val="78293150"/>
    <w:rsid w:val="782D126E"/>
    <w:rsid w:val="78482A45"/>
    <w:rsid w:val="784D442A"/>
    <w:rsid w:val="784F793D"/>
    <w:rsid w:val="786035E8"/>
    <w:rsid w:val="786666E0"/>
    <w:rsid w:val="786A2808"/>
    <w:rsid w:val="786E4508"/>
    <w:rsid w:val="788A52D9"/>
    <w:rsid w:val="78A90480"/>
    <w:rsid w:val="78BE5F5A"/>
    <w:rsid w:val="78C26BC2"/>
    <w:rsid w:val="78C36C63"/>
    <w:rsid w:val="78E83BF8"/>
    <w:rsid w:val="78F079E2"/>
    <w:rsid w:val="79041B17"/>
    <w:rsid w:val="79175730"/>
    <w:rsid w:val="79272221"/>
    <w:rsid w:val="79387AF1"/>
    <w:rsid w:val="794F75C9"/>
    <w:rsid w:val="797C27AB"/>
    <w:rsid w:val="799558A6"/>
    <w:rsid w:val="79B64706"/>
    <w:rsid w:val="79CB512B"/>
    <w:rsid w:val="79E65E7B"/>
    <w:rsid w:val="79F7569A"/>
    <w:rsid w:val="7A090FD1"/>
    <w:rsid w:val="7A2219AB"/>
    <w:rsid w:val="7A224EEB"/>
    <w:rsid w:val="7A364017"/>
    <w:rsid w:val="7A69553B"/>
    <w:rsid w:val="7A7607F4"/>
    <w:rsid w:val="7A8265E1"/>
    <w:rsid w:val="7A8852FB"/>
    <w:rsid w:val="7A8A1CF6"/>
    <w:rsid w:val="7A9740CC"/>
    <w:rsid w:val="7AC07403"/>
    <w:rsid w:val="7AC22AE9"/>
    <w:rsid w:val="7AE849D2"/>
    <w:rsid w:val="7AFE5DF2"/>
    <w:rsid w:val="7B4C229B"/>
    <w:rsid w:val="7B686D42"/>
    <w:rsid w:val="7B6C3404"/>
    <w:rsid w:val="7B6E2211"/>
    <w:rsid w:val="7B841746"/>
    <w:rsid w:val="7B8B4B71"/>
    <w:rsid w:val="7BA07EF1"/>
    <w:rsid w:val="7BB23A06"/>
    <w:rsid w:val="7BB66E50"/>
    <w:rsid w:val="7BBA1932"/>
    <w:rsid w:val="7BC277BE"/>
    <w:rsid w:val="7BCD381F"/>
    <w:rsid w:val="7BDB1A79"/>
    <w:rsid w:val="7C050C59"/>
    <w:rsid w:val="7C0A57B6"/>
    <w:rsid w:val="7C273A6A"/>
    <w:rsid w:val="7C3F2CC3"/>
    <w:rsid w:val="7C481C6D"/>
    <w:rsid w:val="7C50739E"/>
    <w:rsid w:val="7C615BE3"/>
    <w:rsid w:val="7C6C5AC7"/>
    <w:rsid w:val="7C7970C0"/>
    <w:rsid w:val="7C7A6EC9"/>
    <w:rsid w:val="7C8C58E9"/>
    <w:rsid w:val="7CA67789"/>
    <w:rsid w:val="7CBA3142"/>
    <w:rsid w:val="7CBC263F"/>
    <w:rsid w:val="7CBD4FC4"/>
    <w:rsid w:val="7CC22CB2"/>
    <w:rsid w:val="7CC40AA1"/>
    <w:rsid w:val="7CC6544B"/>
    <w:rsid w:val="7CC84DBF"/>
    <w:rsid w:val="7CD37E6D"/>
    <w:rsid w:val="7CD9321B"/>
    <w:rsid w:val="7D0239FF"/>
    <w:rsid w:val="7D0F2F2C"/>
    <w:rsid w:val="7D226731"/>
    <w:rsid w:val="7D2C56E1"/>
    <w:rsid w:val="7D537911"/>
    <w:rsid w:val="7D5E40CD"/>
    <w:rsid w:val="7D68657A"/>
    <w:rsid w:val="7D6869C6"/>
    <w:rsid w:val="7D697023"/>
    <w:rsid w:val="7D7C441A"/>
    <w:rsid w:val="7DB957B3"/>
    <w:rsid w:val="7DBD5EEA"/>
    <w:rsid w:val="7DC931C4"/>
    <w:rsid w:val="7DCD56F2"/>
    <w:rsid w:val="7DF82DD4"/>
    <w:rsid w:val="7E032A0C"/>
    <w:rsid w:val="7E043633"/>
    <w:rsid w:val="7E2B6198"/>
    <w:rsid w:val="7E651A67"/>
    <w:rsid w:val="7E6D01FD"/>
    <w:rsid w:val="7E6F669E"/>
    <w:rsid w:val="7E796341"/>
    <w:rsid w:val="7E931ED2"/>
    <w:rsid w:val="7E957AB5"/>
    <w:rsid w:val="7E963C2D"/>
    <w:rsid w:val="7ED051AF"/>
    <w:rsid w:val="7F001CE7"/>
    <w:rsid w:val="7F17429F"/>
    <w:rsid w:val="7F372D54"/>
    <w:rsid w:val="7F413799"/>
    <w:rsid w:val="7F41483A"/>
    <w:rsid w:val="7F431716"/>
    <w:rsid w:val="7F696234"/>
    <w:rsid w:val="7F6F0306"/>
    <w:rsid w:val="7F71407E"/>
    <w:rsid w:val="7F863FFD"/>
    <w:rsid w:val="7FA547B5"/>
    <w:rsid w:val="7FC704F4"/>
    <w:rsid w:val="7FDE4F57"/>
    <w:rsid w:val="7FE47E50"/>
    <w:rsid w:val="7FE90E70"/>
    <w:rsid w:val="7FF86F6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ocked="1"/>
    <w:lsdException w:qFormat="1" w:unhideWhenUsed="0" w:uiPriority="0" w:semiHidden="0" w:name="heading 2" w:locked="1"/>
    <w:lsdException w:qFormat="1" w:unhideWhenUsed="0" w:uiPriority="9" w:semiHidden="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nhideWhenUsed="0" w:uiPriority="0" w:semiHidden="0" w:name="index 1" w:locked="1"/>
    <w:lsdException w:unhideWhenUsed="0" w:uiPriority="0" w:semiHidden="0" w:name="index 2" w:locked="1"/>
    <w:lsdException w:unhideWhenUsed="0" w:uiPriority="0" w:semiHidden="0" w:name="index 3" w:locked="1"/>
    <w:lsdException w:unhideWhenUsed="0" w:uiPriority="0" w:semiHidden="0" w:name="index 4" w:locked="1"/>
    <w:lsdException w:unhideWhenUsed="0" w:uiPriority="0" w:semiHidden="0" w:name="index 5" w:locked="1"/>
    <w:lsdException w:unhideWhenUsed="0" w:uiPriority="0" w:semiHidden="0" w:name="index 6" w:locked="1"/>
    <w:lsdException w:unhideWhenUsed="0" w:uiPriority="0" w:semiHidden="0" w:name="index 7" w:locked="1"/>
    <w:lsdException w:unhideWhenUsed="0" w:uiPriority="0" w:semiHidden="0" w:name="index 8" w:locked="1"/>
    <w:lsdException w:unhideWhenUsed="0" w:uiPriority="0" w:semiHidden="0" w:name="index 9" w:locked="1"/>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qFormat="1" w:unhideWhenUsed="0" w:uiPriority="0" w:semiHidden="0" w:name="Normal Indent" w:locked="1"/>
    <w:lsdException w:unhideWhenUsed="0" w:uiPriority="0" w:semiHidden="0" w:name="footnote text" w:locked="1"/>
    <w:lsdException w:qFormat="1" w:unhideWhenUsed="0" w:uiPriority="0" w:name="annotation text"/>
    <w:lsdException w:qFormat="1" w:unhideWhenUsed="0" w:uiPriority="0" w:semiHidden="0" w:name="header"/>
    <w:lsdException w:qFormat="1" w:unhideWhenUsed="0" w:uiPriority="99" w:semiHidden="0" w:name="footer"/>
    <w:lsdException w:unhideWhenUsed="0" w:uiPriority="0" w:semiHidden="0" w:name="index heading" w:locked="1"/>
    <w:lsdException w:qFormat="1" w:unhideWhenUsed="0" w:uiPriority="0" w:semiHidden="0" w:name="caption" w:locked="1"/>
    <w:lsdException w:unhideWhenUsed="0" w:uiPriority="0" w:semiHidden="0" w:name="table of figures" w:locked="1"/>
    <w:lsdException w:unhideWhenUsed="0" w:uiPriority="0" w:semiHidden="0" w:name="envelope address" w:locked="1"/>
    <w:lsdException w:unhideWhenUsed="0" w:uiPriority="0" w:semiHidden="0" w:name="envelope return" w:locked="1"/>
    <w:lsdException w:unhideWhenUsed="0" w:uiPriority="0" w:semiHidden="0" w:name="footnote reference" w:locked="1"/>
    <w:lsdException w:qFormat="1" w:unhideWhenUsed="0" w:uiPriority="0" w:name="annotation reference"/>
    <w:lsdException w:unhideWhenUsed="0" w:uiPriority="0" w:semiHidden="0" w:name="line number" w:locked="1"/>
    <w:lsdException w:qFormat="1" w:unhideWhenUsed="0" w:uiPriority="0" w:semiHidden="0" w:name="page number" w:locked="1"/>
    <w:lsdException w:unhideWhenUsed="0" w:uiPriority="0" w:semiHidden="0" w:name="endnote reference" w:locked="1"/>
    <w:lsdException w:unhideWhenUsed="0" w:uiPriority="0" w:semiHidden="0" w:name="endnote text" w:locked="1"/>
    <w:lsdException w:unhideWhenUsed="0" w:uiPriority="0" w:semiHidden="0" w:name="table of authorities" w:locked="1"/>
    <w:lsdException w:unhideWhenUsed="0" w:uiPriority="0" w:semiHidden="0" w:name="macro" w:locked="1"/>
    <w:lsdException w:unhideWhenUsed="0" w:uiPriority="0" w:semiHidden="0" w:name="toa heading" w:locked="1"/>
    <w:lsdException w:qFormat="1" w:uiPriority="99" w:semiHidden="0" w:name="List" w:locked="1"/>
    <w:lsdException w:unhideWhenUsed="0" w:uiPriority="0" w:semiHidden="0" w:name="List Bullet" w:locked="1"/>
    <w:lsdException w:unhideWhenUsed="0" w:uiPriority="0" w:semiHidden="0" w:name="List Number" w:locked="1"/>
    <w:lsdException w:unhideWhenUsed="0" w:uiPriority="0" w:semiHidden="0" w:name="List 2" w:locked="1"/>
    <w:lsdException w:unhideWhenUsed="0" w:uiPriority="0" w:semiHidden="0" w:name="List 3" w:locked="1"/>
    <w:lsdException w:unhideWhenUsed="0" w:uiPriority="0" w:semiHidden="0" w:name="List 4" w:locked="1"/>
    <w:lsdException w:unhideWhenUsed="0" w:uiPriority="0" w:semiHidden="0" w:name="List 5" w:locked="1"/>
    <w:lsdException w:unhideWhenUsed="0" w:uiPriority="0" w:semiHidden="0" w:name="List Bullet 2" w:locked="1"/>
    <w:lsdException w:unhideWhenUsed="0" w:uiPriority="0" w:semiHidden="0" w:name="List Bullet 3" w:locked="1"/>
    <w:lsdException w:unhideWhenUsed="0" w:uiPriority="0" w:semiHidden="0" w:name="List Bullet 4" w:locked="1"/>
    <w:lsdException w:unhideWhenUsed="0" w:uiPriority="0" w:semiHidden="0" w:name="List Bullet 5" w:locked="1"/>
    <w:lsdException w:unhideWhenUsed="0" w:uiPriority="0" w:semiHidden="0" w:name="List Number 2" w:locked="1"/>
    <w:lsdException w:unhideWhenUsed="0" w:uiPriority="0" w:semiHidden="0" w:name="List Number 3" w:locked="1"/>
    <w:lsdException w:unhideWhenUsed="0" w:uiPriority="0" w:semiHidden="0" w:name="List Number 4" w:locked="1"/>
    <w:lsdException w:unhideWhenUsed="0" w:uiPriority="0" w:semiHidden="0" w:name="List Number 5" w:locked="1"/>
    <w:lsdException w:qFormat="1" w:unhideWhenUsed="0" w:uiPriority="0" w:semiHidden="0" w:name="Title" w:locked="1"/>
    <w:lsdException w:unhideWhenUsed="0" w:uiPriority="0" w:semiHidden="0" w:name="Closing" w:locked="1"/>
    <w:lsdException w:unhideWhenUsed="0" w:uiPriority="0" w:semiHidden="0" w:name="Signature" w:locked="1"/>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ocked="1"/>
    <w:lsdException w:unhideWhenUsed="0" w:uiPriority="0" w:semiHidden="0" w:name="List Continue 2" w:locked="1"/>
    <w:lsdException w:unhideWhenUsed="0" w:uiPriority="0" w:semiHidden="0" w:name="List Continue 3" w:locked="1"/>
    <w:lsdException w:unhideWhenUsed="0" w:uiPriority="0" w:semiHidden="0" w:name="List Continue 4" w:locked="1"/>
    <w:lsdException w:unhideWhenUsed="0" w:uiPriority="0" w:semiHidden="0" w:name="List Continue 5" w:locked="1"/>
    <w:lsdException w:unhideWhenUsed="0" w:uiPriority="0" w:semiHidden="0" w:name="Message Header" w:locked="1"/>
    <w:lsdException w:qFormat="1" w:unhideWhenUsed="0" w:uiPriority="0" w:semiHidden="0" w:name="Subtitle" w:locked="1"/>
    <w:lsdException w:unhideWhenUsed="0" w:uiPriority="0" w:semiHidden="0" w:name="Salutation" w:locked="1"/>
    <w:lsdException w:qFormat="1" w:unhideWhenUsed="0" w:uiPriority="0" w:semiHidden="0" w:name="Date"/>
    <w:lsdException w:unhideWhenUsed="0" w:uiPriority="0" w:semiHidden="0" w:name="Body Text First Indent" w:locked="1"/>
    <w:lsdException w:qFormat="1" w:unhideWhenUsed="0" w:uiPriority="0" w:semiHidden="0" w:name="Body Text First Indent 2" w:locked="1"/>
    <w:lsdException w:unhideWhenUsed="0" w:uiPriority="0" w:semiHidden="0" w:name="Note Heading" w:locked="1"/>
    <w:lsdException w:unhideWhenUsed="0" w:uiPriority="0" w:semiHidden="0" w:name="Body Text 2" w:locked="1"/>
    <w:lsdException w:unhideWhenUsed="0" w:uiPriority="0" w:semiHidden="0" w:name="Body Text 3" w:locked="1"/>
    <w:lsdException w:unhideWhenUsed="0" w:uiPriority="0" w:semiHidden="0" w:name="Body Text Indent 2" w:locked="1"/>
    <w:lsdException w:unhideWhenUsed="0" w:uiPriority="0" w:semiHidden="0" w:name="Body Text Indent 3" w:locked="1"/>
    <w:lsdException w:qFormat="1" w:unhideWhenUsed="0" w:uiPriority="0" w:semiHidden="0" w:name="Block Text" w:locked="1"/>
    <w:lsdException w:unhideWhenUsed="0" w:uiPriority="0" w:semiHidden="0" w:name="Hyperlink" w:locked="1"/>
    <w:lsdException w:unhideWhenUsed="0" w:uiPriority="0" w:semiHidden="0" w:name="FollowedHyperlink" w:locked="1"/>
    <w:lsdException w:qFormat="1" w:unhideWhenUsed="0" w:uiPriority="0" w:semiHidden="0" w:name="Strong" w:locked="1"/>
    <w:lsdException w:qFormat="1" w:unhideWhenUsed="0" w:uiPriority="0" w:semiHidden="0" w:name="Emphasis" w:locked="1"/>
    <w:lsdException w:unhideWhenUsed="0" w:uiPriority="0" w:semiHidden="0" w:name="Document Map" w:locked="1"/>
    <w:lsdException w:unhideWhenUsed="0" w:uiPriority="0" w:semiHidden="0" w:name="Plain Text" w:locked="1"/>
    <w:lsdException w:unhideWhenUsed="0" w:uiPriority="0" w:semiHidden="0" w:name="E-mail Signature" w:locked="1"/>
    <w:lsdException w:qFormat="1" w:unhideWhenUsed="0" w:uiPriority="0" w:semiHidden="0" w:name="Normal (Web)"/>
    <w:lsdException w:unhideWhenUsed="0" w:uiPriority="0" w:semiHidden="0" w:name="HTML Acronym" w:locked="1"/>
    <w:lsdException w:unhideWhenUsed="0" w:uiPriority="0" w:semiHidden="0" w:name="HTML Address" w:locked="1"/>
    <w:lsdException w:unhideWhenUsed="0" w:uiPriority="0" w:semiHidden="0" w:name="HTML Cite" w:locked="1"/>
    <w:lsdException w:unhideWhenUsed="0" w:uiPriority="0" w:semiHidden="0" w:name="HTML Code" w:locked="1"/>
    <w:lsdException w:unhideWhenUsed="0" w:uiPriority="0" w:semiHidden="0" w:name="HTML Definition" w:locked="1"/>
    <w:lsdException w:unhideWhenUsed="0" w:uiPriority="0" w:semiHidden="0" w:name="HTML Keyboard" w:locked="1"/>
    <w:lsdException w:unhideWhenUsed="0" w:uiPriority="0" w:semiHidden="0" w:name="HTML Preformatted" w:locked="1"/>
    <w:lsdException w:unhideWhenUsed="0" w:uiPriority="0" w:semiHidden="0" w:name="HTML Sample" w:locked="1"/>
    <w:lsdException w:unhideWhenUsed="0" w:uiPriority="0" w:semiHidden="0" w:name="HTML Typewriter" w:locked="1"/>
    <w:lsdException w:unhideWhenUsed="0" w:uiPriority="0" w:semiHidden="0" w:name="HTML Variable" w:locked="1"/>
    <w:lsdException w:qFormat="1" w:uiPriority="99" w:name="Normal Table"/>
    <w:lsdException w:qFormat="1" w:unhideWhenUsed="0" w:uiPriority="0" w:name="annotation subject"/>
    <w:lsdException w:uiPriority="0" w:name="Table Simple 1" w:locked="1"/>
    <w:lsdException w:uiPriority="0" w:name="Table Simple 2" w:locked="1"/>
    <w:lsdException w:uiPriority="0" w:name="Table Simple 3" w:locked="1"/>
    <w:lsdException w:uiPriority="0" w:name="Table Classic 1" w:locked="1"/>
    <w:lsdException w:uiPriority="0" w:name="Table Classic 2" w:locked="1"/>
    <w:lsdException w:uiPriority="0" w:name="Table Classic 3" w:locked="1"/>
    <w:lsdException w:uiPriority="0" w:name="Table Classic 4" w:locked="1"/>
    <w:lsdException w:uiPriority="0" w:name="Table Colorful 1" w:locked="1"/>
    <w:lsdException w:uiPriority="0" w:name="Table Colorful 2" w:locked="1"/>
    <w:lsdException w:uiPriority="0" w:name="Table Colorful 3" w:locked="1"/>
    <w:lsdException w:uiPriority="0" w:name="Table Columns 1" w:locked="1"/>
    <w:lsdException w:uiPriority="0" w:name="Table Columns 2" w:locked="1"/>
    <w:lsdException w:uiPriority="0" w:name="Table Columns 3" w:locked="1"/>
    <w:lsdException w:uiPriority="0" w:name="Table Columns 4" w:locked="1"/>
    <w:lsdException w:uiPriority="0" w:name="Table Columns 5" w:locked="1"/>
    <w:lsdException w:uiPriority="0" w:name="Table Grid 1" w:locked="1"/>
    <w:lsdException w:uiPriority="0" w:name="Table Grid 2" w:locked="1"/>
    <w:lsdException w:uiPriority="0" w:name="Table Grid 3" w:locked="1"/>
    <w:lsdException w:uiPriority="0" w:name="Table Grid 4" w:locked="1"/>
    <w:lsdException w:uiPriority="0" w:name="Table Grid 5" w:locked="1"/>
    <w:lsdException w:uiPriority="0" w:name="Table Grid 6" w:locked="1"/>
    <w:lsdException w:uiPriority="0" w:name="Table Grid 7" w:locked="1"/>
    <w:lsdException w:uiPriority="0" w:name="Table Grid 8" w:locked="1"/>
    <w:lsdException w:uiPriority="0" w:name="Table List 1" w:locked="1"/>
    <w:lsdException w:uiPriority="0" w:name="Table List 2" w:locked="1"/>
    <w:lsdException w:uiPriority="0" w:name="Table List 3" w:locked="1"/>
    <w:lsdException w:uiPriority="0" w:name="Table List 4" w:locked="1"/>
    <w:lsdException w:uiPriority="0" w:name="Table List 5" w:locked="1"/>
    <w:lsdException w:uiPriority="0" w:name="Table List 6" w:locked="1"/>
    <w:lsdException w:uiPriority="0" w:name="Table List 7" w:locked="1"/>
    <w:lsdException w:uiPriority="0" w:name="Table List 8" w:locked="1"/>
    <w:lsdException w:uiPriority="0" w:name="Table 3D effects 1" w:locked="1"/>
    <w:lsdException w:uiPriority="0" w:name="Table 3D effects 2" w:locked="1"/>
    <w:lsdException w:uiPriority="0" w:name="Table 3D effects 3" w:locked="1"/>
    <w:lsdException w:uiPriority="0" w:name="Table Contemporary" w:locked="1"/>
    <w:lsdException w:uiPriority="0" w:name="Table Elegant" w:locked="1"/>
    <w:lsdException w:uiPriority="0" w:name="Table Professional" w:locked="1"/>
    <w:lsdException w:uiPriority="0" w:name="Table Subtle 1" w:locked="1"/>
    <w:lsdException w:uiPriority="0" w:name="Table Subtle 2" w:locked="1"/>
    <w:lsdException w:uiPriority="0" w:name="Table Web 1" w:locked="1"/>
    <w:lsdException w:uiPriority="0" w:name="Table Web 2" w:locked="1"/>
    <w:lsdException w:uiPriority="0" w:name="Table Web 3" w:locked="1"/>
    <w:lsdException w:qFormat="1" w:unhideWhenUsed="0" w:uiPriority="0" w:name="Balloon Text"/>
    <w:lsdException w:qFormat="1" w:unhideWhenUsed="0" w:uiPriority="0" w:semiHidden="0" w:name="Table Grid"/>
    <w:lsdException w:uiPriority="0" w:name="Table Theme" w:locked="1"/>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autoRedefine/>
    <w:qFormat/>
    <w:locked/>
    <w:uiPriority w:val="99"/>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3">
    <w:name w:val="heading 2"/>
    <w:basedOn w:val="1"/>
    <w:next w:val="1"/>
    <w:autoRedefine/>
    <w:qFormat/>
    <w:locked/>
    <w:uiPriority w:val="0"/>
    <w:pPr>
      <w:keepNext/>
      <w:keepLines/>
      <w:spacing w:before="260" w:after="260" w:line="416" w:lineRule="auto"/>
      <w:outlineLvl w:val="1"/>
    </w:pPr>
    <w:rPr>
      <w:rFonts w:ascii="Arial" w:hAnsi="Arial"/>
      <w:b/>
      <w:bCs/>
      <w:sz w:val="28"/>
      <w:szCs w:val="32"/>
    </w:rPr>
  </w:style>
  <w:style w:type="paragraph" w:styleId="4">
    <w:name w:val="heading 3"/>
    <w:basedOn w:val="1"/>
    <w:next w:val="1"/>
    <w:autoRedefine/>
    <w:qFormat/>
    <w:locked/>
    <w:uiPriority w:val="9"/>
    <w:pPr>
      <w:keepNext/>
      <w:keepLines/>
      <w:spacing w:before="260" w:after="260" w:line="416" w:lineRule="auto"/>
      <w:outlineLvl w:val="2"/>
    </w:pPr>
    <w:rPr>
      <w:b/>
      <w:bCs/>
      <w:sz w:val="32"/>
      <w:szCs w:val="32"/>
    </w:rPr>
  </w:style>
  <w:style w:type="character" w:default="1" w:styleId="21">
    <w:name w:val="Default Paragraph Font"/>
    <w:autoRedefine/>
    <w:semiHidden/>
    <w:unhideWhenUsed/>
    <w:qFormat/>
    <w:uiPriority w:val="1"/>
  </w:style>
  <w:style w:type="table" w:default="1" w:styleId="19">
    <w:name w:val="Normal Table"/>
    <w:autoRedefine/>
    <w:semiHidden/>
    <w:unhideWhenUsed/>
    <w:qFormat/>
    <w:uiPriority w:val="99"/>
    <w:tblPr>
      <w:tblCellMar>
        <w:top w:w="0" w:type="dxa"/>
        <w:left w:w="108" w:type="dxa"/>
        <w:bottom w:w="0" w:type="dxa"/>
        <w:right w:w="108" w:type="dxa"/>
      </w:tblCellMar>
    </w:tblPr>
  </w:style>
  <w:style w:type="paragraph" w:styleId="5">
    <w:name w:val="Normal Indent"/>
    <w:basedOn w:val="1"/>
    <w:autoRedefine/>
    <w:qFormat/>
    <w:locked/>
    <w:uiPriority w:val="0"/>
    <w:pPr>
      <w:adjustRightInd w:val="0"/>
      <w:snapToGrid w:val="0"/>
      <w:spacing w:line="360" w:lineRule="auto"/>
      <w:ind w:firstLine="420" w:firstLineChars="200"/>
    </w:pPr>
    <w:rPr>
      <w:rFonts w:ascii="Times New Roman" w:hAnsi="Times New Roman" w:eastAsia="宋体"/>
      <w:sz w:val="24"/>
    </w:rPr>
  </w:style>
  <w:style w:type="paragraph" w:styleId="6">
    <w:name w:val="caption"/>
    <w:basedOn w:val="1"/>
    <w:next w:val="1"/>
    <w:autoRedefine/>
    <w:qFormat/>
    <w:locked/>
    <w:uiPriority w:val="0"/>
    <w:pPr>
      <w:jc w:val="center"/>
    </w:pPr>
    <w:rPr>
      <w:b/>
      <w:szCs w:val="20"/>
    </w:rPr>
  </w:style>
  <w:style w:type="paragraph" w:styleId="7">
    <w:name w:val="annotation text"/>
    <w:basedOn w:val="1"/>
    <w:link w:val="26"/>
    <w:autoRedefine/>
    <w:semiHidden/>
    <w:qFormat/>
    <w:uiPriority w:val="0"/>
    <w:pPr>
      <w:jc w:val="left"/>
    </w:pPr>
    <w:rPr>
      <w:kern w:val="0"/>
      <w:sz w:val="24"/>
      <w:szCs w:val="20"/>
    </w:rPr>
  </w:style>
  <w:style w:type="paragraph" w:styleId="8">
    <w:name w:val="Body Text"/>
    <w:basedOn w:val="1"/>
    <w:link w:val="27"/>
    <w:autoRedefine/>
    <w:qFormat/>
    <w:uiPriority w:val="0"/>
    <w:pPr>
      <w:widowControl/>
      <w:snapToGrid w:val="0"/>
      <w:spacing w:before="60" w:after="160" w:line="259" w:lineRule="auto"/>
      <w:ind w:right="113"/>
    </w:pPr>
    <w:rPr>
      <w:kern w:val="0"/>
      <w:sz w:val="18"/>
      <w:szCs w:val="20"/>
    </w:rPr>
  </w:style>
  <w:style w:type="paragraph" w:styleId="9">
    <w:name w:val="Body Text Indent"/>
    <w:basedOn w:val="1"/>
    <w:link w:val="25"/>
    <w:autoRedefine/>
    <w:qFormat/>
    <w:uiPriority w:val="0"/>
    <w:pPr>
      <w:spacing w:after="120"/>
      <w:ind w:left="420" w:leftChars="200"/>
    </w:pPr>
    <w:rPr>
      <w:kern w:val="0"/>
      <w:sz w:val="24"/>
      <w:szCs w:val="20"/>
    </w:rPr>
  </w:style>
  <w:style w:type="paragraph" w:styleId="10">
    <w:name w:val="Block Text"/>
    <w:basedOn w:val="1"/>
    <w:autoRedefine/>
    <w:qFormat/>
    <w:locked/>
    <w:uiPriority w:val="0"/>
    <w:pPr>
      <w:spacing w:after="120"/>
      <w:ind w:left="1440" w:leftChars="700" w:right="1440" w:rightChars="700"/>
    </w:pPr>
  </w:style>
  <w:style w:type="paragraph" w:styleId="11">
    <w:name w:val="Date"/>
    <w:basedOn w:val="1"/>
    <w:next w:val="1"/>
    <w:link w:val="28"/>
    <w:autoRedefine/>
    <w:qFormat/>
    <w:uiPriority w:val="0"/>
    <w:pPr>
      <w:ind w:left="100" w:leftChars="2500"/>
    </w:pPr>
    <w:rPr>
      <w:kern w:val="0"/>
      <w:sz w:val="24"/>
      <w:szCs w:val="20"/>
    </w:rPr>
  </w:style>
  <w:style w:type="paragraph" w:styleId="12">
    <w:name w:val="Balloon Text"/>
    <w:basedOn w:val="1"/>
    <w:link w:val="29"/>
    <w:autoRedefine/>
    <w:semiHidden/>
    <w:qFormat/>
    <w:uiPriority w:val="0"/>
    <w:rPr>
      <w:kern w:val="0"/>
      <w:sz w:val="18"/>
      <w:szCs w:val="20"/>
    </w:rPr>
  </w:style>
  <w:style w:type="paragraph" w:styleId="13">
    <w:name w:val="footer"/>
    <w:basedOn w:val="1"/>
    <w:link w:val="30"/>
    <w:autoRedefine/>
    <w:qFormat/>
    <w:uiPriority w:val="99"/>
    <w:pPr>
      <w:tabs>
        <w:tab w:val="center" w:pos="4153"/>
        <w:tab w:val="right" w:pos="8306"/>
      </w:tabs>
      <w:snapToGrid w:val="0"/>
      <w:jc w:val="left"/>
    </w:pPr>
    <w:rPr>
      <w:kern w:val="0"/>
      <w:sz w:val="18"/>
      <w:szCs w:val="20"/>
    </w:rPr>
  </w:style>
  <w:style w:type="paragraph" w:styleId="14">
    <w:name w:val="header"/>
    <w:basedOn w:val="1"/>
    <w:link w:val="31"/>
    <w:autoRedefine/>
    <w:qFormat/>
    <w:uiPriority w:val="0"/>
    <w:pPr>
      <w:pBdr>
        <w:bottom w:val="single" w:color="auto" w:sz="6" w:space="1"/>
      </w:pBdr>
      <w:tabs>
        <w:tab w:val="center" w:pos="4153"/>
        <w:tab w:val="right" w:pos="8306"/>
      </w:tabs>
      <w:snapToGrid w:val="0"/>
      <w:jc w:val="center"/>
    </w:pPr>
    <w:rPr>
      <w:kern w:val="0"/>
      <w:sz w:val="18"/>
      <w:szCs w:val="20"/>
    </w:rPr>
  </w:style>
  <w:style w:type="paragraph" w:styleId="15">
    <w:name w:val="List"/>
    <w:basedOn w:val="1"/>
    <w:autoRedefine/>
    <w:unhideWhenUsed/>
    <w:qFormat/>
    <w:locked/>
    <w:uiPriority w:val="99"/>
    <w:pPr>
      <w:ind w:left="200" w:hanging="200" w:hangingChars="200"/>
      <w:jc w:val="center"/>
    </w:pPr>
  </w:style>
  <w:style w:type="paragraph" w:styleId="16">
    <w:name w:val="Normal (Web)"/>
    <w:basedOn w:val="1"/>
    <w:link w:val="32"/>
    <w:autoRedefine/>
    <w:qFormat/>
    <w:uiPriority w:val="0"/>
    <w:pPr>
      <w:widowControl/>
      <w:spacing w:before="100" w:beforeAutospacing="1" w:after="100" w:afterAutospacing="1"/>
      <w:jc w:val="left"/>
    </w:pPr>
    <w:rPr>
      <w:rFonts w:ascii="宋体" w:hAnsi="宋体"/>
      <w:kern w:val="0"/>
      <w:sz w:val="24"/>
      <w:szCs w:val="20"/>
    </w:rPr>
  </w:style>
  <w:style w:type="paragraph" w:styleId="17">
    <w:name w:val="annotation subject"/>
    <w:basedOn w:val="7"/>
    <w:next w:val="7"/>
    <w:link w:val="33"/>
    <w:autoRedefine/>
    <w:semiHidden/>
    <w:qFormat/>
    <w:uiPriority w:val="0"/>
    <w:rPr>
      <w:b/>
    </w:rPr>
  </w:style>
  <w:style w:type="paragraph" w:styleId="18">
    <w:name w:val="Body Text First Indent 2"/>
    <w:basedOn w:val="9"/>
    <w:next w:val="1"/>
    <w:autoRedefine/>
    <w:qFormat/>
    <w:locked/>
    <w:uiPriority w:val="0"/>
    <w:pPr>
      <w:ind w:firstLine="420" w:firstLineChars="200"/>
    </w:pPr>
  </w:style>
  <w:style w:type="table" w:styleId="20">
    <w:name w:val="Table Grid"/>
    <w:basedOn w:val="19"/>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page number"/>
    <w:basedOn w:val="21"/>
    <w:autoRedefine/>
    <w:qFormat/>
    <w:locked/>
    <w:uiPriority w:val="0"/>
  </w:style>
  <w:style w:type="character" w:styleId="23">
    <w:name w:val="annotation reference"/>
    <w:autoRedefine/>
    <w:semiHidden/>
    <w:qFormat/>
    <w:uiPriority w:val="0"/>
    <w:rPr>
      <w:sz w:val="21"/>
    </w:rPr>
  </w:style>
  <w:style w:type="paragraph" w:customStyle="1" w:styleId="24">
    <w:name w:val="Default"/>
    <w:autoRedefine/>
    <w:qFormat/>
    <w:uiPriority w:val="0"/>
    <w:pPr>
      <w:widowControl w:val="0"/>
      <w:autoSpaceDE w:val="0"/>
      <w:autoSpaceDN w:val="0"/>
      <w:adjustRightInd w:val="0"/>
    </w:pPr>
    <w:rPr>
      <w:rFonts w:ascii="Li Super" w:hAnsi="Times New Roman" w:eastAsia="Li Super" w:cs="Li Super"/>
      <w:color w:val="000000"/>
      <w:sz w:val="24"/>
      <w:szCs w:val="24"/>
      <w:lang w:val="en-US" w:eastAsia="zh-CN" w:bidi="ar-SA"/>
    </w:rPr>
  </w:style>
  <w:style w:type="character" w:customStyle="1" w:styleId="25">
    <w:name w:val="正文文本缩进 Char"/>
    <w:link w:val="9"/>
    <w:autoRedefine/>
    <w:semiHidden/>
    <w:qFormat/>
    <w:locked/>
    <w:uiPriority w:val="0"/>
    <w:rPr>
      <w:rFonts w:ascii="Times New Roman" w:hAnsi="Times New Roman" w:eastAsia="宋体"/>
      <w:sz w:val="24"/>
    </w:rPr>
  </w:style>
  <w:style w:type="character" w:customStyle="1" w:styleId="26">
    <w:name w:val="批注文字 Char"/>
    <w:link w:val="7"/>
    <w:autoRedefine/>
    <w:qFormat/>
    <w:locked/>
    <w:uiPriority w:val="0"/>
    <w:rPr>
      <w:rFonts w:ascii="Times New Roman" w:hAnsi="Times New Roman" w:eastAsia="宋体"/>
      <w:sz w:val="24"/>
    </w:rPr>
  </w:style>
  <w:style w:type="character" w:customStyle="1" w:styleId="27">
    <w:name w:val="正文文本 Char"/>
    <w:link w:val="8"/>
    <w:autoRedefine/>
    <w:qFormat/>
    <w:locked/>
    <w:uiPriority w:val="0"/>
    <w:rPr>
      <w:sz w:val="18"/>
    </w:rPr>
  </w:style>
  <w:style w:type="character" w:customStyle="1" w:styleId="28">
    <w:name w:val="日期 Char"/>
    <w:link w:val="11"/>
    <w:autoRedefine/>
    <w:qFormat/>
    <w:locked/>
    <w:uiPriority w:val="0"/>
    <w:rPr>
      <w:rFonts w:ascii="Times New Roman" w:hAnsi="Times New Roman" w:eastAsia="宋体"/>
      <w:sz w:val="24"/>
    </w:rPr>
  </w:style>
  <w:style w:type="character" w:customStyle="1" w:styleId="29">
    <w:name w:val="批注框文本 Char"/>
    <w:link w:val="12"/>
    <w:autoRedefine/>
    <w:semiHidden/>
    <w:qFormat/>
    <w:locked/>
    <w:uiPriority w:val="0"/>
    <w:rPr>
      <w:rFonts w:ascii="Times New Roman" w:hAnsi="Times New Roman" w:eastAsia="宋体"/>
      <w:sz w:val="18"/>
    </w:rPr>
  </w:style>
  <w:style w:type="character" w:customStyle="1" w:styleId="30">
    <w:name w:val="页脚 Char"/>
    <w:link w:val="13"/>
    <w:autoRedefine/>
    <w:qFormat/>
    <w:locked/>
    <w:uiPriority w:val="99"/>
    <w:rPr>
      <w:sz w:val="18"/>
    </w:rPr>
  </w:style>
  <w:style w:type="character" w:customStyle="1" w:styleId="31">
    <w:name w:val="页眉 Char"/>
    <w:link w:val="14"/>
    <w:autoRedefine/>
    <w:qFormat/>
    <w:locked/>
    <w:uiPriority w:val="0"/>
    <w:rPr>
      <w:sz w:val="18"/>
    </w:rPr>
  </w:style>
  <w:style w:type="character" w:customStyle="1" w:styleId="32">
    <w:name w:val="普通(网站) Char"/>
    <w:link w:val="16"/>
    <w:autoRedefine/>
    <w:qFormat/>
    <w:locked/>
    <w:uiPriority w:val="0"/>
    <w:rPr>
      <w:rFonts w:ascii="宋体" w:hAnsi="宋体" w:eastAsia="宋体"/>
      <w:sz w:val="24"/>
    </w:rPr>
  </w:style>
  <w:style w:type="character" w:customStyle="1" w:styleId="33">
    <w:name w:val="批注主题 Char"/>
    <w:link w:val="17"/>
    <w:autoRedefine/>
    <w:semiHidden/>
    <w:qFormat/>
    <w:locked/>
    <w:uiPriority w:val="0"/>
    <w:rPr>
      <w:rFonts w:ascii="Times New Roman" w:hAnsi="Times New Roman" w:eastAsia="宋体"/>
      <w:b/>
      <w:kern w:val="2"/>
      <w:sz w:val="24"/>
    </w:rPr>
  </w:style>
  <w:style w:type="character" w:customStyle="1" w:styleId="34">
    <w:name w:val="页脚 字符"/>
    <w:basedOn w:val="21"/>
    <w:autoRedefine/>
    <w:qFormat/>
    <w:uiPriority w:val="99"/>
  </w:style>
  <w:style w:type="character" w:customStyle="1" w:styleId="35">
    <w:name w:val="正文文本 字符1"/>
    <w:autoRedefine/>
    <w:semiHidden/>
    <w:qFormat/>
    <w:uiPriority w:val="0"/>
    <w:rPr>
      <w:rFonts w:ascii="Times New Roman" w:hAnsi="Times New Roman" w:eastAsia="宋体"/>
      <w:sz w:val="24"/>
    </w:rPr>
  </w:style>
  <w:style w:type="character" w:customStyle="1" w:styleId="36">
    <w:name w:val="表格 Char"/>
    <w:link w:val="37"/>
    <w:autoRedefine/>
    <w:qFormat/>
    <w:locked/>
    <w:uiPriority w:val="0"/>
    <w:rPr>
      <w:rFonts w:ascii="宋体"/>
      <w:sz w:val="21"/>
    </w:rPr>
  </w:style>
  <w:style w:type="paragraph" w:customStyle="1" w:styleId="37">
    <w:name w:val="表格"/>
    <w:basedOn w:val="1"/>
    <w:next w:val="1"/>
    <w:link w:val="36"/>
    <w:autoRedefine/>
    <w:qFormat/>
    <w:uiPriority w:val="0"/>
    <w:pPr>
      <w:adjustRightInd w:val="0"/>
      <w:snapToGrid w:val="0"/>
      <w:spacing w:beforeLines="10" w:afterLines="10" w:line="259" w:lineRule="auto"/>
      <w:jc w:val="center"/>
    </w:pPr>
    <w:rPr>
      <w:rFonts w:ascii="宋体"/>
      <w:kern w:val="0"/>
      <w:szCs w:val="20"/>
    </w:rPr>
  </w:style>
  <w:style w:type="character" w:customStyle="1" w:styleId="38">
    <w:name w:val="日期 字符"/>
    <w:autoRedefine/>
    <w:semiHidden/>
    <w:qFormat/>
    <w:uiPriority w:val="0"/>
    <w:rPr>
      <w:rFonts w:ascii="Times New Roman" w:hAnsi="Times New Roman" w:eastAsia="宋体"/>
      <w:sz w:val="24"/>
    </w:rPr>
  </w:style>
  <w:style w:type="character" w:customStyle="1" w:styleId="39">
    <w:name w:val="批注文字 字符1"/>
    <w:autoRedefine/>
    <w:semiHidden/>
    <w:qFormat/>
    <w:uiPriority w:val="0"/>
    <w:rPr>
      <w:rFonts w:ascii="Times New Roman" w:hAnsi="Times New Roman" w:eastAsia="宋体"/>
      <w:sz w:val="24"/>
    </w:rPr>
  </w:style>
  <w:style w:type="paragraph" w:customStyle="1" w:styleId="40">
    <w:name w:val="正文_10"/>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41">
    <w:name w:val="普通(网站)2"/>
    <w:basedOn w:val="1"/>
    <w:autoRedefine/>
    <w:qFormat/>
    <w:uiPriority w:val="0"/>
    <w:pPr>
      <w:widowControl/>
      <w:spacing w:before="100" w:beforeAutospacing="1" w:after="100" w:afterAutospacing="1"/>
      <w:jc w:val="left"/>
    </w:pPr>
    <w:rPr>
      <w:rFonts w:ascii="宋体" w:hAnsi="宋体"/>
      <w:sz w:val="24"/>
      <w:szCs w:val="20"/>
    </w:rPr>
  </w:style>
  <w:style w:type="table" w:customStyle="1" w:styleId="42">
    <w:name w:val="TableGrid"/>
    <w:basedOn w:val="19"/>
    <w:autoRedefine/>
    <w:qFormat/>
    <w:uiPriority w:val="0"/>
    <w:rPr>
      <w:rFonts w:hint="eastAsia" w:cs="等线"/>
      <w:kern w:val="2"/>
      <w:sz w:val="21"/>
      <w:szCs w:val="22"/>
    </w:rPr>
    <w:tblPr>
      <w:tblCellMar>
        <w:left w:w="0" w:type="dxa"/>
        <w:right w:w="0" w:type="dxa"/>
      </w:tblCellMar>
    </w:tblPr>
  </w:style>
  <w:style w:type="paragraph" w:customStyle="1" w:styleId="43">
    <w:name w:val="1 正文"/>
    <w:basedOn w:val="44"/>
    <w:autoRedefine/>
    <w:qFormat/>
    <w:uiPriority w:val="0"/>
    <w:pPr>
      <w:adjustRightInd w:val="0"/>
      <w:snapToGrid w:val="0"/>
      <w:ind w:firstLine="200" w:firstLineChars="200"/>
    </w:pPr>
  </w:style>
  <w:style w:type="paragraph" w:customStyle="1" w:styleId="44">
    <w:name w:val="样式6"/>
    <w:basedOn w:val="1"/>
    <w:autoRedefine/>
    <w:qFormat/>
    <w:uiPriority w:val="0"/>
    <w:pPr>
      <w:spacing w:line="360" w:lineRule="auto"/>
      <w:ind w:firstLine="480"/>
    </w:pPr>
  </w:style>
  <w:style w:type="paragraph" w:customStyle="1" w:styleId="45">
    <w:name w:val="样式1"/>
    <w:basedOn w:val="1"/>
    <w:next w:val="17"/>
    <w:autoRedefine/>
    <w:qFormat/>
    <w:uiPriority w:val="0"/>
    <w:pPr>
      <w:ind w:firstLine="462" w:firstLineChars="200"/>
    </w:pPr>
    <w:rPr>
      <w:rFonts w:ascii="宋体" w:hAnsi="宋体"/>
      <w:color w:val="000000"/>
    </w:rPr>
  </w:style>
  <w:style w:type="paragraph" w:customStyle="1" w:styleId="46">
    <w:name w:val="Table Paragraph"/>
    <w:basedOn w:val="1"/>
    <w:autoRedefine/>
    <w:qFormat/>
    <w:uiPriority w:val="1"/>
    <w:pPr>
      <w:autoSpaceDE w:val="0"/>
      <w:autoSpaceDN w:val="0"/>
      <w:adjustRightInd w:val="0"/>
      <w:jc w:val="left"/>
    </w:pPr>
    <w:rPr>
      <w:rFonts w:ascii="Calibri" w:hAnsi="Calibri"/>
      <w:kern w:val="0"/>
      <w:sz w:val="24"/>
    </w:rPr>
  </w:style>
  <w:style w:type="paragraph" w:styleId="47">
    <w:name w:val="No Spacing"/>
    <w:basedOn w:val="1"/>
    <w:autoRedefine/>
    <w:qFormat/>
    <w:uiPriority w:val="1"/>
    <w:pPr>
      <w:spacing w:line="300" w:lineRule="auto"/>
      <w:ind w:firstLine="200" w:firstLineChars="200"/>
    </w:pPr>
  </w:style>
  <w:style w:type="character" w:customStyle="1" w:styleId="48">
    <w:name w:val="表内容 Char"/>
    <w:autoRedefine/>
    <w:qFormat/>
    <w:uiPriority w:val="0"/>
    <w:rPr>
      <w:rFonts w:hint="default" w:ascii="Times New Roman" w:hAnsi="Times New Roman" w:eastAsia="宋体" w:cs="Times New Roman"/>
      <w:kern w:val="0"/>
      <w:szCs w:val="21"/>
    </w:rPr>
  </w:style>
  <w:style w:type="paragraph" w:customStyle="1" w:styleId="49">
    <w:name w:val="表格样式12"/>
    <w:basedOn w:val="1"/>
    <w:autoRedefine/>
    <w:qFormat/>
    <w:uiPriority w:val="0"/>
    <w:rPr>
      <w:szCs w:val="21"/>
    </w:rPr>
  </w:style>
  <w:style w:type="paragraph" w:customStyle="1" w:styleId="50">
    <w:name w:val="表格12"/>
    <w:basedOn w:val="1"/>
    <w:autoRedefine/>
    <w:qFormat/>
    <w:uiPriority w:val="0"/>
    <w:pPr>
      <w:jc w:val="center"/>
    </w:pPr>
    <w:rPr>
      <w:szCs w:val="21"/>
    </w:rPr>
  </w:style>
  <w:style w:type="paragraph" w:customStyle="1" w:styleId="51">
    <w:name w:val="管线表头"/>
    <w:basedOn w:val="1"/>
    <w:autoRedefine/>
    <w:qFormat/>
    <w:uiPriority w:val="0"/>
    <w:pPr>
      <w:jc w:val="center"/>
    </w:pPr>
    <w:rPr>
      <w:b/>
      <w:szCs w:val="21"/>
      <w:lang w:val="zh-CN"/>
    </w:rPr>
  </w:style>
  <w:style w:type="paragraph" w:styleId="52">
    <w:name w:val="Quote"/>
    <w:basedOn w:val="47"/>
    <w:next w:val="1"/>
    <w:autoRedefine/>
    <w:qFormat/>
    <w:uiPriority w:val="0"/>
    <w:pPr>
      <w:spacing w:line="240" w:lineRule="auto"/>
      <w:ind w:firstLine="0" w:firstLineChars="0"/>
      <w:jc w:val="center"/>
    </w:pPr>
  </w:style>
  <w:style w:type="paragraph" w:customStyle="1" w:styleId="53">
    <w:name w:val="表头"/>
    <w:basedOn w:val="1"/>
    <w:autoRedefine/>
    <w:qFormat/>
    <w:uiPriority w:val="0"/>
    <w:pPr>
      <w:autoSpaceDE w:val="0"/>
      <w:autoSpaceDN w:val="0"/>
      <w:spacing w:beforeLines="50"/>
      <w:jc w:val="center"/>
    </w:pPr>
    <w:rPr>
      <w:b/>
      <w:kern w:val="0"/>
      <w:szCs w:val="21"/>
    </w:rPr>
  </w:style>
  <w:style w:type="paragraph" w:customStyle="1" w:styleId="54">
    <w:name w:val="表格式"/>
    <w:basedOn w:val="15"/>
    <w:autoRedefine/>
    <w:qFormat/>
    <w:uiPriority w:val="99"/>
    <w:pPr>
      <w:spacing w:beforeLines="50" w:line="240" w:lineRule="exact"/>
      <w:ind w:left="0" w:firstLine="0" w:firstLineChars="0"/>
    </w:pPr>
  </w:style>
  <w:style w:type="paragraph" w:customStyle="1" w:styleId="55">
    <w:name w:val="*正文"/>
    <w:basedOn w:val="1"/>
    <w:autoRedefine/>
    <w:qFormat/>
    <w:uiPriority w:val="0"/>
    <w:pPr>
      <w:spacing w:line="360" w:lineRule="auto"/>
      <w:ind w:firstLine="200" w:firstLineChars="200"/>
    </w:pPr>
    <w:rPr>
      <w:rFonts w:ascii="Times New Roman" w:hAnsi="Times New Roman" w:eastAsia="宋体" w:cs="仿宋_GB2312"/>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jpe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soa\wdzx97.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wdzx97</Template>
  <Company>微软中国</Company>
  <Pages>44</Pages>
  <Words>4304</Words>
  <Characters>24534</Characters>
  <Lines>204</Lines>
  <Paragraphs>57</Paragraphs>
  <TotalTime>14</TotalTime>
  <ScaleCrop>false</ScaleCrop>
  <LinksUpToDate>false</LinksUpToDate>
  <CharactersWithSpaces>28781</CharactersWithSpaces>
  <Application>WPS Office_12.1.0.16250_F1E327BC-269C-435d-A152-05C5408002CA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2020-12-24T01:29:00Z</dcterms:created>
  <dc:creator>lhj</dc:creator>
  <cp:lastModifiedBy>XC</cp:lastModifiedBy>
  <cp:lastPrinted>2020-12-29T02:43:00Z</cp:lastPrinted>
  <dcterms:modified xsi:type="dcterms:W3CDTF">2024-02-04T02:43:56Z</dcterms:modified>
  <dc:title>附件2</dc:title>
  <cp:revision>43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2052-12.1.0.16250</vt:lpwstr>
  </property>
  <property fmtid="{D5CDD505-2E9C-101B-9397-08002B2CF9AE}" pid="3" name="ICV">
    <vt:lpwstr>05288F75518742808541FF7CAB6B3254_13</vt:lpwstr>
  </property>
</Properties>
</file>