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ascii="Times New Roman" w:hAnsi="Times New Roman" w:eastAsia="宋体"/>
        </w:rPr>
      </w:pPr>
    </w:p>
    <w:p>
      <w:pPr>
        <w:rPr>
          <w:rFonts w:cs="仿宋_GB2312"/>
          <w:sz w:val="36"/>
          <w:szCs w:val="36"/>
        </w:rPr>
      </w:pPr>
    </w:p>
    <w:p>
      <w:pPr>
        <w:adjustRightInd w:val="0"/>
        <w:snapToGrid w:val="0"/>
        <w:jc w:val="center"/>
        <w:outlineLvl w:val="0"/>
        <w:rPr>
          <w:rFonts w:cs="宋体"/>
          <w:b/>
          <w:bCs/>
          <w:sz w:val="72"/>
          <w:szCs w:val="72"/>
        </w:rPr>
      </w:pPr>
      <w:bookmarkStart w:id="0" w:name="_Toc22093"/>
    </w:p>
    <w:p>
      <w:pPr>
        <w:adjustRightInd w:val="0"/>
        <w:snapToGrid w:val="0"/>
        <w:jc w:val="center"/>
        <w:outlineLvl w:val="0"/>
        <w:rPr>
          <w:rFonts w:cs="宋体"/>
          <w:b/>
          <w:bCs/>
          <w:sz w:val="72"/>
          <w:szCs w:val="72"/>
        </w:rPr>
      </w:pPr>
      <w:r>
        <w:rPr>
          <w:rFonts w:hint="eastAsia" w:cs="宋体"/>
          <w:b/>
          <w:bCs/>
          <w:sz w:val="72"/>
          <w:szCs w:val="72"/>
        </w:rPr>
        <w:t>建设项目环境影响报告表</w:t>
      </w:r>
      <w:bookmarkEnd w:id="0"/>
    </w:p>
    <w:p>
      <w:pPr>
        <w:adjustRightInd w:val="0"/>
        <w:snapToGrid w:val="0"/>
        <w:spacing w:beforeLines="80"/>
        <w:jc w:val="center"/>
        <w:rPr>
          <w:rFonts w:cs="仿宋"/>
          <w:bCs/>
          <w:sz w:val="48"/>
          <w:szCs w:val="48"/>
        </w:rPr>
      </w:pPr>
      <w:r>
        <w:rPr>
          <w:rFonts w:hint="eastAsia" w:cs="仿宋"/>
          <w:bCs/>
          <w:sz w:val="48"/>
          <w:szCs w:val="48"/>
        </w:rPr>
        <w:t>（污染影响类）</w:t>
      </w:r>
    </w:p>
    <w:p>
      <w:pPr>
        <w:adjustRightInd w:val="0"/>
        <w:snapToGrid w:val="0"/>
        <w:rPr>
          <w:rFonts w:cs="宋体"/>
        </w:rPr>
      </w:pPr>
    </w:p>
    <w:p>
      <w:pPr>
        <w:adjustRightInd w:val="0"/>
        <w:snapToGrid w:val="0"/>
        <w:rPr>
          <w:rFonts w:cs="宋体"/>
          <w:sz w:val="52"/>
          <w:szCs w:val="52"/>
        </w:rPr>
      </w:pPr>
    </w:p>
    <w:p>
      <w:pPr>
        <w:adjustRightInd w:val="0"/>
        <w:snapToGrid w:val="0"/>
        <w:rPr>
          <w:rFonts w:cs="宋体"/>
          <w:sz w:val="44"/>
          <w:szCs w:val="44"/>
        </w:rPr>
      </w:pPr>
    </w:p>
    <w:p>
      <w:pPr>
        <w:widowControl/>
        <w:adjustRightInd w:val="0"/>
        <w:snapToGrid w:val="0"/>
        <w:rPr>
          <w:rFonts w:cs="宋体"/>
        </w:rPr>
      </w:pPr>
    </w:p>
    <w:p>
      <w:pPr>
        <w:pStyle w:val="30"/>
        <w:widowControl w:val="0"/>
        <w:adjustRightInd w:val="0"/>
        <w:snapToGrid w:val="0"/>
        <w:spacing w:before="0" w:beforeAutospacing="0" w:after="0" w:afterAutospacing="0"/>
        <w:jc w:val="both"/>
        <w:rPr>
          <w:rFonts w:ascii="Times New Roman" w:hAnsi="Times New Roman" w:cs="宋体"/>
        </w:rPr>
      </w:pPr>
    </w:p>
    <w:p>
      <w:pPr>
        <w:widowControl/>
        <w:adjustRightInd w:val="0"/>
        <w:snapToGrid w:val="0"/>
        <w:rPr>
          <w:rFonts w:cs="宋体"/>
          <w:sz w:val="44"/>
          <w:szCs w:val="44"/>
        </w:rPr>
      </w:pPr>
    </w:p>
    <w:p/>
    <w:p/>
    <w:p>
      <w:pPr>
        <w:pStyle w:val="2"/>
      </w:pPr>
    </w:p>
    <w:p/>
    <w:p>
      <w:pPr>
        <w:pStyle w:val="2"/>
      </w:pPr>
    </w:p>
    <w:p>
      <w:pPr>
        <w:adjustRightInd w:val="0"/>
        <w:snapToGrid w:val="0"/>
        <w:rPr>
          <w:rFonts w:cs="宋体"/>
          <w:sz w:val="44"/>
          <w:szCs w:val="44"/>
        </w:rPr>
      </w:pPr>
    </w:p>
    <w:p>
      <w:pPr>
        <w:adjustRightInd w:val="0"/>
        <w:snapToGrid w:val="0"/>
        <w:spacing w:line="800" w:lineRule="exact"/>
        <w:ind w:left="525" w:leftChars="250"/>
        <w:jc w:val="left"/>
        <w:rPr>
          <w:rFonts w:cs="仿宋"/>
          <w:bCs/>
          <w:spacing w:val="-36"/>
          <w:sz w:val="36"/>
          <w:szCs w:val="36"/>
          <w:u w:val="single"/>
        </w:rPr>
      </w:pPr>
      <w:r>
        <w:rPr>
          <w:rFonts w:hint="eastAsia" w:cs="仿宋"/>
          <w:bCs/>
          <w:sz w:val="36"/>
          <w:szCs w:val="36"/>
        </w:rPr>
        <w:t>项目名称：</w:t>
      </w:r>
      <w:r>
        <w:rPr>
          <w:rFonts w:hint="eastAsia" w:cs="仿宋"/>
          <w:bCs/>
          <w:sz w:val="36"/>
          <w:szCs w:val="36"/>
          <w:u w:val="single"/>
        </w:rPr>
        <w:t xml:space="preserve"> 高强度复合纤维复合塑料生产建设项目       </w:t>
      </w:r>
    </w:p>
    <w:p>
      <w:pPr>
        <w:adjustRightInd w:val="0"/>
        <w:snapToGrid w:val="0"/>
        <w:spacing w:line="800" w:lineRule="exact"/>
        <w:ind w:left="525" w:leftChars="250"/>
        <w:rPr>
          <w:rFonts w:cs="仿宋"/>
          <w:bCs/>
          <w:sz w:val="36"/>
          <w:szCs w:val="36"/>
          <w:u w:val="single"/>
        </w:rPr>
      </w:pPr>
      <w:r>
        <w:rPr>
          <w:rFonts w:hint="eastAsia" w:cs="仿宋"/>
          <w:bCs/>
          <w:sz w:val="36"/>
          <w:szCs w:val="36"/>
        </w:rPr>
        <w:t>建设单位（盖章）：</w:t>
      </w:r>
      <w:r>
        <w:rPr>
          <w:rFonts w:hint="eastAsia" w:cs="仿宋"/>
          <w:bCs/>
          <w:sz w:val="36"/>
          <w:szCs w:val="36"/>
          <w:u w:val="single"/>
        </w:rPr>
        <w:t xml:space="preserve">陕西昌源油联复合材料有限公司   </w:t>
      </w:r>
    </w:p>
    <w:p>
      <w:pPr>
        <w:adjustRightInd w:val="0"/>
        <w:snapToGrid w:val="0"/>
        <w:spacing w:line="800" w:lineRule="exact"/>
        <w:ind w:left="525" w:leftChars="250"/>
        <w:rPr>
          <w:rFonts w:cs="宋体"/>
          <w:bCs/>
          <w:sz w:val="36"/>
          <w:szCs w:val="36"/>
          <w:u w:val="single"/>
        </w:rPr>
      </w:pPr>
      <w:r>
        <w:rPr>
          <w:rFonts w:hint="eastAsia" w:cs="仿宋"/>
          <w:bCs/>
          <w:sz w:val="36"/>
          <w:szCs w:val="36"/>
        </w:rPr>
        <w:t>编制日期：</w:t>
      </w:r>
      <w:r>
        <w:rPr>
          <w:rFonts w:hint="eastAsia" w:cs="仿宋"/>
          <w:bCs/>
          <w:sz w:val="36"/>
          <w:szCs w:val="36"/>
          <w:u w:val="single"/>
        </w:rPr>
        <w:t xml:space="preserve">         二〇二四年一月             </w:t>
      </w:r>
    </w:p>
    <w:p>
      <w:pPr>
        <w:adjustRightInd w:val="0"/>
        <w:snapToGrid w:val="0"/>
        <w:spacing w:line="288" w:lineRule="auto"/>
        <w:rPr>
          <w:rFonts w:cs="宋体"/>
          <w:sz w:val="36"/>
          <w:szCs w:val="36"/>
          <w:u w:val="single"/>
        </w:rPr>
      </w:pPr>
      <w:bookmarkStart w:id="1" w:name="_Hlk57884087"/>
    </w:p>
    <w:p>
      <w:pPr>
        <w:adjustRightInd w:val="0"/>
        <w:snapToGrid w:val="0"/>
        <w:spacing w:line="288" w:lineRule="auto"/>
        <w:rPr>
          <w:rFonts w:cs="宋体"/>
          <w:sz w:val="36"/>
          <w:szCs w:val="36"/>
        </w:rPr>
      </w:pPr>
    </w:p>
    <w:p>
      <w:pPr>
        <w:adjustRightInd w:val="0"/>
        <w:snapToGrid w:val="0"/>
        <w:spacing w:line="288" w:lineRule="auto"/>
        <w:rPr>
          <w:rFonts w:cs="宋体"/>
          <w:sz w:val="36"/>
          <w:szCs w:val="36"/>
        </w:rPr>
      </w:pPr>
    </w:p>
    <w:bookmarkEnd w:id="1"/>
    <w:p>
      <w:pPr>
        <w:adjustRightInd w:val="0"/>
        <w:snapToGrid w:val="0"/>
        <w:spacing w:line="288" w:lineRule="auto"/>
        <w:jc w:val="center"/>
        <w:rPr>
          <w:rFonts w:cs="楷体"/>
          <w:sz w:val="36"/>
          <w:szCs w:val="36"/>
        </w:rPr>
        <w:sectPr>
          <w:headerReference r:id="rId3" w:type="default"/>
          <w:footerReference r:id="rId4" w:type="default"/>
          <w:pgSz w:w="11906" w:h="16838"/>
          <w:pgMar w:top="1440" w:right="1531" w:bottom="1440" w:left="1531" w:header="851" w:footer="1077" w:gutter="0"/>
          <w:cols w:space="720" w:num="1"/>
          <w:docGrid w:linePitch="312" w:charSpace="0"/>
        </w:sectPr>
      </w:pPr>
      <w:r>
        <w:rPr>
          <w:rFonts w:hint="eastAsia" w:cs="楷体"/>
          <w:sz w:val="36"/>
          <w:szCs w:val="36"/>
        </w:rPr>
        <w:t xml:space="preserve"> 中华人民共和国生态环境部制</w:t>
      </w:r>
    </w:p>
    <w:p>
      <w:pPr>
        <w:adjustRightInd w:val="0"/>
        <w:snapToGrid w:val="0"/>
        <w:spacing w:line="288" w:lineRule="auto"/>
        <w:jc w:val="center"/>
        <w:rPr>
          <w:rFonts w:cs="楷体"/>
          <w:sz w:val="36"/>
          <w:szCs w:val="36"/>
        </w:rPr>
      </w:pPr>
    </w:p>
    <w:p>
      <w:pPr>
        <w:pStyle w:val="30"/>
        <w:spacing w:before="0" w:beforeAutospacing="0" w:after="0" w:afterAutospacing="0" w:line="360" w:lineRule="auto"/>
        <w:jc w:val="center"/>
        <w:outlineLvl w:val="0"/>
        <w:rPr>
          <w:rFonts w:ascii="Times New Roman" w:hAnsi="Times New Roman"/>
          <w:b/>
          <w:snapToGrid w:val="0"/>
          <w:sz w:val="30"/>
          <w:szCs w:val="30"/>
        </w:rPr>
        <w:sectPr>
          <w:pgSz w:w="11906" w:h="16838"/>
          <w:pgMar w:top="1440" w:right="1531" w:bottom="1440" w:left="1531" w:header="851" w:footer="1077" w:gutter="0"/>
          <w:cols w:space="720" w:num="1"/>
          <w:docGrid w:linePitch="312" w:charSpace="0"/>
        </w:sectPr>
      </w:pPr>
    </w:p>
    <w:p>
      <w:pPr>
        <w:pStyle w:val="30"/>
        <w:spacing w:before="0" w:beforeAutospacing="0" w:after="0" w:afterAutospacing="0" w:line="360" w:lineRule="auto"/>
        <w:jc w:val="center"/>
        <w:outlineLvl w:val="0"/>
        <w:rPr>
          <w:rFonts w:ascii="Times New Roman" w:hAnsi="Times New Roman"/>
          <w:b/>
          <w:snapToGrid w:val="0"/>
          <w:sz w:val="30"/>
          <w:szCs w:val="30"/>
        </w:rPr>
      </w:pPr>
      <w:r>
        <w:rPr>
          <w:rFonts w:hint="eastAsia" w:ascii="Times New Roman" w:hAnsi="Times New Roman"/>
          <w:b/>
          <w:snapToGrid w:val="0"/>
          <w:sz w:val="30"/>
          <w:szCs w:val="30"/>
        </w:rPr>
        <w:t>一、建设项目基本情况</w:t>
      </w:r>
    </w:p>
    <w:tbl>
      <w:tblPr>
        <w:tblStyle w:val="35"/>
        <w:tblW w:w="519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055"/>
        <w:gridCol w:w="1880"/>
        <w:gridCol w:w="2243"/>
        <w:gridCol w:w="40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Borders>
              <w:top w:val="single" w:color="auto" w:sz="8" w:space="0"/>
            </w:tcBorders>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建设项目名称</w:t>
            </w:r>
          </w:p>
        </w:tc>
        <w:tc>
          <w:tcPr>
            <w:tcW w:w="7986" w:type="dxa"/>
            <w:gridSpan w:val="3"/>
            <w:tcBorders>
              <w:top w:val="single" w:color="auto" w:sz="8" w:space="0"/>
            </w:tcBorders>
            <w:vAlign w:val="center"/>
          </w:tcPr>
          <w:p>
            <w:pPr>
              <w:adjustRightInd w:val="0"/>
              <w:snapToGrid w:val="0"/>
              <w:spacing w:line="360" w:lineRule="exact"/>
              <w:jc w:val="center"/>
              <w:rPr>
                <w:sz w:val="24"/>
                <w:szCs w:val="24"/>
              </w:rPr>
            </w:pPr>
            <w:r>
              <w:rPr>
                <w:rFonts w:hint="eastAsia"/>
                <w:bCs/>
                <w:sz w:val="24"/>
                <w:szCs w:val="24"/>
              </w:rPr>
              <w:t>高强度复合纤维复合塑料生产建设项目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项目代码</w:t>
            </w:r>
          </w:p>
        </w:tc>
        <w:tc>
          <w:tcPr>
            <w:tcW w:w="7986" w:type="dxa"/>
            <w:gridSpan w:val="3"/>
            <w:vAlign w:val="center"/>
          </w:tcPr>
          <w:p>
            <w:pPr>
              <w:adjustRightInd w:val="0"/>
              <w:snapToGrid w:val="0"/>
              <w:spacing w:line="360" w:lineRule="exact"/>
              <w:jc w:val="center"/>
              <w:rPr>
                <w:sz w:val="24"/>
                <w:szCs w:val="24"/>
              </w:rPr>
            </w:pPr>
            <w:r>
              <w:rPr>
                <w:sz w:val="24"/>
                <w:szCs w:val="24"/>
              </w:rPr>
              <w:t>2307-610824-04-02-687817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建设单位联系人</w:t>
            </w:r>
          </w:p>
        </w:tc>
        <w:tc>
          <w:tcPr>
            <w:tcW w:w="1759" w:type="dxa"/>
            <w:vAlign w:val="center"/>
          </w:tcPr>
          <w:p>
            <w:pPr>
              <w:adjustRightInd w:val="0"/>
              <w:snapToGrid w:val="0"/>
              <w:spacing w:line="360" w:lineRule="exact"/>
              <w:jc w:val="center"/>
              <w:rPr>
                <w:sz w:val="24"/>
                <w:szCs w:val="24"/>
              </w:rPr>
            </w:pPr>
            <w:r>
              <w:rPr>
                <w:rFonts w:hint="eastAsia"/>
                <w:sz w:val="24"/>
                <w:szCs w:val="24"/>
              </w:rPr>
              <w:t>贺新勋</w:t>
            </w:r>
          </w:p>
        </w:tc>
        <w:tc>
          <w:tcPr>
            <w:tcW w:w="2229" w:type="dxa"/>
            <w:vAlign w:val="center"/>
          </w:tcPr>
          <w:p>
            <w:pPr>
              <w:adjustRightInd w:val="0"/>
              <w:snapToGrid w:val="0"/>
              <w:spacing w:line="360" w:lineRule="exact"/>
              <w:jc w:val="center"/>
              <w:rPr>
                <w:sz w:val="24"/>
                <w:szCs w:val="24"/>
              </w:rPr>
            </w:pPr>
            <w:r>
              <w:rPr>
                <w:rFonts w:hint="eastAsia" w:cs="宋体"/>
                <w:sz w:val="24"/>
                <w:szCs w:val="24"/>
              </w:rPr>
              <w:t>联系方式</w:t>
            </w:r>
          </w:p>
        </w:tc>
        <w:tc>
          <w:tcPr>
            <w:tcW w:w="3998" w:type="dxa"/>
            <w:vAlign w:val="center"/>
          </w:tcPr>
          <w:p>
            <w:pPr>
              <w:adjustRightInd w:val="0"/>
              <w:snapToGrid w:val="0"/>
              <w:spacing w:line="360" w:lineRule="exact"/>
              <w:jc w:val="center"/>
              <w:rPr>
                <w:sz w:val="24"/>
                <w:szCs w:val="24"/>
              </w:rPr>
            </w:pPr>
            <w:r>
              <w:rPr>
                <w:rFonts w:hint="eastAsia"/>
                <w:sz w:val="24"/>
                <w:szCs w:val="24"/>
              </w:rPr>
              <w:t>19891237777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建设地点</w:t>
            </w:r>
          </w:p>
        </w:tc>
        <w:tc>
          <w:tcPr>
            <w:tcW w:w="7986" w:type="dxa"/>
            <w:gridSpan w:val="3"/>
            <w:vAlign w:val="center"/>
          </w:tcPr>
          <w:p>
            <w:pPr>
              <w:adjustRightInd w:val="0"/>
              <w:snapToGrid w:val="0"/>
              <w:spacing w:line="360" w:lineRule="exact"/>
              <w:jc w:val="center"/>
              <w:rPr>
                <w:rFonts w:cs="宋体"/>
                <w:sz w:val="24"/>
                <w:szCs w:val="24"/>
              </w:rPr>
            </w:pPr>
            <w:r>
              <w:rPr>
                <w:rFonts w:hint="eastAsia" w:cs="宋体"/>
                <w:sz w:val="24"/>
                <w:szCs w:val="24"/>
              </w:rPr>
              <w:t>陕西省榆林市靖边县杨桥畔镇创业园区科技四路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地理坐标</w:t>
            </w:r>
          </w:p>
        </w:tc>
        <w:tc>
          <w:tcPr>
            <w:tcW w:w="7986" w:type="dxa"/>
            <w:gridSpan w:val="3"/>
            <w:vAlign w:val="center"/>
          </w:tcPr>
          <w:p>
            <w:pPr>
              <w:adjustRightInd w:val="0"/>
              <w:snapToGrid w:val="0"/>
              <w:spacing w:line="360" w:lineRule="exact"/>
              <w:jc w:val="center"/>
              <w:rPr>
                <w:rFonts w:cs="宋体"/>
                <w:sz w:val="24"/>
                <w:szCs w:val="24"/>
              </w:rPr>
            </w:pPr>
            <w:r>
              <w:rPr>
                <w:rFonts w:cs="宋体"/>
                <w:sz w:val="24"/>
                <w:szCs w:val="24"/>
              </w:rPr>
              <w:t>东经：</w:t>
            </w:r>
            <w:r>
              <w:rPr>
                <w:sz w:val="24"/>
                <w:szCs w:val="24"/>
              </w:rPr>
              <w:t>108°59′53.303″</w:t>
            </w:r>
            <w:r>
              <w:rPr>
                <w:rFonts w:cs="宋体"/>
                <w:sz w:val="24"/>
                <w:szCs w:val="24"/>
              </w:rPr>
              <w:t>，北纬：</w:t>
            </w:r>
            <w:r>
              <w:rPr>
                <w:sz w:val="24"/>
                <w:szCs w:val="24"/>
              </w:rPr>
              <w:t>37°37′26.847″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国民经济</w:t>
            </w:r>
          </w:p>
          <w:p>
            <w:pPr>
              <w:adjustRightInd w:val="0"/>
              <w:snapToGrid w:val="0"/>
              <w:spacing w:line="360" w:lineRule="exact"/>
              <w:jc w:val="center"/>
              <w:rPr>
                <w:sz w:val="24"/>
                <w:szCs w:val="24"/>
              </w:rPr>
            </w:pPr>
            <w:r>
              <w:rPr>
                <w:rFonts w:hint="eastAsia" w:cs="宋体"/>
                <w:sz w:val="24"/>
                <w:szCs w:val="24"/>
              </w:rPr>
              <w:t>行业类别</w:t>
            </w:r>
          </w:p>
        </w:tc>
        <w:tc>
          <w:tcPr>
            <w:tcW w:w="1759" w:type="dxa"/>
            <w:vAlign w:val="center"/>
          </w:tcPr>
          <w:p>
            <w:pPr>
              <w:adjustRightInd w:val="0"/>
              <w:snapToGrid w:val="0"/>
              <w:spacing w:line="360" w:lineRule="exact"/>
              <w:rPr>
                <w:sz w:val="24"/>
                <w:szCs w:val="24"/>
                <w:highlight w:val="yellow"/>
              </w:rPr>
            </w:pPr>
            <w:r>
              <w:rPr>
                <w:rFonts w:hint="eastAsia"/>
                <w:sz w:val="24"/>
                <w:szCs w:val="24"/>
              </w:rPr>
              <w:t>C3062</w:t>
            </w:r>
            <w:r>
              <w:rPr>
                <w:rFonts w:hint="eastAsia"/>
                <w:sz w:val="24"/>
                <w:szCs w:val="24"/>
              </w:rPr>
              <w:tab/>
            </w:r>
            <w:r>
              <w:rPr>
                <w:rFonts w:hint="eastAsia"/>
                <w:sz w:val="24"/>
                <w:szCs w:val="24"/>
              </w:rPr>
              <w:t>玻璃纤维增强塑料制品制造</w:t>
            </w:r>
          </w:p>
        </w:tc>
        <w:tc>
          <w:tcPr>
            <w:tcW w:w="2229" w:type="dxa"/>
            <w:vAlign w:val="center"/>
          </w:tcPr>
          <w:p>
            <w:pPr>
              <w:adjustRightInd w:val="0"/>
              <w:snapToGrid w:val="0"/>
              <w:spacing w:line="360" w:lineRule="exact"/>
              <w:jc w:val="center"/>
              <w:rPr>
                <w:sz w:val="24"/>
                <w:szCs w:val="24"/>
              </w:rPr>
            </w:pPr>
            <w:bookmarkStart w:id="2" w:name="_Hlk49843745"/>
            <w:r>
              <w:rPr>
                <w:rFonts w:hint="eastAsia" w:cs="宋体"/>
                <w:sz w:val="24"/>
                <w:szCs w:val="24"/>
              </w:rPr>
              <w:t>建设项目行业类别</w:t>
            </w:r>
            <w:bookmarkEnd w:id="2"/>
          </w:p>
        </w:tc>
        <w:tc>
          <w:tcPr>
            <w:tcW w:w="3998" w:type="dxa"/>
            <w:vAlign w:val="center"/>
          </w:tcPr>
          <w:p>
            <w:pPr>
              <w:adjustRightInd w:val="0"/>
              <w:snapToGrid w:val="0"/>
              <w:spacing w:line="400" w:lineRule="exact"/>
              <w:jc w:val="left"/>
              <w:rPr>
                <w:sz w:val="24"/>
                <w:szCs w:val="24"/>
              </w:rPr>
            </w:pPr>
            <w:r>
              <w:rPr>
                <w:rFonts w:hint="eastAsia" w:cs="宋体"/>
                <w:sz w:val="24"/>
                <w:szCs w:val="24"/>
              </w:rPr>
              <w:t>二十七、非金属矿物制品业</w:t>
            </w:r>
            <w:r>
              <w:rPr>
                <w:rFonts w:hint="eastAsia"/>
                <w:sz w:val="24"/>
                <w:szCs w:val="24"/>
              </w:rPr>
              <w:t>30</w:t>
            </w:r>
          </w:p>
          <w:p>
            <w:pPr>
              <w:adjustRightInd w:val="0"/>
              <w:snapToGrid w:val="0"/>
              <w:spacing w:line="360" w:lineRule="exact"/>
              <w:jc w:val="left"/>
              <w:rPr>
                <w:sz w:val="24"/>
                <w:szCs w:val="24"/>
                <w:highlight w:val="yellow"/>
              </w:rPr>
            </w:pPr>
            <w:r>
              <w:rPr>
                <w:rFonts w:hint="eastAsia"/>
                <w:sz w:val="24"/>
                <w:szCs w:val="24"/>
              </w:rPr>
              <w:t>“玻璃纤维和玻璃纤维增强塑料制品制造”中“全部”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建设性质</w:t>
            </w:r>
          </w:p>
        </w:tc>
        <w:tc>
          <w:tcPr>
            <w:tcW w:w="1759" w:type="dxa"/>
            <w:vAlign w:val="center"/>
          </w:tcPr>
          <w:p>
            <w:pPr>
              <w:adjustRightInd w:val="0"/>
              <w:snapToGrid w:val="0"/>
              <w:spacing w:line="360" w:lineRule="exact"/>
              <w:jc w:val="left"/>
              <w:rPr>
                <w:sz w:val="24"/>
                <w:szCs w:val="24"/>
              </w:rPr>
            </w:pPr>
            <w:r>
              <w:rPr>
                <w:rFonts w:hint="eastAsia" w:eastAsia="MS Mincho" w:cs="MS Mincho"/>
                <w:sz w:val="24"/>
                <w:szCs w:val="24"/>
              </w:rPr>
              <w:t>☑</w:t>
            </w:r>
            <w:r>
              <w:rPr>
                <w:rFonts w:hint="eastAsia" w:cs="宋体"/>
                <w:sz w:val="24"/>
                <w:szCs w:val="24"/>
              </w:rPr>
              <w:t>新建（迁建）</w:t>
            </w:r>
          </w:p>
          <w:p>
            <w:pPr>
              <w:adjustRightInd w:val="0"/>
              <w:snapToGrid w:val="0"/>
              <w:spacing w:line="360" w:lineRule="exact"/>
              <w:jc w:val="left"/>
              <w:rPr>
                <w:sz w:val="24"/>
                <w:szCs w:val="24"/>
              </w:rPr>
            </w:pPr>
            <w:r>
              <w:rPr>
                <w:rFonts w:hint="eastAsia" w:cs="宋体"/>
                <w:sz w:val="24"/>
                <w:szCs w:val="24"/>
              </w:rPr>
              <w:t>□改建</w:t>
            </w:r>
          </w:p>
          <w:p>
            <w:pPr>
              <w:adjustRightInd w:val="0"/>
              <w:snapToGrid w:val="0"/>
              <w:spacing w:line="360" w:lineRule="exact"/>
              <w:jc w:val="left"/>
              <w:rPr>
                <w:sz w:val="24"/>
                <w:szCs w:val="24"/>
              </w:rPr>
            </w:pPr>
            <w:r>
              <w:rPr>
                <w:rFonts w:hint="eastAsia" w:cs="宋体"/>
                <w:sz w:val="24"/>
                <w:szCs w:val="24"/>
              </w:rPr>
              <w:t>□扩建</w:t>
            </w:r>
          </w:p>
          <w:p>
            <w:pPr>
              <w:adjustRightInd w:val="0"/>
              <w:snapToGrid w:val="0"/>
              <w:spacing w:line="360" w:lineRule="exact"/>
              <w:jc w:val="left"/>
              <w:rPr>
                <w:sz w:val="24"/>
                <w:szCs w:val="24"/>
              </w:rPr>
            </w:pPr>
            <w:r>
              <w:rPr>
                <w:rFonts w:hint="eastAsia" w:cs="宋体"/>
                <w:sz w:val="24"/>
                <w:szCs w:val="24"/>
              </w:rPr>
              <w:t>□技术改造</w:t>
            </w:r>
          </w:p>
        </w:tc>
        <w:tc>
          <w:tcPr>
            <w:tcW w:w="2229" w:type="dxa"/>
            <w:vAlign w:val="center"/>
          </w:tcPr>
          <w:p>
            <w:pPr>
              <w:adjustRightInd w:val="0"/>
              <w:snapToGrid w:val="0"/>
              <w:spacing w:line="360" w:lineRule="exact"/>
              <w:jc w:val="left"/>
              <w:rPr>
                <w:sz w:val="24"/>
                <w:szCs w:val="24"/>
              </w:rPr>
            </w:pPr>
            <w:r>
              <w:rPr>
                <w:rFonts w:hint="eastAsia" w:cs="宋体"/>
                <w:sz w:val="24"/>
                <w:szCs w:val="24"/>
              </w:rPr>
              <w:t>建设项目</w:t>
            </w:r>
          </w:p>
          <w:p>
            <w:pPr>
              <w:adjustRightInd w:val="0"/>
              <w:snapToGrid w:val="0"/>
              <w:spacing w:line="360" w:lineRule="exact"/>
              <w:jc w:val="left"/>
              <w:rPr>
                <w:sz w:val="24"/>
                <w:szCs w:val="24"/>
              </w:rPr>
            </w:pPr>
            <w:r>
              <w:rPr>
                <w:rFonts w:hint="eastAsia" w:cs="宋体"/>
                <w:sz w:val="24"/>
                <w:szCs w:val="24"/>
              </w:rPr>
              <w:t>申报情形</w:t>
            </w:r>
          </w:p>
        </w:tc>
        <w:tc>
          <w:tcPr>
            <w:tcW w:w="3998" w:type="dxa"/>
            <w:vAlign w:val="center"/>
          </w:tcPr>
          <w:p>
            <w:pPr>
              <w:adjustRightInd w:val="0"/>
              <w:snapToGrid w:val="0"/>
              <w:spacing w:line="360" w:lineRule="exact"/>
              <w:jc w:val="left"/>
              <w:rPr>
                <w:sz w:val="24"/>
                <w:szCs w:val="24"/>
              </w:rPr>
            </w:pPr>
            <w:r>
              <w:rPr>
                <w:rFonts w:hint="eastAsia" w:eastAsia="MS Mincho" w:cs="MS Mincho"/>
                <w:sz w:val="24"/>
                <w:szCs w:val="24"/>
              </w:rPr>
              <w:t>☑</w:t>
            </w:r>
            <w:r>
              <w:rPr>
                <w:rFonts w:hint="eastAsia" w:cs="宋体"/>
                <w:sz w:val="24"/>
                <w:szCs w:val="24"/>
              </w:rPr>
              <w:t>首次申报项目</w:t>
            </w:r>
          </w:p>
          <w:p>
            <w:pPr>
              <w:adjustRightInd w:val="0"/>
              <w:snapToGrid w:val="0"/>
              <w:spacing w:line="360" w:lineRule="exact"/>
              <w:jc w:val="left"/>
              <w:rPr>
                <w:sz w:val="24"/>
                <w:szCs w:val="24"/>
              </w:rPr>
            </w:pPr>
            <w:r>
              <w:rPr>
                <w:rFonts w:hint="eastAsia" w:cs="宋体"/>
                <w:sz w:val="24"/>
                <w:szCs w:val="24"/>
              </w:rPr>
              <w:t>□不予批准后再次申报项目</w:t>
            </w:r>
          </w:p>
          <w:p>
            <w:pPr>
              <w:adjustRightInd w:val="0"/>
              <w:snapToGrid w:val="0"/>
              <w:spacing w:line="360" w:lineRule="exact"/>
              <w:jc w:val="left"/>
              <w:rPr>
                <w:sz w:val="24"/>
                <w:szCs w:val="24"/>
              </w:rPr>
            </w:pPr>
            <w:r>
              <w:rPr>
                <w:sz w:val="24"/>
                <w:szCs w:val="24"/>
              </w:rPr>
              <w:sym w:font="Wingdings 2" w:char="F0A3"/>
            </w:r>
            <w:r>
              <w:rPr>
                <w:rFonts w:hint="eastAsia" w:cs="宋体"/>
                <w:sz w:val="24"/>
                <w:szCs w:val="24"/>
              </w:rPr>
              <w:t>超五年重新审核项目</w:t>
            </w:r>
          </w:p>
          <w:p>
            <w:pPr>
              <w:adjustRightInd w:val="0"/>
              <w:snapToGrid w:val="0"/>
              <w:spacing w:line="360" w:lineRule="exact"/>
              <w:jc w:val="left"/>
              <w:rPr>
                <w:sz w:val="24"/>
                <w:szCs w:val="24"/>
              </w:rPr>
            </w:pPr>
            <w:r>
              <w:rPr>
                <w:rFonts w:hint="eastAsia" w:cs="宋体"/>
                <w:sz w:val="24"/>
                <w:szCs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项目审批（核准</w:t>
            </w:r>
            <w:r>
              <w:rPr>
                <w:sz w:val="24"/>
                <w:szCs w:val="24"/>
              </w:rPr>
              <w:t>/</w:t>
            </w:r>
            <w:r>
              <w:rPr>
                <w:rFonts w:hint="eastAsia" w:cs="宋体"/>
                <w:sz w:val="24"/>
                <w:szCs w:val="24"/>
              </w:rPr>
              <w:t>备案）部门（选填）</w:t>
            </w:r>
          </w:p>
        </w:tc>
        <w:tc>
          <w:tcPr>
            <w:tcW w:w="1759" w:type="dxa"/>
            <w:vAlign w:val="center"/>
          </w:tcPr>
          <w:p>
            <w:pPr>
              <w:adjustRightInd w:val="0"/>
              <w:snapToGrid w:val="0"/>
              <w:spacing w:line="360" w:lineRule="exact"/>
              <w:jc w:val="center"/>
              <w:rPr>
                <w:sz w:val="24"/>
                <w:szCs w:val="24"/>
              </w:rPr>
            </w:pPr>
            <w:r>
              <w:rPr>
                <w:rFonts w:hint="eastAsia" w:cs="宋体"/>
                <w:sz w:val="24"/>
                <w:szCs w:val="24"/>
              </w:rPr>
              <w:t>靖边县行政审批服务局</w:t>
            </w:r>
          </w:p>
        </w:tc>
        <w:tc>
          <w:tcPr>
            <w:tcW w:w="2229" w:type="dxa"/>
            <w:vAlign w:val="center"/>
          </w:tcPr>
          <w:p>
            <w:pPr>
              <w:adjustRightInd w:val="0"/>
              <w:snapToGrid w:val="0"/>
              <w:spacing w:line="360" w:lineRule="exact"/>
              <w:jc w:val="center"/>
              <w:rPr>
                <w:sz w:val="24"/>
                <w:szCs w:val="24"/>
              </w:rPr>
            </w:pPr>
            <w:r>
              <w:rPr>
                <w:rFonts w:hint="eastAsia" w:cs="宋体"/>
                <w:sz w:val="24"/>
                <w:szCs w:val="24"/>
              </w:rPr>
              <w:t>项目审批（核准</w:t>
            </w:r>
            <w:r>
              <w:rPr>
                <w:sz w:val="24"/>
                <w:szCs w:val="24"/>
              </w:rPr>
              <w:t>/</w:t>
            </w:r>
            <w:r>
              <w:rPr>
                <w:rFonts w:hint="eastAsia" w:cs="宋体"/>
                <w:sz w:val="24"/>
                <w:szCs w:val="24"/>
              </w:rPr>
              <w:t>备案）文号（选填）</w:t>
            </w:r>
          </w:p>
        </w:tc>
        <w:tc>
          <w:tcPr>
            <w:tcW w:w="3998" w:type="dxa"/>
            <w:vAlign w:val="center"/>
          </w:tcPr>
          <w:p>
            <w:pPr>
              <w:adjustRightInd w:val="0"/>
              <w:snapToGrid w:val="0"/>
              <w:spacing w:line="360" w:lineRule="exact"/>
              <w:jc w:val="center"/>
              <w:rPr>
                <w:sz w:val="24"/>
                <w:szCs w:val="24"/>
              </w:rPr>
            </w:pPr>
            <w:r>
              <w:rPr>
                <w:rFonts w:hint="eastAsia"/>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总投资（万元）</w:t>
            </w:r>
          </w:p>
        </w:tc>
        <w:tc>
          <w:tcPr>
            <w:tcW w:w="1759" w:type="dxa"/>
            <w:vAlign w:val="center"/>
          </w:tcPr>
          <w:p>
            <w:pPr>
              <w:adjustRightInd w:val="0"/>
              <w:snapToGrid w:val="0"/>
              <w:spacing w:line="360" w:lineRule="exact"/>
              <w:jc w:val="center"/>
              <w:rPr>
                <w:sz w:val="24"/>
                <w:szCs w:val="24"/>
              </w:rPr>
            </w:pPr>
            <w:r>
              <w:rPr>
                <w:rFonts w:hint="eastAsia"/>
                <w:sz w:val="24"/>
                <w:szCs w:val="24"/>
              </w:rPr>
              <w:t>2000</w:t>
            </w:r>
          </w:p>
        </w:tc>
        <w:tc>
          <w:tcPr>
            <w:tcW w:w="2229"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环保投资</w:t>
            </w:r>
          </w:p>
          <w:p>
            <w:pPr>
              <w:adjustRightInd w:val="0"/>
              <w:snapToGrid w:val="0"/>
              <w:spacing w:line="360" w:lineRule="exact"/>
              <w:jc w:val="center"/>
              <w:rPr>
                <w:sz w:val="24"/>
                <w:szCs w:val="24"/>
              </w:rPr>
            </w:pPr>
            <w:r>
              <w:rPr>
                <w:rFonts w:hint="eastAsia" w:cs="宋体"/>
                <w:sz w:val="24"/>
                <w:szCs w:val="24"/>
              </w:rPr>
              <w:t>（万元）</w:t>
            </w:r>
          </w:p>
        </w:tc>
        <w:tc>
          <w:tcPr>
            <w:tcW w:w="3998" w:type="dxa"/>
            <w:vAlign w:val="center"/>
          </w:tcPr>
          <w:p>
            <w:pPr>
              <w:adjustRightInd w:val="0"/>
              <w:snapToGrid w:val="0"/>
              <w:spacing w:line="360" w:lineRule="exact"/>
              <w:jc w:val="center"/>
              <w:rPr>
                <w:sz w:val="24"/>
                <w:szCs w:val="24"/>
              </w:rPr>
            </w:pPr>
            <w:r>
              <w:rPr>
                <w:rFonts w:hint="eastAsia"/>
                <w:sz w:val="24"/>
                <w:szCs w:val="24"/>
              </w:rPr>
              <w:t>152.0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环保投资占比（</w:t>
            </w:r>
            <w:r>
              <w:rPr>
                <w:sz w:val="24"/>
                <w:szCs w:val="24"/>
              </w:rPr>
              <w:t>%</w:t>
            </w:r>
            <w:r>
              <w:rPr>
                <w:rFonts w:hint="eastAsia" w:cs="宋体"/>
                <w:sz w:val="24"/>
                <w:szCs w:val="24"/>
              </w:rPr>
              <w:t>）</w:t>
            </w:r>
          </w:p>
        </w:tc>
        <w:tc>
          <w:tcPr>
            <w:tcW w:w="1759" w:type="dxa"/>
            <w:vAlign w:val="center"/>
          </w:tcPr>
          <w:p>
            <w:pPr>
              <w:adjustRightInd w:val="0"/>
              <w:snapToGrid w:val="0"/>
              <w:spacing w:line="360" w:lineRule="exact"/>
              <w:jc w:val="center"/>
              <w:rPr>
                <w:sz w:val="24"/>
                <w:szCs w:val="24"/>
              </w:rPr>
            </w:pPr>
            <w:r>
              <w:rPr>
                <w:rFonts w:hint="eastAsia"/>
                <w:sz w:val="24"/>
                <w:szCs w:val="24"/>
              </w:rPr>
              <w:t>7.6</w:t>
            </w:r>
          </w:p>
        </w:tc>
        <w:tc>
          <w:tcPr>
            <w:tcW w:w="2229"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施工工期</w:t>
            </w:r>
          </w:p>
        </w:tc>
        <w:tc>
          <w:tcPr>
            <w:tcW w:w="3998" w:type="dxa"/>
            <w:vAlign w:val="center"/>
          </w:tcPr>
          <w:p>
            <w:pPr>
              <w:adjustRightInd w:val="0"/>
              <w:snapToGrid w:val="0"/>
              <w:spacing w:line="360" w:lineRule="exact"/>
              <w:jc w:val="center"/>
              <w:rPr>
                <w:sz w:val="24"/>
                <w:szCs w:val="24"/>
              </w:rPr>
            </w:pPr>
            <w:r>
              <w:rPr>
                <w:rFonts w:hint="eastAsia"/>
                <w:sz w:val="24"/>
                <w:szCs w:val="24"/>
              </w:rPr>
              <w:t>3个月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21" w:type="dxa"/>
            <w:tcMar>
              <w:top w:w="16" w:type="dxa"/>
              <w:left w:w="16" w:type="dxa"/>
              <w:right w:w="16" w:type="dxa"/>
            </w:tcMar>
            <w:vAlign w:val="center"/>
          </w:tcPr>
          <w:p>
            <w:pPr>
              <w:adjustRightInd w:val="0"/>
              <w:snapToGrid w:val="0"/>
              <w:spacing w:line="360" w:lineRule="exact"/>
              <w:jc w:val="center"/>
              <w:rPr>
                <w:sz w:val="24"/>
                <w:szCs w:val="24"/>
              </w:rPr>
            </w:pPr>
            <w:r>
              <w:rPr>
                <w:rFonts w:hint="eastAsia" w:cs="宋体"/>
                <w:sz w:val="24"/>
                <w:szCs w:val="24"/>
              </w:rPr>
              <w:t>是否开工建设</w:t>
            </w:r>
          </w:p>
        </w:tc>
        <w:tc>
          <w:tcPr>
            <w:tcW w:w="1759" w:type="dxa"/>
            <w:vAlign w:val="center"/>
          </w:tcPr>
          <w:p>
            <w:pPr>
              <w:adjustRightInd w:val="0"/>
              <w:snapToGrid w:val="0"/>
              <w:spacing w:line="360" w:lineRule="exact"/>
              <w:jc w:val="left"/>
              <w:rPr>
                <w:sz w:val="24"/>
                <w:szCs w:val="24"/>
              </w:rPr>
            </w:pPr>
            <w:r>
              <w:rPr>
                <w:rFonts w:hint="eastAsia" w:eastAsia="MS Mincho" w:cs="MS Mincho"/>
                <w:sz w:val="24"/>
                <w:szCs w:val="24"/>
              </w:rPr>
              <w:t>☑</w:t>
            </w:r>
            <w:r>
              <w:rPr>
                <w:rFonts w:hint="eastAsia" w:cs="宋体"/>
                <w:sz w:val="24"/>
                <w:szCs w:val="24"/>
              </w:rPr>
              <w:t>否</w:t>
            </w:r>
          </w:p>
          <w:p>
            <w:pPr>
              <w:adjustRightInd w:val="0"/>
              <w:snapToGrid w:val="0"/>
              <w:spacing w:line="360" w:lineRule="exact"/>
              <w:jc w:val="left"/>
              <w:rPr>
                <w:sz w:val="24"/>
                <w:szCs w:val="24"/>
                <w:u w:val="single"/>
              </w:rPr>
            </w:pPr>
            <w:r>
              <w:rPr>
                <w:sz w:val="24"/>
                <w:szCs w:val="24"/>
              </w:rPr>
              <w:sym w:font="Wingdings 2" w:char="F0A3"/>
            </w:r>
            <w:r>
              <w:rPr>
                <w:rFonts w:hint="eastAsia" w:cs="宋体"/>
                <w:sz w:val="24"/>
                <w:szCs w:val="24"/>
              </w:rPr>
              <w:t>是：</w:t>
            </w:r>
            <w:r>
              <w:rPr>
                <w:rFonts w:hint="eastAsia" w:cs="宋体"/>
                <w:sz w:val="24"/>
                <w:szCs w:val="24"/>
                <w:u w:val="single"/>
              </w:rPr>
              <w:t xml:space="preserve">        </w:t>
            </w:r>
          </w:p>
        </w:tc>
        <w:tc>
          <w:tcPr>
            <w:tcW w:w="2229" w:type="dxa"/>
            <w:tcMar>
              <w:top w:w="16" w:type="dxa"/>
              <w:left w:w="16" w:type="dxa"/>
              <w:right w:w="16" w:type="dxa"/>
            </w:tcMar>
            <w:vAlign w:val="center"/>
          </w:tcPr>
          <w:p>
            <w:pPr>
              <w:adjustRightInd w:val="0"/>
              <w:snapToGrid w:val="0"/>
              <w:spacing w:line="360" w:lineRule="exact"/>
              <w:jc w:val="center"/>
              <w:rPr>
                <w:spacing w:val="-6"/>
                <w:sz w:val="24"/>
                <w:szCs w:val="24"/>
              </w:rPr>
            </w:pPr>
            <w:r>
              <w:rPr>
                <w:rFonts w:hint="eastAsia" w:cs="宋体"/>
                <w:spacing w:val="-6"/>
                <w:sz w:val="24"/>
                <w:szCs w:val="24"/>
              </w:rPr>
              <w:t>用地（用海）</w:t>
            </w:r>
          </w:p>
          <w:p>
            <w:pPr>
              <w:adjustRightInd w:val="0"/>
              <w:snapToGrid w:val="0"/>
              <w:spacing w:line="360" w:lineRule="exact"/>
              <w:jc w:val="center"/>
              <w:rPr>
                <w:sz w:val="24"/>
                <w:szCs w:val="24"/>
              </w:rPr>
            </w:pPr>
            <w:r>
              <w:rPr>
                <w:rFonts w:hint="eastAsia" w:cs="宋体"/>
                <w:spacing w:val="-6"/>
                <w:sz w:val="24"/>
                <w:szCs w:val="24"/>
              </w:rPr>
              <w:t>面积（</w:t>
            </w:r>
            <w:r>
              <w:rPr>
                <w:spacing w:val="-6"/>
                <w:sz w:val="24"/>
                <w:szCs w:val="24"/>
              </w:rPr>
              <w:t>m</w:t>
            </w:r>
            <w:r>
              <w:rPr>
                <w:spacing w:val="-6"/>
                <w:sz w:val="24"/>
                <w:szCs w:val="24"/>
                <w:vertAlign w:val="superscript"/>
              </w:rPr>
              <w:t>2</w:t>
            </w:r>
            <w:r>
              <w:rPr>
                <w:rFonts w:hint="eastAsia" w:cs="宋体"/>
                <w:spacing w:val="-6"/>
                <w:sz w:val="24"/>
                <w:szCs w:val="24"/>
              </w:rPr>
              <w:t>）</w:t>
            </w:r>
          </w:p>
        </w:tc>
        <w:tc>
          <w:tcPr>
            <w:tcW w:w="3998" w:type="dxa"/>
            <w:vAlign w:val="center"/>
          </w:tcPr>
          <w:p>
            <w:pPr>
              <w:adjustRightInd w:val="0"/>
              <w:snapToGrid w:val="0"/>
              <w:spacing w:line="360" w:lineRule="exact"/>
              <w:jc w:val="center"/>
              <w:rPr>
                <w:sz w:val="24"/>
                <w:szCs w:val="24"/>
              </w:rPr>
            </w:pPr>
            <w:r>
              <w:rPr>
                <w:rFonts w:hint="eastAsia"/>
                <w:sz w:val="24"/>
                <w:szCs w:val="24"/>
              </w:rPr>
              <w:t>18050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Align w:val="center"/>
          </w:tcPr>
          <w:p>
            <w:pPr>
              <w:autoSpaceDE w:val="0"/>
              <w:autoSpaceDN w:val="0"/>
              <w:adjustRightInd w:val="0"/>
              <w:snapToGrid w:val="0"/>
              <w:spacing w:line="360" w:lineRule="exact"/>
              <w:jc w:val="center"/>
              <w:rPr>
                <w:kern w:val="0"/>
                <w:sz w:val="24"/>
                <w:szCs w:val="24"/>
              </w:rPr>
            </w:pPr>
            <w:r>
              <w:rPr>
                <w:rFonts w:hint="eastAsia" w:cs="宋体"/>
                <w:kern w:val="0"/>
                <w:sz w:val="24"/>
                <w:szCs w:val="24"/>
              </w:rPr>
              <w:t>专项评价设置情况</w:t>
            </w:r>
          </w:p>
        </w:tc>
        <w:tc>
          <w:tcPr>
            <w:tcW w:w="7986" w:type="dxa"/>
            <w:gridSpan w:val="3"/>
            <w:vAlign w:val="center"/>
          </w:tcPr>
          <w:p>
            <w:pPr>
              <w:adjustRightInd w:val="0"/>
              <w:snapToGrid w:val="0"/>
              <w:spacing w:line="360" w:lineRule="exact"/>
              <w:jc w:val="center"/>
              <w:rPr>
                <w:kern w:val="0"/>
                <w:sz w:val="24"/>
                <w:szCs w:val="24"/>
              </w:rPr>
            </w:pPr>
            <w:r>
              <w:rPr>
                <w:rFonts w:hint="eastAsia" w:cs="宋体"/>
                <w:sz w:val="24"/>
                <w:szCs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Align w:val="center"/>
          </w:tcPr>
          <w:p>
            <w:pPr>
              <w:autoSpaceDE w:val="0"/>
              <w:autoSpaceDN w:val="0"/>
              <w:adjustRightInd w:val="0"/>
              <w:snapToGrid w:val="0"/>
              <w:spacing w:line="360" w:lineRule="auto"/>
              <w:jc w:val="center"/>
              <w:rPr>
                <w:sz w:val="24"/>
                <w:szCs w:val="24"/>
              </w:rPr>
            </w:pPr>
            <w:r>
              <w:rPr>
                <w:rFonts w:hint="eastAsia" w:cs="宋体"/>
                <w:sz w:val="24"/>
                <w:szCs w:val="24"/>
              </w:rPr>
              <w:t>规划</w:t>
            </w:r>
          </w:p>
          <w:p>
            <w:pPr>
              <w:autoSpaceDE w:val="0"/>
              <w:autoSpaceDN w:val="0"/>
              <w:adjustRightInd w:val="0"/>
              <w:snapToGrid w:val="0"/>
              <w:spacing w:line="360" w:lineRule="auto"/>
              <w:jc w:val="center"/>
              <w:rPr>
                <w:sz w:val="24"/>
                <w:szCs w:val="24"/>
              </w:rPr>
            </w:pPr>
            <w:r>
              <w:rPr>
                <w:rFonts w:hint="eastAsia" w:cs="宋体"/>
                <w:sz w:val="24"/>
                <w:szCs w:val="24"/>
              </w:rPr>
              <w:t>情况</w:t>
            </w:r>
          </w:p>
        </w:tc>
        <w:tc>
          <w:tcPr>
            <w:tcW w:w="7986" w:type="dxa"/>
            <w:gridSpan w:val="3"/>
            <w:vAlign w:val="center"/>
          </w:tcPr>
          <w:p>
            <w:pPr>
              <w:autoSpaceDE w:val="0"/>
              <w:autoSpaceDN w:val="0"/>
              <w:adjustRightInd w:val="0"/>
              <w:snapToGrid w:val="0"/>
              <w:spacing w:line="360" w:lineRule="auto"/>
              <w:jc w:val="left"/>
              <w:rPr>
                <w:kern w:val="0"/>
                <w:sz w:val="24"/>
                <w:szCs w:val="24"/>
              </w:rPr>
            </w:pPr>
            <w:r>
              <w:rPr>
                <w:rFonts w:hint="eastAsia"/>
                <w:kern w:val="0"/>
                <w:sz w:val="24"/>
                <w:szCs w:val="24"/>
              </w:rPr>
              <w:t>规划名称：《靖边县经济技术开发区总体发展规划（2021-2035）》</w:t>
            </w:r>
          </w:p>
          <w:p>
            <w:pPr>
              <w:autoSpaceDE w:val="0"/>
              <w:autoSpaceDN w:val="0"/>
              <w:adjustRightInd w:val="0"/>
              <w:snapToGrid w:val="0"/>
              <w:spacing w:line="360" w:lineRule="auto"/>
              <w:jc w:val="left"/>
              <w:rPr>
                <w:kern w:val="0"/>
                <w:sz w:val="24"/>
                <w:szCs w:val="24"/>
              </w:rPr>
            </w:pPr>
            <w:r>
              <w:rPr>
                <w:kern w:val="0"/>
                <w:sz w:val="24"/>
                <w:szCs w:val="24"/>
              </w:rPr>
              <w:t>审批机关：</w:t>
            </w:r>
            <w:r>
              <w:rPr>
                <w:rFonts w:hint="eastAsia"/>
                <w:sz w:val="24"/>
                <w:szCs w:val="24"/>
              </w:rPr>
              <w:t>靖边县</w:t>
            </w:r>
            <w:r>
              <w:rPr>
                <w:rFonts w:hint="eastAsia"/>
                <w:kern w:val="0"/>
                <w:sz w:val="24"/>
                <w:szCs w:val="24"/>
              </w:rPr>
              <w:t>人民政府</w:t>
            </w:r>
          </w:p>
          <w:p>
            <w:pPr>
              <w:autoSpaceDE w:val="0"/>
              <w:autoSpaceDN w:val="0"/>
              <w:adjustRightInd w:val="0"/>
              <w:snapToGrid w:val="0"/>
              <w:spacing w:line="360" w:lineRule="auto"/>
              <w:rPr>
                <w:kern w:val="0"/>
                <w:sz w:val="24"/>
                <w:szCs w:val="24"/>
              </w:rPr>
            </w:pPr>
            <w:r>
              <w:rPr>
                <w:kern w:val="0"/>
                <w:sz w:val="24"/>
                <w:szCs w:val="24"/>
              </w:rPr>
              <w:t>审批文件名称及文号：</w:t>
            </w:r>
            <w:r>
              <w:rPr>
                <w:rFonts w:hint="eastAsia"/>
                <w:sz w:val="24"/>
                <w:szCs w:val="24"/>
              </w:rPr>
              <w:t>《关于靖边县经济技术开发区总体发展规划（</w:t>
            </w:r>
            <w:r>
              <w:rPr>
                <w:sz w:val="24"/>
                <w:szCs w:val="24"/>
              </w:rPr>
              <w:t>2021-2035</w:t>
            </w:r>
            <w:r>
              <w:rPr>
                <w:rFonts w:hint="eastAsia"/>
                <w:sz w:val="24"/>
                <w:szCs w:val="24"/>
              </w:rPr>
              <w:t>）》的批复</w:t>
            </w:r>
            <w:r>
              <w:rPr>
                <w:rFonts w:hint="eastAsia"/>
                <w:kern w:val="0"/>
                <w:sz w:val="24"/>
                <w:szCs w:val="24"/>
              </w:rPr>
              <w:t>（</w:t>
            </w:r>
            <w:r>
              <w:rPr>
                <w:rFonts w:hint="eastAsia"/>
                <w:sz w:val="24"/>
                <w:szCs w:val="24"/>
              </w:rPr>
              <w:t>靖政函〔</w:t>
            </w:r>
            <w:r>
              <w:rPr>
                <w:sz w:val="24"/>
                <w:szCs w:val="24"/>
              </w:rPr>
              <w:t>2022</w:t>
            </w:r>
            <w:r>
              <w:rPr>
                <w:rFonts w:hint="eastAsia"/>
                <w:sz w:val="24"/>
                <w:szCs w:val="24"/>
              </w:rPr>
              <w:t>〕</w:t>
            </w:r>
            <w:r>
              <w:rPr>
                <w:sz w:val="24"/>
                <w:szCs w:val="24"/>
              </w:rPr>
              <w:t>102</w:t>
            </w:r>
            <w:r>
              <w:rPr>
                <w:rFonts w:hint="eastAsia"/>
                <w:sz w:val="24"/>
                <w:szCs w:val="24"/>
              </w:rPr>
              <w:t>号</w:t>
            </w:r>
            <w:r>
              <w:rPr>
                <w:kern w:val="0"/>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Align w:val="center"/>
          </w:tcPr>
          <w:p>
            <w:pPr>
              <w:adjustRightInd w:val="0"/>
              <w:snapToGrid w:val="0"/>
              <w:spacing w:line="360" w:lineRule="auto"/>
              <w:jc w:val="center"/>
              <w:rPr>
                <w:spacing w:val="-20"/>
                <w:kern w:val="0"/>
                <w:sz w:val="24"/>
                <w:szCs w:val="24"/>
              </w:rPr>
            </w:pPr>
            <w:r>
              <w:rPr>
                <w:rFonts w:hint="eastAsia" w:cs="宋体"/>
                <w:spacing w:val="-20"/>
                <w:sz w:val="24"/>
                <w:szCs w:val="24"/>
              </w:rPr>
              <w:t>规划环境影响评价情况</w:t>
            </w:r>
          </w:p>
        </w:tc>
        <w:tc>
          <w:tcPr>
            <w:tcW w:w="7986" w:type="dxa"/>
            <w:gridSpan w:val="3"/>
            <w:vAlign w:val="center"/>
          </w:tcPr>
          <w:p>
            <w:pPr>
              <w:autoSpaceDE w:val="0"/>
              <w:autoSpaceDN w:val="0"/>
              <w:adjustRightInd w:val="0"/>
              <w:snapToGrid w:val="0"/>
              <w:spacing w:line="360" w:lineRule="auto"/>
              <w:jc w:val="left"/>
              <w:rPr>
                <w:kern w:val="0"/>
                <w:sz w:val="24"/>
                <w:szCs w:val="24"/>
              </w:rPr>
            </w:pPr>
            <w:r>
              <w:rPr>
                <w:rFonts w:hint="eastAsia"/>
                <w:kern w:val="0"/>
                <w:sz w:val="24"/>
                <w:szCs w:val="24"/>
              </w:rPr>
              <w:t>文件名称：《靖边县经济技术开发区总体发展规划（2021-2035）环境影响报告书》</w:t>
            </w:r>
          </w:p>
          <w:p>
            <w:pPr>
              <w:autoSpaceDE w:val="0"/>
              <w:autoSpaceDN w:val="0"/>
              <w:adjustRightInd w:val="0"/>
              <w:snapToGrid w:val="0"/>
              <w:spacing w:line="360" w:lineRule="auto"/>
              <w:jc w:val="left"/>
              <w:rPr>
                <w:kern w:val="0"/>
                <w:sz w:val="24"/>
                <w:szCs w:val="24"/>
              </w:rPr>
            </w:pPr>
            <w:r>
              <w:rPr>
                <w:rFonts w:hint="eastAsia"/>
                <w:kern w:val="0"/>
                <w:sz w:val="24"/>
                <w:szCs w:val="24"/>
              </w:rPr>
              <w:t>召集审查机关：榆林市生态环境局</w:t>
            </w:r>
          </w:p>
          <w:p>
            <w:pPr>
              <w:autoSpaceDE w:val="0"/>
              <w:autoSpaceDN w:val="0"/>
              <w:adjustRightInd w:val="0"/>
              <w:snapToGrid w:val="0"/>
              <w:spacing w:line="360" w:lineRule="auto"/>
            </w:pPr>
            <w:r>
              <w:rPr>
                <w:rFonts w:hint="eastAsia"/>
                <w:kern w:val="0"/>
                <w:sz w:val="24"/>
                <w:szCs w:val="24"/>
              </w:rPr>
              <w:t>审查文件名称及文号：《关于靖边县经济技术开发区总体发展规划（2021-2035）环境影响报告书审查意见的函》，榆政环函〔</w:t>
            </w:r>
            <w:r>
              <w:rPr>
                <w:kern w:val="0"/>
                <w:sz w:val="24"/>
                <w:szCs w:val="24"/>
              </w:rPr>
              <w:t>20</w:t>
            </w:r>
            <w:r>
              <w:rPr>
                <w:rFonts w:hint="eastAsia"/>
                <w:kern w:val="0"/>
                <w:sz w:val="24"/>
                <w:szCs w:val="24"/>
              </w:rPr>
              <w:t>23〕204号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Align w:val="center"/>
          </w:tcPr>
          <w:p>
            <w:pPr>
              <w:autoSpaceDE w:val="0"/>
              <w:autoSpaceDN w:val="0"/>
              <w:adjustRightInd w:val="0"/>
              <w:snapToGrid w:val="0"/>
              <w:jc w:val="center"/>
              <w:rPr>
                <w:kern w:val="0"/>
                <w:sz w:val="24"/>
                <w:szCs w:val="24"/>
              </w:rPr>
            </w:pPr>
            <w:r>
              <w:rPr>
                <w:rFonts w:hint="eastAsia" w:cs="宋体"/>
                <w:kern w:val="0"/>
                <w:sz w:val="24"/>
                <w:szCs w:val="24"/>
              </w:rPr>
              <w:t>规划及规划环境影响评价符合性分析</w:t>
            </w:r>
          </w:p>
        </w:tc>
        <w:tc>
          <w:tcPr>
            <w:tcW w:w="7986" w:type="dxa"/>
            <w:gridSpan w:val="3"/>
          </w:tcPr>
          <w:p>
            <w:pPr>
              <w:adjustRightInd w:val="0"/>
              <w:snapToGrid w:val="0"/>
              <w:jc w:val="center"/>
              <w:rPr>
                <w:b/>
                <w:bCs/>
                <w:kern w:val="0"/>
              </w:rPr>
            </w:pPr>
            <w:r>
              <w:rPr>
                <w:rFonts w:hint="eastAsia" w:cs="宋体"/>
                <w:b/>
                <w:bCs/>
                <w:kern w:val="0"/>
              </w:rPr>
              <w:t>表</w:t>
            </w:r>
            <w:r>
              <w:rPr>
                <w:b/>
                <w:bCs/>
                <w:kern w:val="0"/>
              </w:rPr>
              <w:t xml:space="preserve">1-1  </w:t>
            </w:r>
            <w:r>
              <w:rPr>
                <w:rFonts w:hint="eastAsia" w:cs="宋体"/>
                <w:b/>
                <w:bCs/>
                <w:kern w:val="0"/>
              </w:rPr>
              <w:t>项目与园区规划及规划环境影响评价符合性分析</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6"/>
              <w:gridCol w:w="3715"/>
              <w:gridCol w:w="2093"/>
              <w:gridCol w:w="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pPr>
                    <w:adjustRightInd w:val="0"/>
                    <w:snapToGrid w:val="0"/>
                    <w:jc w:val="center"/>
                    <w:rPr>
                      <w:b/>
                      <w:bCs/>
                    </w:rPr>
                  </w:pPr>
                  <w:r>
                    <w:rPr>
                      <w:b/>
                      <w:bCs/>
                    </w:rPr>
                    <w:t>项目</w:t>
                  </w:r>
                </w:p>
              </w:tc>
              <w:tc>
                <w:tcPr>
                  <w:tcW w:w="4264" w:type="dxa"/>
                  <w:vAlign w:val="center"/>
                </w:tcPr>
                <w:p>
                  <w:pPr>
                    <w:adjustRightInd w:val="0"/>
                    <w:snapToGrid w:val="0"/>
                    <w:jc w:val="center"/>
                    <w:rPr>
                      <w:b/>
                      <w:bCs/>
                    </w:rPr>
                  </w:pPr>
                  <w:r>
                    <w:rPr>
                      <w:b/>
                      <w:bCs/>
                    </w:rPr>
                    <w:t>规划内容</w:t>
                  </w:r>
                </w:p>
              </w:tc>
              <w:tc>
                <w:tcPr>
                  <w:tcW w:w="2126" w:type="dxa"/>
                  <w:vAlign w:val="center"/>
                </w:tcPr>
                <w:p>
                  <w:pPr>
                    <w:adjustRightInd w:val="0"/>
                    <w:snapToGrid w:val="0"/>
                    <w:jc w:val="center"/>
                    <w:rPr>
                      <w:b/>
                      <w:bCs/>
                    </w:rPr>
                  </w:pPr>
                  <w:r>
                    <w:rPr>
                      <w:b/>
                      <w:bCs/>
                    </w:rPr>
                    <w:t>本项目情况</w:t>
                  </w:r>
                </w:p>
              </w:tc>
              <w:tc>
                <w:tcPr>
                  <w:tcW w:w="690" w:type="dxa"/>
                  <w:vAlign w:val="center"/>
                </w:tcPr>
                <w:p>
                  <w:pPr>
                    <w:adjustRightInd w:val="0"/>
                    <w:snapToGrid w:val="0"/>
                    <w:jc w:val="center"/>
                    <w:rPr>
                      <w:b/>
                      <w:bCs/>
                    </w:rPr>
                  </w:pPr>
                  <w:r>
                    <w:rPr>
                      <w:b/>
                      <w:bCs/>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restart"/>
                  <w:vAlign w:val="center"/>
                </w:tcPr>
                <w:p>
                  <w:pPr>
                    <w:adjustRightInd w:val="0"/>
                    <w:snapToGrid w:val="0"/>
                    <w:jc w:val="center"/>
                  </w:pPr>
                  <w:r>
                    <w:rPr>
                      <w:rFonts w:hint="eastAsia"/>
                    </w:rPr>
                    <w:t>《靖边县经济技术开发区总体发展规划（2021—2035年）》</w:t>
                  </w:r>
                </w:p>
                <w:p>
                  <w:pPr>
                    <w:adjustRightInd w:val="0"/>
                    <w:snapToGrid w:val="0"/>
                    <w:jc w:val="center"/>
                  </w:pPr>
                </w:p>
              </w:tc>
              <w:tc>
                <w:tcPr>
                  <w:tcW w:w="4264" w:type="dxa"/>
                  <w:vAlign w:val="center"/>
                </w:tcPr>
                <w:p>
                  <w:pPr>
                    <w:adjustRightInd w:val="0"/>
                    <w:snapToGrid w:val="0"/>
                  </w:pPr>
                  <w:bookmarkStart w:id="3" w:name="_Hlk74905100"/>
                  <w:r>
                    <w:rPr>
                      <w:rFonts w:hint="eastAsia"/>
                    </w:rPr>
                    <w:t>规划范围：</w:t>
                  </w:r>
                  <w:bookmarkEnd w:id="3"/>
                  <w:r>
                    <w:rPr>
                      <w:rFonts w:hint="eastAsia"/>
                    </w:rPr>
                    <w:t>靖边县经济技术开发区总规划面积约53.36 平方公里，最终形成“一区三园”发展模式。一区，即靖边县经济技术开发区；三园，即能源化工园、商贸物流园、创业创新园。能源化工园规划面积32.40km</w:t>
                  </w:r>
                  <w:r>
                    <w:rPr>
                      <w:vertAlign w:val="superscript"/>
                    </w:rPr>
                    <w:t>2</w:t>
                  </w:r>
                  <w:r>
                    <w:t>，</w:t>
                  </w:r>
                  <w:r>
                    <w:rPr>
                      <w:rFonts w:hint="eastAsia"/>
                    </w:rPr>
                    <w:t>商贸物流园规划面积14.03km</w:t>
                  </w:r>
                  <w:r>
                    <w:rPr>
                      <w:vertAlign w:val="superscript"/>
                    </w:rPr>
                    <w:t>2</w:t>
                  </w:r>
                  <w:r>
                    <w:t>，</w:t>
                  </w:r>
                  <w:r>
                    <w:rPr>
                      <w:rFonts w:hint="eastAsia"/>
                    </w:rPr>
                    <w:t>北至纬六路，南至石化大道，西至经一路，东至蒙（西）华（中）铁路线，创业创新园规划面积6.90km</w:t>
                  </w:r>
                  <w:r>
                    <w:rPr>
                      <w:vertAlign w:val="superscript"/>
                    </w:rPr>
                    <w:t>2</w:t>
                  </w:r>
                  <w:r>
                    <w:rPr>
                      <w:rFonts w:hint="eastAsia"/>
                    </w:rPr>
                    <w:t>，北至靖杨一级公路和太中银铁路线，南至青银高速，西至包茂高速，东至浩吉铁路。</w:t>
                  </w:r>
                </w:p>
              </w:tc>
              <w:tc>
                <w:tcPr>
                  <w:tcW w:w="2126" w:type="dxa"/>
                  <w:vAlign w:val="center"/>
                </w:tcPr>
                <w:p>
                  <w:pPr>
                    <w:adjustRightInd w:val="0"/>
                    <w:snapToGrid w:val="0"/>
                    <w:jc w:val="center"/>
                  </w:pPr>
                  <w:r>
                    <w:rPr>
                      <w:rFonts w:hint="eastAsia"/>
                    </w:rPr>
                    <w:t>本项目位于靖边县经济技术开发区创业创新园，属于规划划定范围内。</w:t>
                  </w:r>
                </w:p>
              </w:tc>
              <w:tc>
                <w:tcPr>
                  <w:tcW w:w="690" w:type="dxa"/>
                  <w:vAlign w:val="center"/>
                </w:tcPr>
                <w:p>
                  <w:pPr>
                    <w:adjustRightInd w:val="0"/>
                    <w:snapToGrid w:val="0"/>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continue"/>
                  <w:vAlign w:val="center"/>
                </w:tcPr>
                <w:p>
                  <w:pPr>
                    <w:adjustRightInd w:val="0"/>
                    <w:snapToGrid w:val="0"/>
                    <w:jc w:val="center"/>
                  </w:pPr>
                </w:p>
              </w:tc>
              <w:tc>
                <w:tcPr>
                  <w:tcW w:w="4264" w:type="dxa"/>
                  <w:vAlign w:val="center"/>
                </w:tcPr>
                <w:p>
                  <w:pPr>
                    <w:adjustRightInd w:val="0"/>
                    <w:snapToGrid w:val="0"/>
                  </w:pPr>
                  <w:r>
                    <w:rPr>
                      <w:rFonts w:hint="eastAsia"/>
                    </w:rPr>
                    <w:t>产业定位：为实现化工行业集聚发展，化工类项目主要布局在能源化工园的煤制油项目区、新材料及专用化学品区，榆能化CCUS项目、DCC下游资源综合利用项目布局在建成产业现状片区内；商贸物流园片区主要承接开发区所需原材料及大宗产品运输；创业创新园主要承接加工类项目。</w:t>
                  </w:r>
                </w:p>
              </w:tc>
              <w:tc>
                <w:tcPr>
                  <w:tcW w:w="2126" w:type="dxa"/>
                  <w:vMerge w:val="restart"/>
                  <w:vAlign w:val="center"/>
                </w:tcPr>
                <w:p>
                  <w:pPr>
                    <w:adjustRightInd w:val="0"/>
                    <w:snapToGrid w:val="0"/>
                    <w:jc w:val="center"/>
                    <w:rPr>
                      <w:highlight w:val="yellow"/>
                    </w:rPr>
                  </w:pPr>
                  <w:r>
                    <w:rPr>
                      <w:rFonts w:hint="eastAsia"/>
                    </w:rPr>
                    <w:t>本项目为增强塑料制品加工，位于靖边县经济技术开发区创业创新园区，已取得入园批复（详见附件4），符合园区产业及功能定位方向。</w:t>
                  </w:r>
                </w:p>
              </w:tc>
              <w:tc>
                <w:tcPr>
                  <w:tcW w:w="690" w:type="dxa"/>
                  <w:vAlign w:val="center"/>
                </w:tcPr>
                <w:p>
                  <w:pPr>
                    <w:adjustRightInd w:val="0"/>
                    <w:snapToGrid w:val="0"/>
                    <w:jc w:val="center"/>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continue"/>
                  <w:vAlign w:val="center"/>
                </w:tcPr>
                <w:p>
                  <w:pPr>
                    <w:adjustRightInd w:val="0"/>
                    <w:snapToGrid w:val="0"/>
                    <w:jc w:val="center"/>
                  </w:pPr>
                </w:p>
              </w:tc>
              <w:tc>
                <w:tcPr>
                  <w:tcW w:w="4264" w:type="dxa"/>
                  <w:vAlign w:val="center"/>
                </w:tcPr>
                <w:p>
                  <w:pPr>
                    <w:adjustRightInd w:val="0"/>
                    <w:snapToGrid w:val="0"/>
                  </w:pPr>
                  <w:r>
                    <w:rPr>
                      <w:rFonts w:hint="eastAsia"/>
                    </w:rPr>
                    <w:t>功能定位：</w:t>
                  </w:r>
                  <w:r>
                    <w:rPr>
                      <w:rFonts w:hint="eastAsia"/>
                      <w:lang w:val="zh-CN"/>
                    </w:rPr>
                    <w:t>利用能源化工园产业基础，重点发展集群产业链，主要集中在四大领域即工程塑料及制品、功能膜材料、功能性纤维和可降解塑料。</w:t>
                  </w:r>
                </w:p>
              </w:tc>
              <w:tc>
                <w:tcPr>
                  <w:tcW w:w="2126" w:type="dxa"/>
                  <w:vMerge w:val="continue"/>
                  <w:vAlign w:val="center"/>
                </w:tcPr>
                <w:p>
                  <w:pPr>
                    <w:adjustRightInd w:val="0"/>
                    <w:snapToGrid w:val="0"/>
                    <w:jc w:val="center"/>
                  </w:pPr>
                </w:p>
              </w:tc>
              <w:tc>
                <w:tcPr>
                  <w:tcW w:w="690" w:type="dxa"/>
                  <w:vAlign w:val="center"/>
                </w:tcPr>
                <w:p>
                  <w:pPr>
                    <w:adjustRightInd w:val="0"/>
                    <w:snapToGrid w:val="0"/>
                    <w:jc w:val="center"/>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3" w:hRule="atLeast"/>
                <w:jc w:val="center"/>
              </w:trPr>
              <w:tc>
                <w:tcPr>
                  <w:tcW w:w="846" w:type="dxa"/>
                  <w:vMerge w:val="restart"/>
                  <w:vAlign w:val="center"/>
                </w:tcPr>
                <w:p>
                  <w:pPr>
                    <w:adjustRightInd w:val="0"/>
                    <w:snapToGrid w:val="0"/>
                    <w:jc w:val="center"/>
                  </w:pPr>
                  <w:r>
                    <w:rPr>
                      <w:rFonts w:hint="eastAsia"/>
                    </w:rPr>
                    <w:t>《靖边县经济技术开发区总体发展规划（2021—2035年）环境影响报告书》</w:t>
                  </w:r>
                </w:p>
                <w:p>
                  <w:pPr>
                    <w:adjustRightInd w:val="0"/>
                    <w:snapToGrid w:val="0"/>
                    <w:jc w:val="center"/>
                  </w:pPr>
                </w:p>
              </w:tc>
              <w:tc>
                <w:tcPr>
                  <w:tcW w:w="4264" w:type="dxa"/>
                  <w:vAlign w:val="center"/>
                </w:tcPr>
                <w:p>
                  <w:pPr>
                    <w:adjustRightInd w:val="0"/>
                    <w:snapToGrid w:val="0"/>
                    <w:rPr>
                      <w:lang w:val="zh-CN"/>
                    </w:rPr>
                  </w:pPr>
                  <w:r>
                    <w:rPr>
                      <w:rFonts w:hint="eastAsia"/>
                      <w:lang w:val="zh-CN"/>
                    </w:rPr>
                    <w:t>①工业污染源全面达标排放，二氧化硫、氮氧化物、颗粒物、挥发性有机物（VOCs）全面执行大气污染物特别排放限值；</w:t>
                  </w:r>
                </w:p>
                <w:p>
                  <w:pPr>
                    <w:adjustRightInd w:val="0"/>
                    <w:snapToGrid w:val="0"/>
                    <w:rPr>
                      <w:lang w:val="zh-CN"/>
                    </w:rPr>
                  </w:pPr>
                  <w:r>
                    <w:rPr>
                      <w:rFonts w:hint="eastAsia"/>
                      <w:lang w:val="zh-CN"/>
                    </w:rPr>
                    <w:t>②严格执行国家关于“两高”产业准入目录和产能总量控制政策措施，加大落后产能淘汰和过剩产能压减力度；</w:t>
                  </w:r>
                </w:p>
                <w:p>
                  <w:pPr>
                    <w:adjustRightInd w:val="0"/>
                    <w:snapToGrid w:val="0"/>
                    <w:rPr>
                      <w:lang w:val="zh-CN"/>
                    </w:rPr>
                  </w:pPr>
                  <w:r>
                    <w:rPr>
                      <w:rFonts w:hint="eastAsia"/>
                      <w:lang w:val="zh-CN"/>
                    </w:rPr>
                    <w:t>③加快企业技术改造，提高科技创新能力；加快调整能源结构，增加清洁能源供应；严格节能环保准入。</w:t>
                  </w:r>
                </w:p>
              </w:tc>
              <w:tc>
                <w:tcPr>
                  <w:tcW w:w="2126" w:type="dxa"/>
                  <w:vAlign w:val="center"/>
                </w:tcPr>
                <w:p>
                  <w:pPr>
                    <w:adjustRightInd w:val="0"/>
                    <w:snapToGrid w:val="0"/>
                    <w:jc w:val="center"/>
                  </w:pPr>
                  <w:r>
                    <w:rPr>
                      <w:rFonts w:hint="eastAsia"/>
                    </w:rPr>
                    <w:t>本项目不属于“两高”项目。项目生产过程产生的颗粒物、挥发性有机物（VOCs）执行</w:t>
                  </w:r>
                  <w:r>
                    <w:rPr>
                      <w:rFonts w:hint="eastAsia"/>
                      <w:bCs/>
                    </w:rPr>
                    <w:t>《合成树脂工业污染物排放标准》（GB31572-2015）中表5相关标准限值要求，且项目烘干过程采用电能。</w:t>
                  </w:r>
                </w:p>
              </w:tc>
              <w:tc>
                <w:tcPr>
                  <w:tcW w:w="690" w:type="dxa"/>
                  <w:vAlign w:val="center"/>
                </w:tcPr>
                <w:p>
                  <w:pPr>
                    <w:adjustRightInd w:val="0"/>
                    <w:snapToGrid w:val="0"/>
                    <w:jc w:val="center"/>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continue"/>
                  <w:vAlign w:val="center"/>
                </w:tcPr>
                <w:p>
                  <w:pPr>
                    <w:adjustRightInd w:val="0"/>
                    <w:snapToGrid w:val="0"/>
                    <w:jc w:val="center"/>
                  </w:pPr>
                </w:p>
              </w:tc>
              <w:tc>
                <w:tcPr>
                  <w:tcW w:w="4264" w:type="dxa"/>
                  <w:vAlign w:val="center"/>
                </w:tcPr>
                <w:p>
                  <w:pPr>
                    <w:adjustRightInd w:val="0"/>
                    <w:snapToGrid w:val="0"/>
                    <w:rPr>
                      <w:lang w:val="zh-CN"/>
                    </w:rPr>
                  </w:pPr>
                  <w:r>
                    <w:rPr>
                      <w:rFonts w:hint="eastAsia"/>
                      <w:lang w:val="zh-CN"/>
                    </w:rPr>
                    <w:t>①排水系统完善并实施雨污分流；园区废水不外排；</w:t>
                  </w:r>
                </w:p>
                <w:p>
                  <w:pPr>
                    <w:adjustRightInd w:val="0"/>
                    <w:snapToGrid w:val="0"/>
                    <w:rPr>
                      <w:lang w:val="zh-CN"/>
                    </w:rPr>
                  </w:pPr>
                  <w:r>
                    <w:rPr>
                      <w:rFonts w:hint="eastAsia"/>
                      <w:lang w:val="zh-CN"/>
                    </w:rPr>
                    <w:t>②强化水资源管理，提高水的重复利用率；</w:t>
                  </w:r>
                </w:p>
                <w:p>
                  <w:pPr>
                    <w:adjustRightInd w:val="0"/>
                    <w:snapToGrid w:val="0"/>
                    <w:rPr>
                      <w:lang w:val="zh-CN"/>
                    </w:rPr>
                  </w:pPr>
                  <w:r>
                    <w:rPr>
                      <w:rFonts w:hint="eastAsia"/>
                      <w:lang w:val="zh-CN"/>
                    </w:rPr>
                    <w:t>③根据相关规范完善分区防渗措施；</w:t>
                  </w:r>
                </w:p>
                <w:p>
                  <w:pPr>
                    <w:adjustRightInd w:val="0"/>
                    <w:snapToGrid w:val="0"/>
                    <w:rPr>
                      <w:lang w:val="zh-CN"/>
                    </w:rPr>
                  </w:pPr>
                  <w:r>
                    <w:rPr>
                      <w:rFonts w:hint="eastAsia"/>
                      <w:lang w:val="zh-CN"/>
                    </w:rPr>
                    <w:t>④实行地下水污染监控；防止工业“三废”对地下水污染。</w:t>
                  </w:r>
                </w:p>
              </w:tc>
              <w:tc>
                <w:tcPr>
                  <w:tcW w:w="2126" w:type="dxa"/>
                  <w:vAlign w:val="center"/>
                </w:tcPr>
                <w:p>
                  <w:pPr>
                    <w:adjustRightInd w:val="0"/>
                    <w:snapToGrid w:val="0"/>
                    <w:jc w:val="center"/>
                  </w:pPr>
                  <w:r>
                    <w:rPr>
                      <w:rFonts w:hint="eastAsia"/>
                    </w:rPr>
                    <w:t>本项目</w:t>
                  </w:r>
                  <w:r>
                    <w:rPr>
                      <w:rFonts w:hint="eastAsia"/>
                      <w:lang w:val="zh-CN"/>
                    </w:rPr>
                    <w:t>实施雨污分流制，生活污水经</w:t>
                  </w:r>
                  <w:r>
                    <w:rPr>
                      <w:rFonts w:hint="eastAsia"/>
                    </w:rPr>
                    <w:t>化粪池处理排入园区污水处理厂集中</w:t>
                  </w:r>
                  <w:r>
                    <w:rPr>
                      <w:rFonts w:hint="eastAsia"/>
                      <w:bCs/>
                    </w:rPr>
                    <w:t>处理。生产废水循环使用，不外排。</w:t>
                  </w:r>
                </w:p>
              </w:tc>
              <w:tc>
                <w:tcPr>
                  <w:tcW w:w="690" w:type="dxa"/>
                  <w:vAlign w:val="center"/>
                </w:tcPr>
                <w:p>
                  <w:pPr>
                    <w:adjustRightInd w:val="0"/>
                    <w:snapToGrid w:val="0"/>
                    <w:jc w:val="center"/>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continue"/>
                  <w:vAlign w:val="center"/>
                </w:tcPr>
                <w:p>
                  <w:pPr>
                    <w:adjustRightInd w:val="0"/>
                    <w:snapToGrid w:val="0"/>
                    <w:jc w:val="center"/>
                  </w:pPr>
                </w:p>
              </w:tc>
              <w:tc>
                <w:tcPr>
                  <w:tcW w:w="4264" w:type="dxa"/>
                  <w:vAlign w:val="center"/>
                </w:tcPr>
                <w:p>
                  <w:pPr>
                    <w:adjustRightInd w:val="0"/>
                    <w:snapToGrid w:val="0"/>
                    <w:rPr>
                      <w:lang w:val="zh-CN"/>
                    </w:rPr>
                  </w:pPr>
                  <w:r>
                    <w:rPr>
                      <w:rFonts w:hint="eastAsia"/>
                      <w:lang w:val="zh-CN"/>
                    </w:rPr>
                    <w:t>企业建设项目在设计中应尽可能选用低噪声设备，对高噪声设备采取基础减振、安装消声装置、采用建筑隔音和铺装吸音材料等降噪措施，并通过优化平面布局降低对周围声环境的影响，确保厂界噪声满足《工业企业厂界环境噪声排放标准》相关标准限值，厂界外评价范围内声环境敏感目标声环境满足相应功能区要求。</w:t>
                  </w:r>
                </w:p>
              </w:tc>
              <w:tc>
                <w:tcPr>
                  <w:tcW w:w="2126" w:type="dxa"/>
                  <w:vAlign w:val="center"/>
                </w:tcPr>
                <w:p>
                  <w:pPr>
                    <w:adjustRightInd w:val="0"/>
                    <w:snapToGrid w:val="0"/>
                    <w:jc w:val="center"/>
                  </w:pPr>
                  <w:r>
                    <w:rPr>
                      <w:rFonts w:hint="eastAsia"/>
                    </w:rPr>
                    <w:t>本项目</w:t>
                  </w:r>
                  <w:r>
                    <w:rPr>
                      <w:rFonts w:hint="eastAsia"/>
                      <w:lang w:val="zh-CN"/>
                    </w:rPr>
                    <w:t>选用低噪声设备，通过基础减振、厂房隔音等降噪措施，同时优化平面布局来降低对周围声环境的影响，经预测项目厂界噪声排放满足《工业企业厂界环境噪声排放标准》3类区标准限值要求。</w:t>
                  </w:r>
                </w:p>
              </w:tc>
              <w:tc>
                <w:tcPr>
                  <w:tcW w:w="690" w:type="dxa"/>
                  <w:vAlign w:val="center"/>
                </w:tcPr>
                <w:p>
                  <w:pPr>
                    <w:adjustRightInd w:val="0"/>
                    <w:snapToGrid w:val="0"/>
                    <w:jc w:val="center"/>
                  </w:pPr>
                  <w: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10" w:type="dxa"/>
                  <w:gridSpan w:val="2"/>
                  <w:vAlign w:val="center"/>
                </w:tcPr>
                <w:p>
                  <w:pPr>
                    <w:adjustRightInd w:val="0"/>
                    <w:snapToGrid w:val="0"/>
                    <w:rPr>
                      <w:lang w:val="zh-CN"/>
                    </w:rPr>
                  </w:pPr>
                  <w:r>
                    <w:rPr>
                      <w:rFonts w:hint="eastAsia"/>
                      <w:lang w:val="zh-CN"/>
                    </w:rPr>
                    <w:t>①园区大宗固体废弃物综合利用率达到75%以上；</w:t>
                  </w:r>
                </w:p>
                <w:p>
                  <w:pPr>
                    <w:adjustRightInd w:val="0"/>
                    <w:snapToGrid w:val="0"/>
                    <w:rPr>
                      <w:lang w:val="zh-CN"/>
                    </w:rPr>
                  </w:pPr>
                  <w:r>
                    <w:rPr>
                      <w:rFonts w:hint="eastAsia"/>
                      <w:lang w:val="zh-CN"/>
                    </w:rPr>
                    <w:t>②危险废物需交由有资质单位处置；</w:t>
                  </w:r>
                </w:p>
                <w:p>
                  <w:pPr>
                    <w:adjustRightInd w:val="0"/>
                    <w:snapToGrid w:val="0"/>
                    <w:rPr>
                      <w:lang w:val="zh-CN"/>
                    </w:rPr>
                  </w:pPr>
                  <w:r>
                    <w:rPr>
                      <w:rFonts w:hint="eastAsia"/>
                      <w:lang w:val="zh-CN"/>
                    </w:rPr>
                    <w:t>③企业需建立固废处置台账。</w:t>
                  </w:r>
                </w:p>
              </w:tc>
              <w:tc>
                <w:tcPr>
                  <w:tcW w:w="2126" w:type="dxa"/>
                  <w:vAlign w:val="center"/>
                </w:tcPr>
                <w:p>
                  <w:pPr>
                    <w:adjustRightInd w:val="0"/>
                    <w:snapToGrid w:val="0"/>
                    <w:jc w:val="center"/>
                  </w:pPr>
                  <w:r>
                    <w:rPr>
                      <w:rFonts w:hint="eastAsia"/>
                    </w:rPr>
                    <w:t>本项目产生的生活垃圾经分类收集后交由环卫部门处置；一般固体废物定期外售；危险废物暂存于危废暂存间，定期交由有资质单位处置。环评要求</w:t>
                  </w:r>
                  <w:r>
                    <w:rPr>
                      <w:rFonts w:hint="eastAsia"/>
                      <w:lang w:val="zh-CN"/>
                    </w:rPr>
                    <w:t>企业需建立台账，确保固体废物合理妥善处置。</w:t>
                  </w:r>
                </w:p>
              </w:tc>
              <w:tc>
                <w:tcPr>
                  <w:tcW w:w="690" w:type="dxa"/>
                  <w:vAlign w:val="center"/>
                </w:tcPr>
                <w:p>
                  <w:pPr>
                    <w:adjustRightInd w:val="0"/>
                    <w:snapToGrid w:val="0"/>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restart"/>
                  <w:vAlign w:val="center"/>
                </w:tcPr>
                <w:p>
                  <w:pPr>
                    <w:adjustRightInd w:val="0"/>
                    <w:snapToGrid w:val="0"/>
                    <w:jc w:val="center"/>
                  </w:pPr>
                  <w:r>
                    <w:rPr>
                      <w:rFonts w:hint="eastAsia"/>
                    </w:rPr>
                    <w:t>《靖边县经济技术开发区总体发展规划（2021—2035年）环境影响报告书》审查意见</w:t>
                  </w:r>
                </w:p>
                <w:p>
                  <w:pPr>
                    <w:adjustRightInd w:val="0"/>
                    <w:snapToGrid w:val="0"/>
                    <w:jc w:val="center"/>
                  </w:pPr>
                </w:p>
              </w:tc>
              <w:tc>
                <w:tcPr>
                  <w:tcW w:w="4264" w:type="dxa"/>
                  <w:vAlign w:val="center"/>
                </w:tcPr>
                <w:p>
                  <w:pPr>
                    <w:adjustRightInd w:val="0"/>
                    <w:snapToGrid w:val="0"/>
                    <w:rPr>
                      <w:lang w:val="zh-CN"/>
                    </w:rPr>
                  </w:pPr>
                  <w:r>
                    <w:rPr>
                      <w:rFonts w:hint="eastAsia"/>
                      <w:lang w:val="zh-CN"/>
                    </w:rPr>
                    <w:t>把好入园项目关口，推进产业转型升级。落实“三线一单”生态环境分区管控尤其是生态环境准入清单要求，严格入园项目的环境准入管理。引进项目的生产工艺、设备、污染治理技术，以及单位产品能耗、物耗、污染物排放和资源利用率等均需达到同行业先进水平，深入推进节能降碳增效，推动园区绿色、低碳发展。对不符合规划定位的现状企业，不再扩大其规模，并逐步退出。推进技术研发型、创新产业发展，推进技术研发型、创新产业发展。</w:t>
                  </w:r>
                </w:p>
              </w:tc>
              <w:tc>
                <w:tcPr>
                  <w:tcW w:w="2126" w:type="dxa"/>
                  <w:vAlign w:val="center"/>
                </w:tcPr>
                <w:p>
                  <w:pPr>
                    <w:adjustRightInd w:val="0"/>
                    <w:snapToGrid w:val="0"/>
                    <w:jc w:val="center"/>
                  </w:pPr>
                  <w:r>
                    <w:rPr>
                      <w:rFonts w:hint="eastAsia"/>
                      <w:lang w:val="zh-CN"/>
                    </w:rPr>
                    <w:t>本项目位于重点管控单元，不涉及生态保护红线。项目采用先进的生产工艺及设备产生的污染物经有效的污染防治措施处理后达标排放。且项目符合园区规划。</w:t>
                  </w:r>
                </w:p>
              </w:tc>
              <w:tc>
                <w:tcPr>
                  <w:tcW w:w="690" w:type="dxa"/>
                  <w:vAlign w:val="center"/>
                </w:tcPr>
                <w:p>
                  <w:pPr>
                    <w:adjustRightInd w:val="0"/>
                    <w:snapToGrid w:val="0"/>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Merge w:val="continue"/>
                  <w:vAlign w:val="center"/>
                </w:tcPr>
                <w:p>
                  <w:pPr>
                    <w:adjustRightInd w:val="0"/>
                    <w:snapToGrid w:val="0"/>
                    <w:jc w:val="center"/>
                  </w:pPr>
                </w:p>
              </w:tc>
              <w:tc>
                <w:tcPr>
                  <w:tcW w:w="4264" w:type="dxa"/>
                  <w:vAlign w:val="center"/>
                </w:tcPr>
                <w:p>
                  <w:pPr>
                    <w:adjustRightInd w:val="0"/>
                    <w:snapToGrid w:val="0"/>
                    <w:rPr>
                      <w:lang w:val="zh-CN"/>
                    </w:rPr>
                  </w:pPr>
                  <w:r>
                    <w:rPr>
                      <w:rFonts w:hint="eastAsia"/>
                      <w:lang w:val="zh-CN"/>
                    </w:rPr>
                    <w:t>加强空间管控，严守生态保护红线。坚持生态“红线”即底线的思维，认真抓好经开区的环境管理。做好水资源论证，园区规划发展规模和时序应结合水资源的供应进行调整，园区项目耗水总量要与水资源量相匹配。推广水资源梯级利用和节水技术措施，逐步取消生产取用地下水，并加快煤矿疏矸水供水工程的建设。积极推进污水处理厂、固废填埋场等环保基础设施的建设，明确建设时序，确保入园项目建成后可依托利用。</w:t>
                  </w:r>
                </w:p>
              </w:tc>
              <w:tc>
                <w:tcPr>
                  <w:tcW w:w="2126" w:type="dxa"/>
                  <w:vAlign w:val="center"/>
                </w:tcPr>
                <w:p>
                  <w:pPr>
                    <w:adjustRightInd w:val="0"/>
                    <w:snapToGrid w:val="0"/>
                    <w:jc w:val="center"/>
                  </w:pPr>
                  <w:r>
                    <w:rPr>
                      <w:rFonts w:hint="eastAsia"/>
                      <w:lang w:val="zh-CN"/>
                    </w:rPr>
                    <w:t>本项目位于重点管控单元，不涉及生态保护红线。项目生产过程</w:t>
                  </w:r>
                  <w:r>
                    <w:rPr>
                      <w:rFonts w:hint="eastAsia"/>
                      <w:bCs/>
                    </w:rPr>
                    <w:t>生产废水循环使用，不外排。</w:t>
                  </w:r>
                  <w:r>
                    <w:rPr>
                      <w:rFonts w:hint="eastAsia"/>
                      <w:lang w:val="zh-CN"/>
                    </w:rPr>
                    <w:t>生活污水经</w:t>
                  </w:r>
                  <w:r>
                    <w:rPr>
                      <w:rFonts w:hint="eastAsia"/>
                    </w:rPr>
                    <w:t>化粪池处理排入园区污水处理厂集中</w:t>
                  </w:r>
                  <w:r>
                    <w:rPr>
                      <w:rFonts w:hint="eastAsia"/>
                      <w:bCs/>
                    </w:rPr>
                    <w:t>处理。</w:t>
                  </w:r>
                </w:p>
              </w:tc>
              <w:tc>
                <w:tcPr>
                  <w:tcW w:w="690" w:type="dxa"/>
                  <w:vAlign w:val="center"/>
                </w:tcPr>
                <w:p>
                  <w:pPr>
                    <w:adjustRightInd w:val="0"/>
                    <w:snapToGrid w:val="0"/>
                    <w:jc w:val="center"/>
                  </w:pPr>
                  <w:r>
                    <w:rPr>
                      <w:rFonts w:hint="eastAsia"/>
                    </w:rPr>
                    <w:t>符合</w:t>
                  </w:r>
                </w:p>
              </w:tc>
            </w:tr>
          </w:tbl>
          <w:p>
            <w:pPr>
              <w:autoSpaceDE w:val="0"/>
              <w:autoSpaceDN w:val="0"/>
              <w:adjustRightInd w:val="0"/>
              <w:snapToGrid w:val="0"/>
              <w:spacing w:line="360" w:lineRule="auto"/>
              <w:ind w:firstLine="480" w:firstLineChars="200"/>
              <w:rPr>
                <w:sz w:val="24"/>
                <w:szCs w:val="24"/>
              </w:rPr>
            </w:pPr>
            <w:r>
              <w:rPr>
                <w:rFonts w:hint="eastAsia"/>
                <w:sz w:val="24"/>
                <w:szCs w:val="24"/>
              </w:rPr>
              <w:t>综上所述，项目为玻璃纤维增强塑料制品制造，位于靖边县经济技术开发区创业创新园，项目在园区的位置见附图2，项目建设符合靖边县经济技术开发区总体发展规划（2021—2035年）要求，且项目已取得靖边经济技术开发区管委会《关于高强度玻璃纤维复合材料生产项目入区的批复》（靖政经开发〔2023〕36号），原则同意在靖边经开区创业创新园建设该项目。因此，项目建设符合靖边县经济技术开发区总体发展规划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21" w:type="dxa"/>
            <w:vAlign w:val="center"/>
          </w:tcPr>
          <w:p>
            <w:pPr>
              <w:autoSpaceDE w:val="0"/>
              <w:autoSpaceDN w:val="0"/>
              <w:adjustRightInd w:val="0"/>
              <w:snapToGrid w:val="0"/>
              <w:jc w:val="center"/>
              <w:rPr>
                <w:rFonts w:cs="宋体"/>
                <w:kern w:val="0"/>
                <w:sz w:val="24"/>
                <w:szCs w:val="24"/>
              </w:rPr>
            </w:pPr>
            <w:r>
              <w:rPr>
                <w:rFonts w:hint="eastAsia" w:cs="宋体"/>
                <w:kern w:val="0"/>
                <w:sz w:val="24"/>
                <w:szCs w:val="24"/>
              </w:rPr>
              <w:t>其他符合性分析</w:t>
            </w:r>
          </w:p>
        </w:tc>
        <w:tc>
          <w:tcPr>
            <w:tcW w:w="7986" w:type="dxa"/>
            <w:gridSpan w:val="3"/>
          </w:tcPr>
          <w:p>
            <w:pPr>
              <w:adjustRightInd w:val="0"/>
              <w:snapToGrid w:val="0"/>
              <w:spacing w:line="360" w:lineRule="auto"/>
              <w:jc w:val="left"/>
              <w:rPr>
                <w:b/>
                <w:sz w:val="24"/>
                <w:szCs w:val="24"/>
              </w:rPr>
            </w:pPr>
            <w:r>
              <w:rPr>
                <w:rFonts w:hint="eastAsia" w:cs="宋体"/>
                <w:b/>
                <w:sz w:val="24"/>
                <w:szCs w:val="24"/>
              </w:rPr>
              <w:t>1、项目产业政策的符合性</w:t>
            </w:r>
          </w:p>
          <w:p>
            <w:pPr>
              <w:autoSpaceDE w:val="0"/>
              <w:autoSpaceDN w:val="0"/>
              <w:adjustRightInd w:val="0"/>
              <w:snapToGrid w:val="0"/>
              <w:spacing w:line="360" w:lineRule="auto"/>
              <w:ind w:firstLine="480" w:firstLineChars="200"/>
              <w:rPr>
                <w:bCs/>
                <w:snapToGrid w:val="0"/>
                <w:kern w:val="0"/>
                <w:sz w:val="24"/>
              </w:rPr>
            </w:pPr>
            <w:r>
              <w:rPr>
                <w:rFonts w:hint="eastAsia" w:cs="宋体"/>
                <w:sz w:val="24"/>
                <w:szCs w:val="24"/>
                <w:lang w:val="en-GB"/>
              </w:rPr>
              <w:t>根据《产业结构调整指导目录（</w:t>
            </w:r>
            <w:r>
              <w:rPr>
                <w:sz w:val="24"/>
                <w:szCs w:val="24"/>
                <w:lang w:val="en-GB"/>
              </w:rPr>
              <w:t>20</w:t>
            </w:r>
            <w:r>
              <w:rPr>
                <w:rFonts w:hint="eastAsia"/>
                <w:sz w:val="24"/>
                <w:szCs w:val="24"/>
                <w:lang w:val="en-US" w:eastAsia="zh-CN"/>
              </w:rPr>
              <w:t>24</w:t>
            </w:r>
            <w:bookmarkStart w:id="5" w:name="_GoBack"/>
            <w:bookmarkEnd w:id="5"/>
            <w:r>
              <w:rPr>
                <w:rFonts w:hint="eastAsia" w:cs="宋体"/>
                <w:sz w:val="24"/>
                <w:szCs w:val="24"/>
                <w:lang w:val="en-GB"/>
              </w:rPr>
              <w:t>年本）》，本项目</w:t>
            </w:r>
            <w:r>
              <w:rPr>
                <w:bCs/>
                <w:snapToGrid w:val="0"/>
                <w:kern w:val="0"/>
                <w:sz w:val="24"/>
              </w:rPr>
              <w:t>不属于其中</w:t>
            </w:r>
            <w:r>
              <w:rPr>
                <w:rFonts w:hint="eastAsia"/>
                <w:bCs/>
                <w:snapToGrid w:val="0"/>
                <w:kern w:val="0"/>
                <w:sz w:val="24"/>
              </w:rPr>
              <w:t>“</w:t>
            </w:r>
            <w:r>
              <w:rPr>
                <w:bCs/>
                <w:snapToGrid w:val="0"/>
                <w:kern w:val="0"/>
                <w:sz w:val="24"/>
              </w:rPr>
              <w:t>鼓励类</w:t>
            </w:r>
            <w:r>
              <w:rPr>
                <w:rFonts w:hint="eastAsia"/>
                <w:bCs/>
                <w:snapToGrid w:val="0"/>
                <w:kern w:val="0"/>
                <w:sz w:val="24"/>
              </w:rPr>
              <w:t>”“限制</w:t>
            </w:r>
            <w:r>
              <w:rPr>
                <w:bCs/>
                <w:snapToGrid w:val="0"/>
                <w:kern w:val="0"/>
                <w:sz w:val="24"/>
              </w:rPr>
              <w:t>类</w:t>
            </w:r>
            <w:r>
              <w:rPr>
                <w:rFonts w:hint="eastAsia"/>
                <w:bCs/>
                <w:snapToGrid w:val="0"/>
                <w:kern w:val="0"/>
                <w:sz w:val="24"/>
              </w:rPr>
              <w:t>”</w:t>
            </w:r>
            <w:r>
              <w:rPr>
                <w:bCs/>
                <w:snapToGrid w:val="0"/>
                <w:kern w:val="0"/>
                <w:sz w:val="24"/>
              </w:rPr>
              <w:t>和</w:t>
            </w:r>
            <w:r>
              <w:rPr>
                <w:rFonts w:hint="eastAsia"/>
                <w:bCs/>
                <w:snapToGrid w:val="0"/>
                <w:kern w:val="0"/>
                <w:sz w:val="24"/>
              </w:rPr>
              <w:t>“淘汰</w:t>
            </w:r>
            <w:r>
              <w:rPr>
                <w:bCs/>
                <w:snapToGrid w:val="0"/>
                <w:kern w:val="0"/>
                <w:sz w:val="24"/>
              </w:rPr>
              <w:t>类</w:t>
            </w:r>
            <w:r>
              <w:rPr>
                <w:rFonts w:hint="eastAsia"/>
                <w:bCs/>
                <w:snapToGrid w:val="0"/>
                <w:kern w:val="0"/>
                <w:sz w:val="24"/>
              </w:rPr>
              <w:t>”</w:t>
            </w:r>
            <w:r>
              <w:rPr>
                <w:bCs/>
                <w:snapToGrid w:val="0"/>
                <w:kern w:val="0"/>
                <w:sz w:val="24"/>
              </w:rPr>
              <w:t>，</w:t>
            </w:r>
            <w:r>
              <w:rPr>
                <w:rFonts w:hint="eastAsia"/>
                <w:bCs/>
                <w:snapToGrid w:val="0"/>
                <w:kern w:val="0"/>
                <w:sz w:val="24"/>
              </w:rPr>
              <w:t>视</w:t>
            </w:r>
            <w:r>
              <w:rPr>
                <w:bCs/>
                <w:snapToGrid w:val="0"/>
                <w:kern w:val="0"/>
                <w:sz w:val="24"/>
              </w:rPr>
              <w:t>为允许类</w:t>
            </w:r>
            <w:r>
              <w:rPr>
                <w:rFonts w:hint="eastAsia" w:cs="宋体"/>
                <w:sz w:val="24"/>
                <w:szCs w:val="24"/>
                <w:lang w:val="en-GB"/>
              </w:rPr>
              <w:t>。</w:t>
            </w:r>
          </w:p>
          <w:p>
            <w:pPr>
              <w:autoSpaceDE w:val="0"/>
              <w:autoSpaceDN w:val="0"/>
              <w:adjustRightInd w:val="0"/>
              <w:snapToGrid w:val="0"/>
              <w:spacing w:line="360" w:lineRule="auto"/>
              <w:ind w:firstLine="480" w:firstLineChars="200"/>
              <w:rPr>
                <w:bCs/>
                <w:snapToGrid w:val="0"/>
              </w:rPr>
            </w:pPr>
            <w:r>
              <w:rPr>
                <w:rFonts w:hint="eastAsia"/>
                <w:bCs/>
                <w:snapToGrid w:val="0"/>
                <w:kern w:val="0"/>
                <w:sz w:val="24"/>
              </w:rPr>
              <w:t>根据</w:t>
            </w:r>
            <w:r>
              <w:rPr>
                <w:bCs/>
                <w:snapToGrid w:val="0"/>
                <w:kern w:val="0"/>
                <w:sz w:val="24"/>
              </w:rPr>
              <w:t>陕西省发展和改革委员会关于印发《陕西省限制投资类产业指导目录》</w:t>
            </w:r>
            <w:r>
              <w:rPr>
                <w:rFonts w:hint="eastAsia"/>
                <w:bCs/>
                <w:snapToGrid w:val="0"/>
                <w:kern w:val="0"/>
                <w:sz w:val="24"/>
              </w:rPr>
              <w:t>（</w:t>
            </w:r>
            <w:r>
              <w:rPr>
                <w:bCs/>
                <w:snapToGrid w:val="0"/>
                <w:kern w:val="0"/>
                <w:sz w:val="24"/>
              </w:rPr>
              <w:t>陕发改产业</w:t>
            </w:r>
            <w:r>
              <w:rPr>
                <w:rFonts w:hint="eastAsia"/>
                <w:bCs/>
                <w:snapToGrid w:val="0"/>
                <w:kern w:val="0"/>
                <w:sz w:val="24"/>
              </w:rPr>
              <w:t>〔2007〕</w:t>
            </w:r>
            <w:r>
              <w:rPr>
                <w:bCs/>
                <w:snapToGrid w:val="0"/>
                <w:kern w:val="0"/>
                <w:sz w:val="24"/>
              </w:rPr>
              <w:t>97号）的通知，本项目</w:t>
            </w:r>
            <w:r>
              <w:rPr>
                <w:rFonts w:hint="eastAsia"/>
                <w:bCs/>
                <w:snapToGrid w:val="0"/>
                <w:kern w:val="0"/>
                <w:sz w:val="24"/>
              </w:rPr>
              <w:t>未列入其中</w:t>
            </w:r>
            <w:r>
              <w:rPr>
                <w:bCs/>
                <w:snapToGrid w:val="0"/>
                <w:kern w:val="0"/>
                <w:sz w:val="24"/>
              </w:rPr>
              <w:t>。</w:t>
            </w:r>
          </w:p>
          <w:p>
            <w:pPr>
              <w:autoSpaceDE w:val="0"/>
              <w:autoSpaceDN w:val="0"/>
              <w:adjustRightInd w:val="0"/>
              <w:snapToGrid w:val="0"/>
              <w:spacing w:line="360" w:lineRule="auto"/>
              <w:ind w:firstLine="480" w:firstLineChars="200"/>
              <w:rPr>
                <w:rFonts w:cs="宋体"/>
                <w:sz w:val="24"/>
                <w:szCs w:val="24"/>
                <w:lang w:val="en-GB"/>
              </w:rPr>
            </w:pPr>
            <w:r>
              <w:rPr>
                <w:bCs/>
                <w:snapToGrid w:val="0"/>
                <w:kern w:val="0"/>
                <w:sz w:val="24"/>
              </w:rPr>
              <w:t>根据</w:t>
            </w:r>
            <w:r>
              <w:rPr>
                <w:rFonts w:hint="eastAsia"/>
                <w:bCs/>
                <w:snapToGrid w:val="0"/>
                <w:kern w:val="0"/>
                <w:sz w:val="24"/>
              </w:rPr>
              <w:t>中华人民共和国工业和信息化部发布的</w:t>
            </w:r>
            <w:r>
              <w:rPr>
                <w:bCs/>
                <w:snapToGrid w:val="0"/>
                <w:kern w:val="0"/>
                <w:sz w:val="24"/>
              </w:rPr>
              <w:t>《部分工业行业淘汰落后生产工艺装备和产品指导目录（2010年本）》，结合项目的生产工艺及产品，不属于</w:t>
            </w:r>
            <w:r>
              <w:rPr>
                <w:rFonts w:hint="eastAsia"/>
                <w:bCs/>
                <w:snapToGrid w:val="0"/>
                <w:kern w:val="0"/>
                <w:sz w:val="24"/>
              </w:rPr>
              <w:t>“</w:t>
            </w:r>
            <w:r>
              <w:rPr>
                <w:bCs/>
                <w:snapToGrid w:val="0"/>
                <w:kern w:val="0"/>
                <w:sz w:val="24"/>
              </w:rPr>
              <w:t>不符合有关法律法规规定，严重浪费资源、污染环境、不具备安全生产条件，需要淘汰的落后生产工艺装备和产品</w:t>
            </w:r>
            <w:r>
              <w:rPr>
                <w:rFonts w:hint="eastAsia"/>
                <w:bCs/>
                <w:snapToGrid w:val="0"/>
                <w:kern w:val="0"/>
                <w:sz w:val="24"/>
              </w:rPr>
              <w:t>”</w:t>
            </w:r>
            <w:r>
              <w:rPr>
                <w:bCs/>
                <w:snapToGrid w:val="0"/>
                <w:kern w:val="0"/>
                <w:sz w:val="24"/>
              </w:rPr>
              <w:t>。</w:t>
            </w:r>
          </w:p>
          <w:p>
            <w:pPr>
              <w:autoSpaceDE w:val="0"/>
              <w:autoSpaceDN w:val="0"/>
              <w:adjustRightInd w:val="0"/>
              <w:snapToGrid w:val="0"/>
              <w:spacing w:line="360" w:lineRule="auto"/>
              <w:ind w:firstLine="480" w:firstLineChars="200"/>
              <w:rPr>
                <w:sz w:val="24"/>
              </w:rPr>
            </w:pPr>
            <w:r>
              <w:rPr>
                <w:rFonts w:hint="eastAsia"/>
                <w:bCs/>
                <w:sz w:val="24"/>
              </w:rPr>
              <w:t>根据《市场准入负面清单（2022年版）》（</w:t>
            </w:r>
            <w:r>
              <w:rPr>
                <w:bCs/>
                <w:sz w:val="24"/>
              </w:rPr>
              <w:t>发改体改规〔2022〕397号</w:t>
            </w:r>
            <w:r>
              <w:rPr>
                <w:rFonts w:hint="eastAsia"/>
                <w:bCs/>
                <w:sz w:val="24"/>
              </w:rPr>
              <w:t>）</w:t>
            </w:r>
            <w:r>
              <w:rPr>
                <w:rFonts w:hint="eastAsia"/>
                <w:sz w:val="24"/>
              </w:rPr>
              <w:t>：“</w:t>
            </w:r>
            <w:r>
              <w:rPr>
                <w:sz w:val="24"/>
              </w:rPr>
              <w:t>对市场准入负面清单以外的行业、领域、业务等，各类市场主体皆可依法平等进入</w:t>
            </w:r>
            <w:r>
              <w:rPr>
                <w:rFonts w:hint="eastAsia"/>
                <w:sz w:val="24"/>
              </w:rPr>
              <w:t>”</w:t>
            </w:r>
            <w:r>
              <w:rPr>
                <w:sz w:val="24"/>
              </w:rPr>
              <w:t>。本项目对照《市场准入负面清单（202</w:t>
            </w:r>
            <w:r>
              <w:rPr>
                <w:rFonts w:hint="eastAsia"/>
                <w:sz w:val="24"/>
              </w:rPr>
              <w:t>2</w:t>
            </w:r>
            <w:r>
              <w:rPr>
                <w:sz w:val="24"/>
              </w:rPr>
              <w:t>年本）》，不属于负面清单内的行业，因此可依法进入市场。</w:t>
            </w:r>
          </w:p>
          <w:p>
            <w:pPr>
              <w:autoSpaceDE w:val="0"/>
              <w:autoSpaceDN w:val="0"/>
              <w:adjustRightInd w:val="0"/>
              <w:snapToGrid w:val="0"/>
              <w:spacing w:line="360" w:lineRule="auto"/>
              <w:ind w:firstLine="480" w:firstLineChars="200"/>
              <w:rPr>
                <w:sz w:val="24"/>
              </w:rPr>
            </w:pPr>
            <w:r>
              <w:rPr>
                <w:rFonts w:hint="eastAsia"/>
                <w:sz w:val="24"/>
              </w:rPr>
              <w:t>同时，陕西昌源油联复合材料有限公司已取得靖边县行政审批服务局关于印发的“高强度复合纤维复合塑料生产项目”备案确认书，项目代码：</w:t>
            </w:r>
            <w:r>
              <w:rPr>
                <w:sz w:val="24"/>
                <w:szCs w:val="24"/>
              </w:rPr>
              <w:t>2307-610824-04-02-687817</w:t>
            </w:r>
            <w:r>
              <w:rPr>
                <w:rFonts w:hint="eastAsia"/>
                <w:sz w:val="24"/>
              </w:rPr>
              <w:t>。详见附件2。</w:t>
            </w:r>
          </w:p>
          <w:p>
            <w:pPr>
              <w:autoSpaceDE w:val="0"/>
              <w:autoSpaceDN w:val="0"/>
              <w:adjustRightInd w:val="0"/>
              <w:snapToGrid w:val="0"/>
              <w:spacing w:line="360" w:lineRule="auto"/>
              <w:ind w:firstLine="480" w:firstLineChars="200"/>
              <w:rPr>
                <w:sz w:val="24"/>
              </w:rPr>
            </w:pPr>
            <w:r>
              <w:rPr>
                <w:rFonts w:hint="eastAsia"/>
                <w:sz w:val="24"/>
              </w:rPr>
              <w:t>综上，</w:t>
            </w:r>
            <w:r>
              <w:rPr>
                <w:rFonts w:hint="eastAsia"/>
                <w:sz w:val="24"/>
                <w:lang w:val="en-GB"/>
              </w:rPr>
              <w:t>项目建设符合</w:t>
            </w:r>
            <w:r>
              <w:rPr>
                <w:rFonts w:hint="eastAsia"/>
                <w:sz w:val="24"/>
              </w:rPr>
              <w:t>国家、地方和行业</w:t>
            </w:r>
            <w:r>
              <w:rPr>
                <w:rFonts w:hint="eastAsia"/>
                <w:sz w:val="24"/>
                <w:lang w:val="en-GB"/>
              </w:rPr>
              <w:t>产业政策。</w:t>
            </w:r>
          </w:p>
          <w:p>
            <w:pPr>
              <w:adjustRightInd w:val="0"/>
              <w:snapToGrid w:val="0"/>
              <w:spacing w:line="360" w:lineRule="auto"/>
              <w:jc w:val="left"/>
              <w:rPr>
                <w:rFonts w:cs="宋体"/>
                <w:b/>
                <w:kern w:val="0"/>
                <w:sz w:val="24"/>
                <w:szCs w:val="24"/>
              </w:rPr>
            </w:pPr>
            <w:r>
              <w:rPr>
                <w:rFonts w:hint="eastAsia" w:cs="宋体"/>
                <w:b/>
                <w:sz w:val="24"/>
                <w:szCs w:val="24"/>
              </w:rPr>
              <w:t>2</w:t>
            </w:r>
            <w:r>
              <w:rPr>
                <w:rFonts w:hint="eastAsia" w:cs="宋体"/>
                <w:b/>
                <w:kern w:val="0"/>
                <w:sz w:val="24"/>
                <w:szCs w:val="24"/>
              </w:rPr>
              <w:t>、项目与榆林市多规合一符合性</w:t>
            </w:r>
          </w:p>
          <w:p>
            <w:pPr>
              <w:adjustRightInd w:val="0"/>
              <w:spacing w:line="360" w:lineRule="auto"/>
              <w:ind w:firstLine="360" w:firstLineChars="150"/>
              <w:rPr>
                <w:sz w:val="24"/>
                <w:szCs w:val="24"/>
              </w:rPr>
            </w:pPr>
            <w:r>
              <w:rPr>
                <w:rFonts w:hint="eastAsia"/>
                <w:sz w:val="24"/>
                <w:szCs w:val="24"/>
              </w:rPr>
              <w:t>根据榆林市人民政府办公室榆政发〔2016〕40号文关于印发《榆林市“多规合一”工作管理办法的通知》中相关规定，依据“榆林市投资项目选址‘一张图’控制线检测报告”（2023（530）号）（详见附件7），本项目位于靖边县经济技术开发区创业创新园，项目建设不涉及生态红线，多规合一检测均符合相关要求，具体分析见下表。</w:t>
            </w:r>
          </w:p>
          <w:p>
            <w:pPr>
              <w:pStyle w:val="15"/>
              <w:spacing w:line="360" w:lineRule="auto"/>
              <w:jc w:val="center"/>
              <w:rPr>
                <w:rFonts w:ascii="Times New Roman" w:hAnsi="Times New Roman"/>
                <w:b/>
                <w:bCs/>
                <w:sz w:val="21"/>
                <w:szCs w:val="21"/>
              </w:rPr>
            </w:pPr>
            <w:r>
              <w:rPr>
                <w:rFonts w:ascii="Times New Roman" w:hAnsi="Times New Roman"/>
                <w:b/>
                <w:bCs/>
                <w:sz w:val="21"/>
                <w:szCs w:val="21"/>
              </w:rPr>
              <w:t>表</w:t>
            </w:r>
            <w:r>
              <w:rPr>
                <w:rFonts w:hint="eastAsia" w:ascii="Times New Roman" w:hAnsi="Times New Roman"/>
                <w:b/>
                <w:bCs/>
                <w:sz w:val="21"/>
                <w:szCs w:val="21"/>
              </w:rPr>
              <w:t xml:space="preserve">1-3   </w:t>
            </w:r>
            <w:r>
              <w:rPr>
                <w:rFonts w:ascii="Times New Roman" w:hAnsi="Times New Roman"/>
                <w:b/>
                <w:bCs/>
                <w:sz w:val="21"/>
                <w:szCs w:val="21"/>
              </w:rPr>
              <w:t>项目</w:t>
            </w:r>
            <w:r>
              <w:rPr>
                <w:rFonts w:hint="eastAsia" w:ascii="Times New Roman" w:hAnsi="Times New Roman"/>
                <w:b/>
                <w:bCs/>
                <w:sz w:val="21"/>
                <w:szCs w:val="21"/>
              </w:rPr>
              <w:t>与榆林市“多规合一”</w:t>
            </w:r>
            <w:r>
              <w:rPr>
                <w:rFonts w:ascii="Times New Roman" w:hAnsi="Times New Roman"/>
                <w:b/>
                <w:bCs/>
                <w:sz w:val="21"/>
                <w:szCs w:val="21"/>
              </w:rPr>
              <w:t>控制线检测</w:t>
            </w:r>
            <w:r>
              <w:rPr>
                <w:rFonts w:hint="eastAsia" w:ascii="Times New Roman" w:hAnsi="Times New Roman"/>
                <w:b/>
                <w:bCs/>
                <w:sz w:val="21"/>
                <w:szCs w:val="21"/>
              </w:rPr>
              <w:t>符合性</w:t>
            </w:r>
            <w:r>
              <w:rPr>
                <w:rFonts w:ascii="Times New Roman" w:hAnsi="Times New Roman"/>
                <w:b/>
                <w:bCs/>
                <w:sz w:val="21"/>
                <w:szCs w:val="21"/>
              </w:rPr>
              <w:t>分析</w:t>
            </w:r>
          </w:p>
          <w:tbl>
            <w:tblPr>
              <w:tblStyle w:val="3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78"/>
              <w:gridCol w:w="2718"/>
              <w:gridCol w:w="2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b/>
                      <w:szCs w:val="24"/>
                    </w:rPr>
                  </w:pPr>
                  <w:r>
                    <w:rPr>
                      <w:rFonts w:cs="Times New Roman"/>
                      <w:b/>
                      <w:szCs w:val="24"/>
                    </w:rPr>
                    <w:t>内容</w:t>
                  </w:r>
                </w:p>
              </w:tc>
              <w:tc>
                <w:tcPr>
                  <w:tcW w:w="1715" w:type="pct"/>
                  <w:vAlign w:val="center"/>
                </w:tcPr>
                <w:p>
                  <w:pPr>
                    <w:pStyle w:val="148"/>
                    <w:rPr>
                      <w:rFonts w:cs="Times New Roman"/>
                      <w:b/>
                      <w:szCs w:val="24"/>
                    </w:rPr>
                  </w:pPr>
                  <w:r>
                    <w:rPr>
                      <w:rFonts w:hint="eastAsia" w:cs="Times New Roman"/>
                      <w:b/>
                      <w:szCs w:val="24"/>
                    </w:rPr>
                    <w:t>检测结果及意见</w:t>
                  </w:r>
                </w:p>
              </w:tc>
              <w:tc>
                <w:tcPr>
                  <w:tcW w:w="1595" w:type="pct"/>
                  <w:vAlign w:val="center"/>
                </w:tcPr>
                <w:p>
                  <w:pPr>
                    <w:pStyle w:val="148"/>
                    <w:rPr>
                      <w:rFonts w:cs="Times New Roman"/>
                      <w:b/>
                      <w:szCs w:val="24"/>
                    </w:rPr>
                  </w:pPr>
                  <w:r>
                    <w:rPr>
                      <w:rFonts w:hint="eastAsia" w:cs="Times New Roman"/>
                      <w:b/>
                      <w:szCs w:val="24"/>
                    </w:rPr>
                    <w:t>本项目符合性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1690" w:type="pct"/>
                  <w:vAlign w:val="center"/>
                </w:tcPr>
                <w:p>
                  <w:pPr>
                    <w:pStyle w:val="148"/>
                    <w:rPr>
                      <w:rFonts w:cs="Times New Roman"/>
                      <w:szCs w:val="24"/>
                    </w:rPr>
                  </w:pPr>
                  <w:r>
                    <w:rPr>
                      <w:rFonts w:hint="eastAsia" w:cs="Times New Roman"/>
                      <w:szCs w:val="24"/>
                    </w:rPr>
                    <w:t>文物保护线分析</w:t>
                  </w:r>
                </w:p>
              </w:tc>
              <w:tc>
                <w:tcPr>
                  <w:tcW w:w="1715" w:type="pct"/>
                  <w:vAlign w:val="center"/>
                </w:tcPr>
                <w:p>
                  <w:pPr>
                    <w:jc w:val="center"/>
                    <w:rPr>
                      <w:szCs w:val="24"/>
                    </w:rPr>
                  </w:pPr>
                  <w:r>
                    <w:rPr>
                      <w:rFonts w:hint="eastAsia"/>
                      <w:szCs w:val="24"/>
                    </w:rPr>
                    <w:t>不涉及</w:t>
                  </w:r>
                </w:p>
              </w:tc>
              <w:tc>
                <w:tcPr>
                  <w:tcW w:w="1595" w:type="pct"/>
                  <w:vAlign w:val="center"/>
                </w:tcPr>
                <w:p>
                  <w:pPr>
                    <w:pStyle w:val="148"/>
                    <w:rPr>
                      <w:rFonts w:cs="Times New Roman"/>
                      <w:szCs w:val="21"/>
                    </w:rPr>
                  </w:pPr>
                  <w:r>
                    <w:rPr>
                      <w:rFonts w:hint="eastAsia" w:cs="Times New Roman"/>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szCs w:val="24"/>
                    </w:rPr>
                  </w:pPr>
                  <w:r>
                    <w:rPr>
                      <w:rFonts w:hint="eastAsia" w:cs="Times New Roman"/>
                      <w:szCs w:val="24"/>
                    </w:rPr>
                    <w:t>生态保护红线分析</w:t>
                  </w:r>
                </w:p>
              </w:tc>
              <w:tc>
                <w:tcPr>
                  <w:tcW w:w="1715" w:type="pct"/>
                  <w:vAlign w:val="center"/>
                </w:tcPr>
                <w:p>
                  <w:pPr>
                    <w:autoSpaceDE w:val="0"/>
                    <w:autoSpaceDN w:val="0"/>
                    <w:adjustRightInd w:val="0"/>
                    <w:spacing w:before="1"/>
                    <w:jc w:val="center"/>
                    <w:rPr>
                      <w:szCs w:val="24"/>
                    </w:rPr>
                  </w:pPr>
                  <w:r>
                    <w:rPr>
                      <w:rFonts w:hint="eastAsia"/>
                      <w:szCs w:val="24"/>
                    </w:rPr>
                    <w:t>不涉及</w:t>
                  </w:r>
                </w:p>
              </w:tc>
              <w:tc>
                <w:tcPr>
                  <w:tcW w:w="1595" w:type="pct"/>
                  <w:vAlign w:val="center"/>
                </w:tcPr>
                <w:p>
                  <w:pPr>
                    <w:jc w:val="center"/>
                    <w:rPr>
                      <w:szCs w:val="24"/>
                    </w:rP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szCs w:val="24"/>
                    </w:rPr>
                  </w:pPr>
                  <w:r>
                    <w:rPr>
                      <w:rFonts w:hint="eastAsia" w:cs="Times New Roman"/>
                      <w:szCs w:val="24"/>
                    </w:rPr>
                    <w:t>林地规划分析</w:t>
                  </w:r>
                </w:p>
              </w:tc>
              <w:tc>
                <w:tcPr>
                  <w:tcW w:w="1715" w:type="pct"/>
                  <w:vAlign w:val="center"/>
                </w:tcPr>
                <w:p>
                  <w:pPr>
                    <w:pStyle w:val="148"/>
                    <w:rPr>
                      <w:rFonts w:cs="Times New Roman"/>
                      <w:szCs w:val="24"/>
                    </w:rPr>
                  </w:pPr>
                  <w:r>
                    <w:rPr>
                      <w:rFonts w:hint="eastAsia" w:cs="Times New Roman"/>
                      <w:szCs w:val="24"/>
                    </w:rPr>
                    <w:t>建设用地（非林地）</w:t>
                  </w:r>
                </w:p>
              </w:tc>
              <w:tc>
                <w:tcPr>
                  <w:tcW w:w="1595" w:type="pct"/>
                  <w:vAlign w:val="center"/>
                </w:tcPr>
                <w:p>
                  <w:pPr>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szCs w:val="24"/>
                    </w:rPr>
                  </w:pPr>
                  <w:r>
                    <w:rPr>
                      <w:rFonts w:hint="eastAsia" w:cs="Times New Roman"/>
                      <w:szCs w:val="24"/>
                    </w:rPr>
                    <w:t>土地利用现状分析</w:t>
                  </w:r>
                </w:p>
              </w:tc>
              <w:tc>
                <w:tcPr>
                  <w:tcW w:w="1715" w:type="pct"/>
                  <w:vAlign w:val="center"/>
                </w:tcPr>
                <w:p>
                  <w:pPr>
                    <w:pStyle w:val="148"/>
                    <w:rPr>
                      <w:rFonts w:cs="Times New Roman"/>
                      <w:szCs w:val="24"/>
                    </w:rPr>
                  </w:pPr>
                  <w:r>
                    <w:rPr>
                      <w:rFonts w:hint="eastAsia" w:cs="Times New Roman"/>
                      <w:szCs w:val="24"/>
                    </w:rPr>
                    <w:t>工业用地</w:t>
                  </w:r>
                </w:p>
              </w:tc>
              <w:tc>
                <w:tcPr>
                  <w:tcW w:w="1595" w:type="pct"/>
                  <w:vAlign w:val="center"/>
                </w:tcPr>
                <w:p>
                  <w:pPr>
                    <w:jc w:val="center"/>
                    <w:rPr>
                      <w:szCs w:val="24"/>
                    </w:rP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szCs w:val="24"/>
                    </w:rPr>
                  </w:pPr>
                  <w:r>
                    <w:rPr>
                      <w:rFonts w:hint="eastAsia" w:cs="Times New Roman"/>
                      <w:szCs w:val="24"/>
                    </w:rPr>
                    <w:t>矿区图层分析</w:t>
                  </w:r>
                </w:p>
              </w:tc>
              <w:tc>
                <w:tcPr>
                  <w:tcW w:w="1715" w:type="pct"/>
                  <w:vAlign w:val="center"/>
                </w:tcPr>
                <w:p>
                  <w:pPr>
                    <w:pStyle w:val="148"/>
                    <w:rPr>
                      <w:rFonts w:cs="Times New Roman"/>
                      <w:szCs w:val="24"/>
                    </w:rPr>
                  </w:pPr>
                  <w:r>
                    <w:rPr>
                      <w:rFonts w:hint="eastAsia" w:cs="Times New Roman"/>
                      <w:szCs w:val="24"/>
                    </w:rPr>
                    <w:t>不涉及</w:t>
                  </w:r>
                </w:p>
              </w:tc>
              <w:tc>
                <w:tcPr>
                  <w:tcW w:w="1595" w:type="pct"/>
                </w:tcPr>
                <w:p>
                  <w:pPr>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pStyle w:val="148"/>
                    <w:rPr>
                      <w:rFonts w:cs="Times New Roman"/>
                      <w:szCs w:val="24"/>
                    </w:rPr>
                  </w:pPr>
                  <w:r>
                    <w:rPr>
                      <w:rFonts w:hint="eastAsia" w:cs="Times New Roman"/>
                      <w:szCs w:val="24"/>
                    </w:rPr>
                    <w:t>永久基本农田分析</w:t>
                  </w:r>
                </w:p>
              </w:tc>
              <w:tc>
                <w:tcPr>
                  <w:tcW w:w="1715" w:type="pct"/>
                  <w:vAlign w:val="center"/>
                </w:tcPr>
                <w:p>
                  <w:pPr>
                    <w:jc w:val="center"/>
                  </w:pPr>
                  <w:r>
                    <w:rPr>
                      <w:rFonts w:hint="eastAsia"/>
                    </w:rPr>
                    <w:t>不涉及</w:t>
                  </w:r>
                </w:p>
              </w:tc>
              <w:tc>
                <w:tcPr>
                  <w:tcW w:w="1595" w:type="pct"/>
                </w:tcPr>
                <w:p>
                  <w:pPr>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jc w:val="center"/>
                  </w:pPr>
                  <w:r>
                    <w:rPr>
                      <w:rFonts w:hint="eastAsia"/>
                    </w:rPr>
                    <w:t>土地用途区分析</w:t>
                  </w:r>
                </w:p>
              </w:tc>
              <w:tc>
                <w:tcPr>
                  <w:tcW w:w="1715" w:type="pct"/>
                  <w:vAlign w:val="center"/>
                </w:tcPr>
                <w:p>
                  <w:pPr>
                    <w:jc w:val="center"/>
                  </w:pPr>
                  <w:r>
                    <w:rPr>
                      <w:rFonts w:hint="eastAsia"/>
                    </w:rPr>
                    <w:t>城镇建设用地区</w:t>
                  </w:r>
                </w:p>
              </w:tc>
              <w:tc>
                <w:tcPr>
                  <w:tcW w:w="1595" w:type="pct"/>
                  <w:vAlign w:val="center"/>
                </w:tcPr>
                <w:p>
                  <w:pPr>
                    <w:jc w:val="center"/>
                  </w:pPr>
                  <w:r>
                    <w:rPr>
                      <w:rFonts w:hint="eastAsia"/>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90" w:type="pct"/>
                  <w:vAlign w:val="center"/>
                </w:tcPr>
                <w:p>
                  <w:pPr>
                    <w:jc w:val="center"/>
                  </w:pPr>
                  <w:r>
                    <w:rPr>
                      <w:rFonts w:hint="eastAsia"/>
                    </w:rPr>
                    <w:t>电磁环境保护区分析</w:t>
                  </w:r>
                </w:p>
              </w:tc>
              <w:tc>
                <w:tcPr>
                  <w:tcW w:w="1715" w:type="pct"/>
                  <w:vAlign w:val="center"/>
                </w:tcPr>
                <w:p>
                  <w:pPr>
                    <w:jc w:val="center"/>
                  </w:pPr>
                  <w:r>
                    <w:rPr>
                      <w:rFonts w:hint="eastAsia"/>
                    </w:rPr>
                    <w:t>不涉及</w:t>
                  </w:r>
                </w:p>
              </w:tc>
              <w:tc>
                <w:tcPr>
                  <w:tcW w:w="1595" w:type="pct"/>
                </w:tcPr>
                <w:p>
                  <w:pPr>
                    <w:jc w:val="center"/>
                  </w:pPr>
                  <w:r>
                    <w:rPr>
                      <w:rFonts w:hint="eastAsia"/>
                    </w:rPr>
                    <w:t>符合</w:t>
                  </w:r>
                </w:p>
              </w:tc>
            </w:tr>
          </w:tbl>
          <w:p>
            <w:pPr>
              <w:adjustRightInd w:val="0"/>
              <w:snapToGrid w:val="0"/>
              <w:spacing w:line="360" w:lineRule="auto"/>
              <w:jc w:val="left"/>
              <w:rPr>
                <w:rFonts w:cs="宋体"/>
                <w:b/>
                <w:kern w:val="0"/>
                <w:sz w:val="24"/>
                <w:szCs w:val="24"/>
              </w:rPr>
            </w:pPr>
            <w:r>
              <w:rPr>
                <w:rFonts w:hint="eastAsia" w:cs="宋体"/>
                <w:b/>
                <w:sz w:val="24"/>
                <w:szCs w:val="24"/>
              </w:rPr>
              <w:t>3</w:t>
            </w:r>
            <w:r>
              <w:rPr>
                <w:rFonts w:hint="eastAsia" w:cs="宋体"/>
                <w:b/>
                <w:kern w:val="0"/>
                <w:sz w:val="24"/>
                <w:szCs w:val="24"/>
              </w:rPr>
              <w:t>、项目与“三线一单”符合性</w:t>
            </w:r>
          </w:p>
          <w:p>
            <w:pPr>
              <w:adjustRightInd w:val="0"/>
              <w:spacing w:line="360" w:lineRule="auto"/>
              <w:ind w:firstLine="480" w:firstLineChars="200"/>
              <w:rPr>
                <w:sz w:val="24"/>
                <w:szCs w:val="32"/>
              </w:rPr>
            </w:pPr>
            <w:r>
              <w:rPr>
                <w:rFonts w:hint="eastAsia"/>
                <w:sz w:val="24"/>
                <w:szCs w:val="32"/>
              </w:rPr>
              <w:t>根据</w:t>
            </w:r>
            <w:r>
              <w:rPr>
                <w:sz w:val="24"/>
              </w:rPr>
              <w:t>《</w:t>
            </w:r>
            <w:r>
              <w:rPr>
                <w:rFonts w:hint="eastAsia"/>
                <w:sz w:val="24"/>
              </w:rPr>
              <w:t>榆林市 “</w:t>
            </w:r>
            <w:r>
              <w:rPr>
                <w:sz w:val="24"/>
              </w:rPr>
              <w:t>三线一单</w:t>
            </w:r>
            <w:r>
              <w:rPr>
                <w:rFonts w:hint="eastAsia"/>
                <w:sz w:val="24"/>
              </w:rPr>
              <w:t>”</w:t>
            </w:r>
            <w:r>
              <w:rPr>
                <w:sz w:val="24"/>
              </w:rPr>
              <w:t>生态环境分区管控实施方案》</w:t>
            </w:r>
            <w:r>
              <w:rPr>
                <w:rFonts w:hint="eastAsia"/>
                <w:sz w:val="24"/>
              </w:rPr>
              <w:t>（榆政发〔2021〕17号）</w:t>
            </w:r>
            <w:r>
              <w:rPr>
                <w:rFonts w:hint="eastAsia"/>
                <w:sz w:val="24"/>
                <w:szCs w:val="32"/>
              </w:rPr>
              <w:t>与《陕西省“三线一单”生态环境分区管控实施方案》</w:t>
            </w:r>
            <w:r>
              <w:rPr>
                <w:sz w:val="24"/>
                <w:szCs w:val="32"/>
              </w:rPr>
              <w:t>，本项目</w:t>
            </w:r>
            <w:r>
              <w:rPr>
                <w:rFonts w:hint="eastAsia"/>
                <w:sz w:val="24"/>
                <w:szCs w:val="32"/>
              </w:rPr>
              <w:t>位于陕西省榆林市靖边县经济技术开发区创业创新园，</w:t>
            </w:r>
            <w:r>
              <w:rPr>
                <w:sz w:val="24"/>
                <w:szCs w:val="32"/>
              </w:rPr>
              <w:t>属于</w:t>
            </w:r>
            <w:r>
              <w:rPr>
                <w:rFonts w:hint="eastAsia"/>
                <w:sz w:val="24"/>
                <w:szCs w:val="32"/>
              </w:rPr>
              <w:t>一般</w:t>
            </w:r>
            <w:r>
              <w:rPr>
                <w:sz w:val="24"/>
                <w:szCs w:val="32"/>
              </w:rPr>
              <w:t>管控单元</w:t>
            </w:r>
            <w:r>
              <w:rPr>
                <w:rFonts w:hint="eastAsia"/>
                <w:sz w:val="24"/>
                <w:szCs w:val="32"/>
              </w:rPr>
              <w:t>。应《陕西省“三线一单”生态环境分区管控应用技术指南：环境影响评价（试行）》（陕环办发〔2022〕76 号）的要求，本次评价采取“一图一表一说明”的表达方式。</w:t>
            </w:r>
          </w:p>
          <w:p>
            <w:pPr>
              <w:autoSpaceDE w:val="0"/>
              <w:autoSpaceDN w:val="0"/>
              <w:adjustRightInd w:val="0"/>
              <w:snapToGrid w:val="0"/>
              <w:spacing w:line="360" w:lineRule="auto"/>
              <w:ind w:firstLine="482" w:firstLineChars="200"/>
              <w:rPr>
                <w:b/>
                <w:kern w:val="0"/>
                <w:sz w:val="24"/>
              </w:rPr>
            </w:pPr>
            <w:r>
              <w:rPr>
                <w:rFonts w:hint="eastAsia"/>
                <w:b/>
                <w:kern w:val="0"/>
                <w:sz w:val="24"/>
              </w:rPr>
              <w:t>（1）一图</w:t>
            </w:r>
          </w:p>
          <w:p>
            <w:pPr>
              <w:adjustRightInd w:val="0"/>
              <w:spacing w:line="360" w:lineRule="auto"/>
              <w:ind w:firstLine="360" w:firstLineChars="150"/>
              <w:rPr>
                <w:kern w:val="0"/>
                <w:sz w:val="24"/>
              </w:rPr>
            </w:pPr>
            <w:r>
              <w:rPr>
                <w:rFonts w:hint="eastAsia"/>
                <w:kern w:val="0"/>
                <w:sz w:val="24"/>
              </w:rPr>
              <w:t>本项目位于陕西省榆林市靖边县经济技术开发区创业创新园，根据</w:t>
            </w:r>
            <w:r>
              <w:rPr>
                <w:sz w:val="24"/>
              </w:rPr>
              <w:t>《</w:t>
            </w:r>
            <w:r>
              <w:rPr>
                <w:rFonts w:hint="eastAsia"/>
                <w:sz w:val="24"/>
              </w:rPr>
              <w:t>榆林市 “</w:t>
            </w:r>
            <w:r>
              <w:rPr>
                <w:sz w:val="24"/>
              </w:rPr>
              <w:t>三线一单</w:t>
            </w:r>
            <w:r>
              <w:rPr>
                <w:rFonts w:hint="eastAsia"/>
                <w:sz w:val="24"/>
              </w:rPr>
              <w:t>”</w:t>
            </w:r>
            <w:r>
              <w:rPr>
                <w:sz w:val="24"/>
              </w:rPr>
              <w:t>生态环境分区管控实施方案》</w:t>
            </w:r>
            <w:r>
              <w:rPr>
                <w:rFonts w:hint="eastAsia"/>
                <w:sz w:val="24"/>
              </w:rPr>
              <w:t>（榆政发〔2021〕17号）</w:t>
            </w:r>
            <w:r>
              <w:rPr>
                <w:rFonts w:hint="eastAsia"/>
                <w:kern w:val="0"/>
                <w:sz w:val="24"/>
              </w:rPr>
              <w:t>，本项目属于重点管控单元，不涉及生态保护红线，项目与榆林市生态环境管控单元对照分析图见下图。</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18" w:type="dxa"/>
                </w:tcPr>
                <w:p>
                  <w:pPr>
                    <w:pStyle w:val="2"/>
                    <w:ind w:firstLine="0"/>
                    <w:jc w:val="center"/>
                  </w:pPr>
                  <w:r>
                    <w:rPr>
                      <w:rFonts w:hint="eastAsia"/>
                    </w:rPr>
                    <w:t>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518" w:type="dxa"/>
                </w:tcPr>
                <w:p>
                  <w:pPr>
                    <w:pStyle w:val="2"/>
                    <w:ind w:firstLine="0"/>
                  </w:pPr>
                  <w:r>
                    <w:rPr>
                      <w:rFonts w:hint="eastAsia"/>
                    </w:rPr>
                    <w:drawing>
                      <wp:inline distT="0" distB="0" distL="0" distR="0">
                        <wp:extent cx="4867275" cy="3743325"/>
                        <wp:effectExtent l="19050" t="0" r="9525"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noChangeArrowheads="1"/>
                                </pic:cNvPicPr>
                              </pic:nvPicPr>
                              <pic:blipFill>
                                <a:blip r:embed="rId9"/>
                                <a:srcRect/>
                                <a:stretch>
                                  <a:fillRect/>
                                </a:stretch>
                              </pic:blipFill>
                              <pic:spPr>
                                <a:xfrm>
                                  <a:off x="0" y="0"/>
                                  <a:ext cx="4871574" cy="3746729"/>
                                </a:xfrm>
                                <a:prstGeom prst="rect">
                                  <a:avLst/>
                                </a:prstGeom>
                                <a:noFill/>
                                <a:ln w="9525">
                                  <a:noFill/>
                                  <a:miter lim="800000"/>
                                  <a:headEnd/>
                                  <a:tailEnd/>
                                </a:ln>
                              </pic:spPr>
                            </pic:pic>
                          </a:graphicData>
                        </a:graphic>
                      </wp:inline>
                    </w:drawing>
                  </w:r>
                </w:p>
              </w:tc>
            </w:tr>
          </w:tbl>
          <w:p>
            <w:pPr>
              <w:autoSpaceDE w:val="0"/>
              <w:autoSpaceDN w:val="0"/>
              <w:adjustRightInd w:val="0"/>
              <w:snapToGrid w:val="0"/>
              <w:spacing w:line="360" w:lineRule="auto"/>
              <w:ind w:firstLine="482" w:firstLineChars="200"/>
              <w:rPr>
                <w:b/>
                <w:kern w:val="0"/>
                <w:sz w:val="24"/>
              </w:rPr>
            </w:pPr>
            <w:r>
              <w:rPr>
                <w:rFonts w:hint="eastAsia"/>
                <w:b/>
                <w:kern w:val="0"/>
                <w:sz w:val="24"/>
              </w:rPr>
              <w:t>（2）一表</w:t>
            </w:r>
          </w:p>
          <w:p>
            <w:pPr>
              <w:adjustRightInd w:val="0"/>
              <w:spacing w:line="360" w:lineRule="auto"/>
              <w:ind w:firstLine="360" w:firstLineChars="150"/>
              <w:rPr>
                <w:sz w:val="24"/>
              </w:rPr>
            </w:pPr>
            <w:r>
              <w:rPr>
                <w:rFonts w:hint="eastAsia"/>
                <w:sz w:val="24"/>
              </w:rPr>
              <w:t>根据</w:t>
            </w:r>
            <w:r>
              <w:rPr>
                <w:sz w:val="24"/>
              </w:rPr>
              <w:t>《</w:t>
            </w:r>
            <w:r>
              <w:rPr>
                <w:rFonts w:hint="eastAsia"/>
                <w:sz w:val="24"/>
              </w:rPr>
              <w:t>榆林市 “</w:t>
            </w:r>
            <w:r>
              <w:rPr>
                <w:sz w:val="24"/>
              </w:rPr>
              <w:t>三线一单</w:t>
            </w:r>
            <w:r>
              <w:rPr>
                <w:rFonts w:hint="eastAsia"/>
                <w:sz w:val="24"/>
              </w:rPr>
              <w:t>”</w:t>
            </w:r>
            <w:r>
              <w:rPr>
                <w:sz w:val="24"/>
              </w:rPr>
              <w:t>生态环境分区管控实施方案》</w:t>
            </w:r>
            <w:r>
              <w:rPr>
                <w:rFonts w:hint="eastAsia"/>
                <w:sz w:val="24"/>
              </w:rPr>
              <w:t>（榆政发〔2021〕17号），</w:t>
            </w:r>
            <w:r>
              <w:rPr>
                <w:kern w:val="0"/>
                <w:sz w:val="24"/>
              </w:rPr>
              <w:t>本项目</w:t>
            </w:r>
            <w:r>
              <w:rPr>
                <w:rFonts w:hint="eastAsia"/>
                <w:kern w:val="0"/>
                <w:sz w:val="24"/>
              </w:rPr>
              <w:t>与“三线一单”符合性分析</w:t>
            </w:r>
            <w:r>
              <w:rPr>
                <w:kern w:val="0"/>
                <w:sz w:val="24"/>
              </w:rPr>
              <w:t>见</w:t>
            </w:r>
            <w:r>
              <w:rPr>
                <w:rFonts w:hint="eastAsia"/>
                <w:sz w:val="24"/>
              </w:rPr>
              <w:t>下表</w:t>
            </w:r>
            <w:r>
              <w:rPr>
                <w:rFonts w:hint="eastAsia"/>
                <w:kern w:val="0"/>
                <w:sz w:val="24"/>
                <w:szCs w:val="24"/>
              </w:rPr>
              <w:t>。</w:t>
            </w:r>
          </w:p>
          <w:p>
            <w:pPr>
              <w:autoSpaceDE w:val="0"/>
              <w:autoSpaceDN w:val="0"/>
              <w:adjustRightInd w:val="0"/>
              <w:snapToGrid w:val="0"/>
              <w:spacing w:line="360" w:lineRule="auto"/>
              <w:ind w:firstLine="422" w:firstLineChars="200"/>
              <w:jc w:val="center"/>
              <w:rPr>
                <w:rFonts w:cs="宋体"/>
                <w:kern w:val="0"/>
                <w:sz w:val="24"/>
                <w:szCs w:val="24"/>
              </w:rPr>
            </w:pPr>
            <w:r>
              <w:rPr>
                <w:b/>
                <w:bCs/>
                <w:kern w:val="0"/>
              </w:rPr>
              <w:t>表1-</w:t>
            </w:r>
            <w:r>
              <w:rPr>
                <w:rFonts w:hint="eastAsia"/>
                <w:b/>
                <w:bCs/>
                <w:kern w:val="0"/>
              </w:rPr>
              <w:t>4 “</w:t>
            </w:r>
            <w:r>
              <w:rPr>
                <w:b/>
                <w:bCs/>
                <w:kern w:val="0"/>
              </w:rPr>
              <w:t>三线一单</w:t>
            </w:r>
            <w:r>
              <w:rPr>
                <w:rFonts w:hint="eastAsia"/>
                <w:b/>
                <w:bCs/>
                <w:kern w:val="0"/>
              </w:rPr>
              <w:t>”</w:t>
            </w:r>
            <w:r>
              <w:rPr>
                <w:b/>
                <w:bCs/>
                <w:kern w:val="0"/>
              </w:rPr>
              <w:t>符合性分析表</w:t>
            </w:r>
          </w:p>
        </w:tc>
      </w:tr>
    </w:tbl>
    <w:p>
      <w:pPr>
        <w:autoSpaceDE w:val="0"/>
        <w:autoSpaceDN w:val="0"/>
        <w:adjustRightInd w:val="0"/>
        <w:snapToGrid w:val="0"/>
        <w:jc w:val="center"/>
        <w:rPr>
          <w:rFonts w:cs="宋体"/>
          <w:kern w:val="0"/>
          <w:sz w:val="24"/>
          <w:szCs w:val="24"/>
        </w:rPr>
        <w:sectPr>
          <w:headerReference r:id="rId5" w:type="default"/>
          <w:footerReference r:id="rId6" w:type="default"/>
          <w:pgSz w:w="11906" w:h="16838"/>
          <w:pgMar w:top="1440" w:right="1531" w:bottom="1440" w:left="1531" w:header="851" w:footer="1077" w:gutter="0"/>
          <w:pgNumType w:start="1"/>
          <w:cols w:space="720" w:num="1"/>
          <w:docGrid w:linePitch="312" w:charSpace="0"/>
        </w:sectPr>
      </w:pPr>
    </w:p>
    <w:tbl>
      <w:tblPr>
        <w:tblStyle w:val="36"/>
        <w:tblW w:w="0" w:type="auto"/>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75" w:type="dxa"/>
          </w:tcPr>
          <w:tbl>
            <w:tblPr>
              <w:tblStyle w:val="36"/>
              <w:tblW w:w="14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2"/>
              <w:gridCol w:w="568"/>
              <w:gridCol w:w="456"/>
              <w:gridCol w:w="851"/>
              <w:gridCol w:w="708"/>
              <w:gridCol w:w="1703"/>
              <w:gridCol w:w="5668"/>
              <w:gridCol w:w="711"/>
              <w:gridCol w:w="2835"/>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44"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序号</w:t>
                  </w:r>
                </w:p>
              </w:tc>
              <w:tc>
                <w:tcPr>
                  <w:tcW w:w="194"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市（区）</w:t>
                  </w:r>
                </w:p>
              </w:tc>
              <w:tc>
                <w:tcPr>
                  <w:tcW w:w="156"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区县</w:t>
                  </w:r>
                </w:p>
              </w:tc>
              <w:tc>
                <w:tcPr>
                  <w:tcW w:w="291" w:type="pct"/>
                  <w:vAlign w:val="center"/>
                </w:tcPr>
                <w:p>
                  <w:pPr>
                    <w:pStyle w:val="2"/>
                    <w:spacing w:line="260" w:lineRule="exact"/>
                    <w:ind w:firstLine="0"/>
                    <w:jc w:val="center"/>
                    <w:rPr>
                      <w:rFonts w:ascii="Times New Roman" w:hAnsi="Times New Roman"/>
                      <w:spacing w:val="-20"/>
                      <w:sz w:val="21"/>
                      <w:szCs w:val="21"/>
                    </w:rPr>
                  </w:pPr>
                  <w:r>
                    <w:rPr>
                      <w:rFonts w:hint="eastAsia" w:ascii="Times New Roman"/>
                      <w:spacing w:val="-20"/>
                      <w:sz w:val="21"/>
                      <w:szCs w:val="21"/>
                    </w:rPr>
                    <w:t>环境管控单元名称</w:t>
                  </w:r>
                </w:p>
              </w:tc>
              <w:tc>
                <w:tcPr>
                  <w:tcW w:w="242" w:type="pct"/>
                  <w:vAlign w:val="center"/>
                </w:tcPr>
                <w:p>
                  <w:pPr>
                    <w:pStyle w:val="2"/>
                    <w:spacing w:line="260" w:lineRule="exact"/>
                    <w:ind w:firstLine="0"/>
                    <w:jc w:val="center"/>
                    <w:rPr>
                      <w:rFonts w:ascii="Times New Roman" w:hAnsi="Times New Roman"/>
                      <w:spacing w:val="-20"/>
                      <w:sz w:val="21"/>
                      <w:szCs w:val="21"/>
                    </w:rPr>
                  </w:pPr>
                  <w:r>
                    <w:rPr>
                      <w:rFonts w:hint="eastAsia" w:ascii="Times New Roman"/>
                      <w:spacing w:val="-20"/>
                      <w:sz w:val="21"/>
                      <w:szCs w:val="21"/>
                    </w:rPr>
                    <w:t>单元要素属性</w:t>
                  </w:r>
                </w:p>
              </w:tc>
              <w:tc>
                <w:tcPr>
                  <w:tcW w:w="582" w:type="pct"/>
                  <w:vAlign w:val="center"/>
                </w:tcPr>
                <w:p>
                  <w:pPr>
                    <w:pStyle w:val="2"/>
                    <w:spacing w:line="260" w:lineRule="exact"/>
                    <w:ind w:firstLine="0"/>
                    <w:jc w:val="center"/>
                    <w:rPr>
                      <w:rFonts w:ascii="Times New Roman" w:hAnsi="Times New Roman"/>
                      <w:spacing w:val="-20"/>
                      <w:sz w:val="21"/>
                      <w:szCs w:val="21"/>
                    </w:rPr>
                  </w:pPr>
                  <w:r>
                    <w:rPr>
                      <w:rFonts w:hint="eastAsia" w:ascii="Times New Roman"/>
                      <w:spacing w:val="-20"/>
                      <w:sz w:val="21"/>
                      <w:szCs w:val="21"/>
                    </w:rPr>
                    <w:t>管控单位分类</w:t>
                  </w:r>
                </w:p>
              </w:tc>
              <w:tc>
                <w:tcPr>
                  <w:tcW w:w="1937"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管控要求</w:t>
                  </w:r>
                </w:p>
              </w:tc>
              <w:tc>
                <w:tcPr>
                  <w:tcW w:w="243"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面积/长度</w:t>
                  </w:r>
                </w:p>
              </w:tc>
              <w:tc>
                <w:tcPr>
                  <w:tcW w:w="969"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本项目情况</w:t>
                  </w:r>
                </w:p>
              </w:tc>
              <w:tc>
                <w:tcPr>
                  <w:tcW w:w="242" w:type="pct"/>
                  <w:vAlign w:val="center"/>
                </w:tcPr>
                <w:p>
                  <w:pPr>
                    <w:pStyle w:val="2"/>
                    <w:tabs>
                      <w:tab w:val="left" w:pos="251"/>
                    </w:tabs>
                    <w:spacing w:line="260" w:lineRule="exact"/>
                    <w:ind w:firstLine="0"/>
                    <w:jc w:val="center"/>
                    <w:rPr>
                      <w:rFonts w:ascii="Times New Roman"/>
                      <w:sz w:val="21"/>
                      <w:szCs w:val="21"/>
                    </w:rPr>
                  </w:pPr>
                  <w:r>
                    <w:rPr>
                      <w:rFonts w:hint="eastAsia" w:ascii="Times New Roman"/>
                      <w:sz w:val="21"/>
                      <w:szCs w:val="21"/>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trPr>
              <w:tc>
                <w:tcPr>
                  <w:tcW w:w="144" w:type="pct"/>
                  <w:vAlign w:val="center"/>
                </w:tcPr>
                <w:p>
                  <w:pPr>
                    <w:pStyle w:val="2"/>
                    <w:ind w:firstLine="0"/>
                    <w:jc w:val="center"/>
                    <w:rPr>
                      <w:rFonts w:ascii="Times New Roman" w:hAnsi="Times New Roman"/>
                      <w:sz w:val="21"/>
                      <w:szCs w:val="21"/>
                    </w:rPr>
                  </w:pPr>
                  <w:r>
                    <w:rPr>
                      <w:rFonts w:hint="eastAsia" w:ascii="Times New Roman" w:hAnsi="Times New Roman"/>
                      <w:sz w:val="21"/>
                      <w:szCs w:val="21"/>
                    </w:rPr>
                    <w:t>1</w:t>
                  </w:r>
                </w:p>
              </w:tc>
              <w:tc>
                <w:tcPr>
                  <w:tcW w:w="194" w:type="pct"/>
                  <w:vAlign w:val="center"/>
                </w:tcPr>
                <w:p>
                  <w:pPr>
                    <w:pStyle w:val="2"/>
                    <w:ind w:firstLine="0"/>
                    <w:jc w:val="center"/>
                    <w:rPr>
                      <w:rFonts w:ascii="Times New Roman" w:hAnsi="Times New Roman"/>
                      <w:sz w:val="21"/>
                      <w:szCs w:val="21"/>
                    </w:rPr>
                  </w:pPr>
                  <w:r>
                    <w:rPr>
                      <w:rFonts w:hint="eastAsia" w:ascii="Times New Roman"/>
                      <w:sz w:val="21"/>
                      <w:szCs w:val="21"/>
                    </w:rPr>
                    <w:t>榆林市</w:t>
                  </w:r>
                </w:p>
              </w:tc>
              <w:tc>
                <w:tcPr>
                  <w:tcW w:w="156" w:type="pct"/>
                  <w:vAlign w:val="center"/>
                </w:tcPr>
                <w:p>
                  <w:pPr>
                    <w:pStyle w:val="2"/>
                    <w:ind w:firstLine="0"/>
                    <w:jc w:val="center"/>
                    <w:rPr>
                      <w:rFonts w:ascii="Times New Roman" w:hAnsi="Times New Roman"/>
                      <w:sz w:val="21"/>
                      <w:szCs w:val="21"/>
                    </w:rPr>
                  </w:pPr>
                  <w:r>
                    <w:rPr>
                      <w:rFonts w:hint="eastAsia" w:ascii="Times New Roman"/>
                      <w:sz w:val="21"/>
                      <w:szCs w:val="21"/>
                    </w:rPr>
                    <w:t>靖边县</w:t>
                  </w:r>
                </w:p>
              </w:tc>
              <w:tc>
                <w:tcPr>
                  <w:tcW w:w="291" w:type="pct"/>
                  <w:vAlign w:val="center"/>
                </w:tcPr>
                <w:p>
                  <w:pPr>
                    <w:pStyle w:val="2"/>
                    <w:ind w:firstLine="0"/>
                    <w:jc w:val="center"/>
                    <w:rPr>
                      <w:rFonts w:ascii="Times New Roman" w:hAnsi="Times New Roman"/>
                      <w:sz w:val="21"/>
                      <w:szCs w:val="21"/>
                    </w:rPr>
                  </w:pPr>
                  <w:r>
                    <w:rPr>
                      <w:rFonts w:hint="eastAsia" w:ascii="Times New Roman"/>
                      <w:sz w:val="21"/>
                      <w:szCs w:val="21"/>
                    </w:rPr>
                    <w:t>靖边经济技术开发区</w:t>
                  </w:r>
                </w:p>
              </w:tc>
              <w:tc>
                <w:tcPr>
                  <w:tcW w:w="242" w:type="pct"/>
                  <w:vAlign w:val="center"/>
                </w:tcPr>
                <w:p>
                  <w:pPr>
                    <w:pStyle w:val="2"/>
                    <w:ind w:firstLine="0"/>
                    <w:jc w:val="center"/>
                    <w:rPr>
                      <w:rFonts w:ascii="Times New Roman" w:hAnsi="Times New Roman"/>
                      <w:sz w:val="21"/>
                      <w:szCs w:val="21"/>
                    </w:rPr>
                  </w:pPr>
                  <w:r>
                    <w:rPr>
                      <w:rFonts w:hint="eastAsia" w:ascii="Times New Roman"/>
                      <w:sz w:val="21"/>
                      <w:szCs w:val="21"/>
                    </w:rPr>
                    <w:t>大气环境高排放重点管控区</w:t>
                  </w:r>
                </w:p>
              </w:tc>
              <w:tc>
                <w:tcPr>
                  <w:tcW w:w="582"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污染物排放管控</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1.</w:t>
                  </w:r>
                  <w:r>
                    <w:rPr>
                      <w:rFonts w:hint="eastAsia" w:ascii="Times New Roman"/>
                      <w:sz w:val="21"/>
                      <w:szCs w:val="21"/>
                    </w:rPr>
                    <w:t>完善大气污染防治设施，全面提高污染治理能力。</w:t>
                  </w:r>
                </w:p>
                <w:p>
                  <w:pPr>
                    <w:pStyle w:val="2"/>
                    <w:spacing w:line="260" w:lineRule="exact"/>
                    <w:ind w:firstLine="0"/>
                    <w:rPr>
                      <w:rFonts w:ascii="Times New Roman" w:hAnsi="Times New Roman"/>
                      <w:sz w:val="21"/>
                      <w:szCs w:val="21"/>
                    </w:rPr>
                  </w:pPr>
                  <w:r>
                    <w:rPr>
                      <w:rFonts w:hint="eastAsia" w:ascii="Times New Roman" w:hAnsi="Times New Roman"/>
                      <w:sz w:val="21"/>
                      <w:szCs w:val="21"/>
                    </w:rPr>
                    <w:t xml:space="preserve">2. </w:t>
                  </w:r>
                  <w:r>
                    <w:rPr>
                      <w:rFonts w:hint="eastAsia" w:ascii="Times New Roman"/>
                      <w:sz w:val="21"/>
                      <w:szCs w:val="21"/>
                    </w:rPr>
                    <w:t>关注氮氧化物和挥发性有机物的一次排放。</w:t>
                  </w:r>
                </w:p>
                <w:p>
                  <w:pPr>
                    <w:pStyle w:val="2"/>
                    <w:spacing w:line="260" w:lineRule="exact"/>
                    <w:ind w:firstLine="0"/>
                    <w:rPr>
                      <w:rFonts w:ascii="Times New Roman" w:hAnsi="Times New Roman"/>
                      <w:sz w:val="21"/>
                      <w:szCs w:val="21"/>
                    </w:rPr>
                  </w:pPr>
                  <w:r>
                    <w:rPr>
                      <w:rFonts w:hint="eastAsia" w:ascii="Times New Roman" w:hAnsi="Times New Roman"/>
                      <w:sz w:val="21"/>
                      <w:szCs w:val="21"/>
                    </w:rPr>
                    <w:t>3.</w:t>
                  </w:r>
                  <w:r>
                    <w:rPr>
                      <w:rFonts w:hint="eastAsia" w:ascii="Times New Roman"/>
                      <w:sz w:val="21"/>
                      <w:szCs w:val="21"/>
                    </w:rPr>
                    <w:t>新建</w:t>
                  </w:r>
                  <w:r>
                    <w:rPr>
                      <w:rFonts w:hint="eastAsia" w:ascii="Times New Roman" w:hAnsi="Times New Roman"/>
                      <w:sz w:val="21"/>
                      <w:szCs w:val="21"/>
                    </w:rPr>
                    <w:t>“</w:t>
                  </w:r>
                  <w:r>
                    <w:rPr>
                      <w:rFonts w:hint="eastAsia" w:ascii="Times New Roman"/>
                      <w:sz w:val="21"/>
                      <w:szCs w:val="21"/>
                    </w:rPr>
                    <w:t>两高</w:t>
                  </w:r>
                  <w:r>
                    <w:rPr>
                      <w:rFonts w:hint="eastAsia" w:ascii="Times New Roman" w:hAnsi="Times New Roman"/>
                      <w:sz w:val="21"/>
                      <w:szCs w:val="21"/>
                    </w:rPr>
                    <w:t>”</w:t>
                  </w:r>
                  <w:r>
                    <w:rPr>
                      <w:rFonts w:hint="eastAsia" w:ascii="Times New Roman"/>
                      <w:sz w:val="21"/>
                      <w:szCs w:val="21"/>
                    </w:rPr>
                    <w:t>项目需要依据区域环境质量改善目标，制定配套区域污染物削减方案，采取有效的污染物区域削减措施，腾出足够的环境容量。大气污染防治重点区域内采取增加散煤清洁化治理，为工业腾出指标和容量等措施，不得使用高污染燃料作为煤炭减量替代措施。</w:t>
                  </w:r>
                </w:p>
              </w:tc>
              <w:tc>
                <w:tcPr>
                  <w:tcW w:w="243" w:type="pct"/>
                  <w:vAlign w:val="center"/>
                </w:tcPr>
                <w:p>
                  <w:pPr>
                    <w:pStyle w:val="2"/>
                    <w:spacing w:line="260" w:lineRule="exact"/>
                    <w:ind w:firstLine="0"/>
                    <w:jc w:val="center"/>
                    <w:rPr>
                      <w:rFonts w:ascii="Times New Roman" w:hAnsi="Times New Roman"/>
                      <w:sz w:val="21"/>
                      <w:szCs w:val="21"/>
                    </w:rPr>
                  </w:pPr>
                  <w:r>
                    <w:rPr>
                      <w:rFonts w:ascii="Times New Roman" w:hAnsi="Times New Roman"/>
                      <w:sz w:val="21"/>
                      <w:szCs w:val="24"/>
                    </w:rPr>
                    <w:t>18050</w:t>
                  </w:r>
                </w:p>
              </w:tc>
              <w:tc>
                <w:tcPr>
                  <w:tcW w:w="969"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本项目不属于</w:t>
                  </w:r>
                  <w:r>
                    <w:rPr>
                      <w:rFonts w:hint="eastAsia" w:ascii="Times New Roman" w:hAnsi="Times New Roman"/>
                      <w:sz w:val="21"/>
                      <w:szCs w:val="21"/>
                    </w:rPr>
                    <w:t>“</w:t>
                  </w:r>
                  <w:r>
                    <w:rPr>
                      <w:rFonts w:hint="eastAsia" w:ascii="Times New Roman"/>
                      <w:sz w:val="21"/>
                      <w:szCs w:val="21"/>
                    </w:rPr>
                    <w:t>两高</w:t>
                  </w:r>
                  <w:r>
                    <w:rPr>
                      <w:rFonts w:hint="eastAsia" w:ascii="Times New Roman" w:hAnsi="Times New Roman"/>
                      <w:sz w:val="21"/>
                      <w:szCs w:val="21"/>
                    </w:rPr>
                    <w:t>”</w:t>
                  </w:r>
                  <w:r>
                    <w:rPr>
                      <w:rFonts w:hint="eastAsia" w:ascii="Times New Roman"/>
                      <w:sz w:val="21"/>
                      <w:szCs w:val="21"/>
                    </w:rPr>
                    <w:t>行业。</w:t>
                  </w:r>
                  <w:r>
                    <w:rPr>
                      <w:rFonts w:ascii="Times New Roman"/>
                      <w:kern w:val="0"/>
                      <w:sz w:val="21"/>
                      <w:szCs w:val="21"/>
                    </w:rPr>
                    <w:t>项目</w:t>
                  </w:r>
                  <w:r>
                    <w:rPr>
                      <w:rFonts w:hint="eastAsia" w:ascii="Times New Roman"/>
                      <w:kern w:val="0"/>
                      <w:sz w:val="21"/>
                      <w:szCs w:val="21"/>
                    </w:rPr>
                    <w:t>大气污染物排放涉及挥发性有机物，</w:t>
                  </w:r>
                  <w:r>
                    <w:rPr>
                      <w:rFonts w:hint="eastAsia" w:ascii="Times New Roman" w:cs="宋体"/>
                      <w:sz w:val="21"/>
                      <w:szCs w:val="21"/>
                      <w:u w:color="000000"/>
                    </w:rPr>
                    <w:t>生产工序产生的挥发性有机废气经收集后采用</w:t>
                  </w:r>
                  <w:r>
                    <w:rPr>
                      <w:rFonts w:hint="eastAsia" w:ascii="Times New Roman" w:hAnsi="Times New Roman" w:cs="宋体"/>
                      <w:sz w:val="21"/>
                      <w:szCs w:val="21"/>
                      <w:u w:color="000000"/>
                    </w:rPr>
                    <w:t>“</w:t>
                  </w:r>
                  <w:r>
                    <w:rPr>
                      <w:rFonts w:hint="eastAsia" w:ascii="Times New Roman" w:cs="宋体"/>
                      <w:sz w:val="21"/>
                      <w:szCs w:val="21"/>
                      <w:u w:color="000000"/>
                    </w:rPr>
                    <w:t>活性炭吸附/脱附浓缩+催化燃烧装置（RCO）</w:t>
                  </w:r>
                  <w:r>
                    <w:rPr>
                      <w:rFonts w:hint="eastAsia" w:ascii="Times New Roman" w:hAnsi="Times New Roman" w:cs="宋体"/>
                      <w:sz w:val="21"/>
                      <w:szCs w:val="21"/>
                      <w:u w:color="000000"/>
                    </w:rPr>
                    <w:t>”</w:t>
                  </w:r>
                  <w:r>
                    <w:rPr>
                      <w:rFonts w:hint="eastAsia" w:ascii="Times New Roman" w:cs="宋体"/>
                      <w:sz w:val="21"/>
                      <w:szCs w:val="21"/>
                      <w:u w:color="000000"/>
                    </w:rPr>
                    <w:t>净化处理，通过</w:t>
                  </w:r>
                  <w:r>
                    <w:rPr>
                      <w:rFonts w:ascii="Times New Roman" w:hAnsi="Times New Roman"/>
                      <w:sz w:val="21"/>
                      <w:szCs w:val="21"/>
                      <w:u w:color="000000"/>
                    </w:rPr>
                    <w:t>1</w:t>
                  </w:r>
                  <w:r>
                    <w:rPr>
                      <w:rFonts w:hint="eastAsia" w:ascii="Times New Roman" w:hAnsi="Times New Roman"/>
                      <w:sz w:val="21"/>
                      <w:szCs w:val="21"/>
                      <w:u w:color="000000"/>
                    </w:rPr>
                    <w:t>8</w:t>
                  </w:r>
                  <w:r>
                    <w:rPr>
                      <w:rFonts w:ascii="Times New Roman" w:hAnsi="Times New Roman"/>
                      <w:sz w:val="21"/>
                      <w:szCs w:val="21"/>
                      <w:u w:color="000000"/>
                    </w:rPr>
                    <w:t>m</w:t>
                  </w:r>
                  <w:r>
                    <w:rPr>
                      <w:rFonts w:hint="eastAsia" w:ascii="Times New Roman" w:cs="宋体"/>
                      <w:sz w:val="21"/>
                      <w:szCs w:val="21"/>
                      <w:u w:color="000000"/>
                    </w:rPr>
                    <w:t>高排气筒排放。</w:t>
                  </w:r>
                </w:p>
              </w:tc>
              <w:tc>
                <w:tcPr>
                  <w:tcW w:w="242" w:type="pct"/>
                  <w:vAlign w:val="center"/>
                </w:tcPr>
                <w:p>
                  <w:pPr>
                    <w:pStyle w:val="2"/>
                    <w:ind w:firstLine="0"/>
                    <w:jc w:val="center"/>
                    <w:rPr>
                      <w:rFonts w:ascii="Times New Roman"/>
                      <w:sz w:val="21"/>
                      <w:szCs w:val="21"/>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144" w:type="pct"/>
                  <w:vMerge w:val="restart"/>
                  <w:vAlign w:val="center"/>
                </w:tcPr>
                <w:p>
                  <w:pPr>
                    <w:pStyle w:val="2"/>
                    <w:ind w:firstLine="0"/>
                    <w:jc w:val="center"/>
                    <w:rPr>
                      <w:rFonts w:ascii="Times New Roman" w:hAnsi="Times New Roman"/>
                      <w:sz w:val="21"/>
                      <w:szCs w:val="21"/>
                    </w:rPr>
                  </w:pPr>
                  <w:r>
                    <w:rPr>
                      <w:rFonts w:hint="eastAsia" w:ascii="Times New Roman" w:hAnsi="Times New Roman"/>
                      <w:sz w:val="21"/>
                      <w:szCs w:val="21"/>
                    </w:rPr>
                    <w:t>2</w:t>
                  </w:r>
                </w:p>
              </w:tc>
              <w:tc>
                <w:tcPr>
                  <w:tcW w:w="194"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榆林市</w:t>
                  </w:r>
                </w:p>
              </w:tc>
              <w:tc>
                <w:tcPr>
                  <w:tcW w:w="156"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靖边县</w:t>
                  </w:r>
                </w:p>
              </w:tc>
              <w:tc>
                <w:tcPr>
                  <w:tcW w:w="291"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靖边经济技术开发区</w:t>
                  </w:r>
                </w:p>
              </w:tc>
              <w:tc>
                <w:tcPr>
                  <w:tcW w:w="242" w:type="pct"/>
                  <w:vMerge w:val="restart"/>
                  <w:vAlign w:val="center"/>
                </w:tcPr>
                <w:p>
                  <w:pPr>
                    <w:pStyle w:val="2"/>
                    <w:ind w:firstLine="0"/>
                    <w:jc w:val="center"/>
                    <w:rPr>
                      <w:rFonts w:ascii="Times New Roman"/>
                      <w:sz w:val="21"/>
                      <w:szCs w:val="21"/>
                    </w:rPr>
                  </w:pPr>
                  <w:r>
                    <w:rPr>
                      <w:rFonts w:hint="eastAsia" w:ascii="Times New Roman"/>
                      <w:sz w:val="21"/>
                      <w:szCs w:val="21"/>
                    </w:rPr>
                    <w:t>土地资源重点</w:t>
                  </w:r>
                </w:p>
                <w:p>
                  <w:pPr>
                    <w:pStyle w:val="2"/>
                    <w:ind w:firstLine="0"/>
                    <w:jc w:val="center"/>
                    <w:rPr>
                      <w:rFonts w:ascii="Times New Roman"/>
                      <w:sz w:val="21"/>
                      <w:szCs w:val="21"/>
                    </w:rPr>
                  </w:pPr>
                  <w:r>
                    <w:rPr>
                      <w:rFonts w:hint="eastAsia" w:ascii="Times New Roman"/>
                      <w:sz w:val="21"/>
                      <w:szCs w:val="21"/>
                    </w:rPr>
                    <w:t>管控区</w:t>
                  </w:r>
                </w:p>
              </w:tc>
              <w:tc>
                <w:tcPr>
                  <w:tcW w:w="582" w:type="pct"/>
                  <w:vAlign w:val="center"/>
                </w:tcPr>
                <w:p>
                  <w:pPr>
                    <w:pStyle w:val="2"/>
                    <w:spacing w:line="260" w:lineRule="exact"/>
                    <w:ind w:firstLine="0"/>
                    <w:jc w:val="center"/>
                    <w:rPr>
                      <w:rFonts w:ascii="Times New Roman"/>
                      <w:sz w:val="21"/>
                      <w:szCs w:val="21"/>
                    </w:rPr>
                  </w:pPr>
                  <w:r>
                    <w:rPr>
                      <w:rFonts w:hint="eastAsia" w:ascii="Times New Roman"/>
                      <w:sz w:val="21"/>
                      <w:szCs w:val="21"/>
                    </w:rPr>
                    <w:t>空间约束</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严格按照有关部门审核同意的项目建设内容使用土地，不得擅自改变土地用途、超越地界线占用土地。</w:t>
                  </w:r>
                </w:p>
              </w:tc>
              <w:tc>
                <w:tcPr>
                  <w:tcW w:w="243" w:type="pct"/>
                  <w:vMerge w:val="restart"/>
                  <w:vAlign w:val="center"/>
                </w:tcPr>
                <w:p>
                  <w:pPr>
                    <w:pStyle w:val="2"/>
                    <w:spacing w:line="260" w:lineRule="exact"/>
                    <w:ind w:firstLine="0"/>
                    <w:jc w:val="center"/>
                    <w:rPr>
                      <w:rFonts w:ascii="Times New Roman" w:hAnsi="Times New Roman"/>
                      <w:sz w:val="21"/>
                      <w:szCs w:val="21"/>
                    </w:rPr>
                  </w:pPr>
                  <w:r>
                    <w:rPr>
                      <w:rFonts w:ascii="Times New Roman" w:hAnsi="Times New Roman"/>
                      <w:sz w:val="21"/>
                      <w:szCs w:val="24"/>
                    </w:rPr>
                    <w:t>18050</w:t>
                  </w:r>
                </w:p>
              </w:tc>
              <w:tc>
                <w:tcPr>
                  <w:tcW w:w="969" w:type="pct"/>
                  <w:vMerge w:val="restart"/>
                  <w:vAlign w:val="center"/>
                </w:tcPr>
                <w:p>
                  <w:pPr>
                    <w:pStyle w:val="2"/>
                    <w:spacing w:line="260" w:lineRule="exact"/>
                    <w:ind w:firstLine="0"/>
                    <w:jc w:val="center"/>
                    <w:rPr>
                      <w:spacing w:val="-20"/>
                    </w:rPr>
                  </w:pPr>
                  <w:r>
                    <w:rPr>
                      <w:rFonts w:hint="eastAsia"/>
                      <w:spacing w:val="-20"/>
                    </w:rPr>
                    <w:t>项目租赁靖边县鸿路工贸有限公司 “工业用地”，且项目已取得靖边县经济开发区管委会入区的批复，原则同意在靖边经开区创业创新园建设该项目。</w:t>
                  </w:r>
                </w:p>
              </w:tc>
              <w:tc>
                <w:tcPr>
                  <w:tcW w:w="242" w:type="pct"/>
                  <w:vAlign w:val="center"/>
                </w:tcPr>
                <w:p>
                  <w:pPr>
                    <w:pStyle w:val="2"/>
                    <w:ind w:firstLine="0"/>
                    <w:jc w:val="center"/>
                    <w:rPr>
                      <w:spacing w:val="-20"/>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44" w:type="pct"/>
                  <w:vMerge w:val="continue"/>
                  <w:vAlign w:val="center"/>
                </w:tcPr>
                <w:p>
                  <w:pPr>
                    <w:pStyle w:val="2"/>
                    <w:ind w:firstLine="0"/>
                    <w:jc w:val="center"/>
                    <w:rPr>
                      <w:rFonts w:ascii="Times New Roman" w:hAnsi="Times New Roman"/>
                      <w:sz w:val="21"/>
                      <w:szCs w:val="21"/>
                    </w:rPr>
                  </w:pPr>
                </w:p>
              </w:tc>
              <w:tc>
                <w:tcPr>
                  <w:tcW w:w="194" w:type="pct"/>
                  <w:vMerge w:val="continue"/>
                  <w:vAlign w:val="center"/>
                </w:tcPr>
                <w:p>
                  <w:pPr>
                    <w:pStyle w:val="2"/>
                    <w:ind w:firstLine="0"/>
                    <w:jc w:val="center"/>
                    <w:rPr>
                      <w:rFonts w:ascii="Times New Roman"/>
                      <w:sz w:val="21"/>
                      <w:szCs w:val="21"/>
                    </w:rPr>
                  </w:pPr>
                </w:p>
              </w:tc>
              <w:tc>
                <w:tcPr>
                  <w:tcW w:w="156" w:type="pct"/>
                  <w:vMerge w:val="continue"/>
                  <w:vAlign w:val="center"/>
                </w:tcPr>
                <w:p>
                  <w:pPr>
                    <w:pStyle w:val="2"/>
                    <w:ind w:firstLine="0"/>
                    <w:jc w:val="center"/>
                    <w:rPr>
                      <w:rFonts w:ascii="Times New Roman"/>
                      <w:sz w:val="21"/>
                      <w:szCs w:val="21"/>
                    </w:rPr>
                  </w:pPr>
                </w:p>
              </w:tc>
              <w:tc>
                <w:tcPr>
                  <w:tcW w:w="291" w:type="pct"/>
                  <w:vMerge w:val="continue"/>
                  <w:vAlign w:val="center"/>
                </w:tcPr>
                <w:p>
                  <w:pPr>
                    <w:pStyle w:val="2"/>
                    <w:ind w:firstLine="0"/>
                    <w:jc w:val="center"/>
                    <w:rPr>
                      <w:rFonts w:ascii="Times New Roman"/>
                      <w:sz w:val="21"/>
                      <w:szCs w:val="21"/>
                    </w:rPr>
                  </w:pPr>
                </w:p>
              </w:tc>
              <w:tc>
                <w:tcPr>
                  <w:tcW w:w="242" w:type="pct"/>
                  <w:vMerge w:val="continue"/>
                  <w:vAlign w:val="center"/>
                </w:tcPr>
                <w:p>
                  <w:pPr>
                    <w:pStyle w:val="2"/>
                    <w:ind w:firstLine="0"/>
                    <w:jc w:val="center"/>
                    <w:rPr>
                      <w:rFonts w:ascii="Times New Roman"/>
                      <w:sz w:val="21"/>
                      <w:szCs w:val="21"/>
                    </w:rPr>
                  </w:pPr>
                </w:p>
              </w:tc>
              <w:tc>
                <w:tcPr>
                  <w:tcW w:w="582" w:type="pct"/>
                  <w:vAlign w:val="center"/>
                </w:tcPr>
                <w:p>
                  <w:pPr>
                    <w:pStyle w:val="2"/>
                    <w:spacing w:line="260" w:lineRule="exact"/>
                    <w:ind w:firstLine="0"/>
                    <w:jc w:val="center"/>
                    <w:rPr>
                      <w:rFonts w:ascii="Times New Roman"/>
                      <w:sz w:val="21"/>
                      <w:szCs w:val="21"/>
                    </w:rPr>
                  </w:pPr>
                  <w:r>
                    <w:rPr>
                      <w:rFonts w:hint="eastAsia" w:ascii="Times New Roman"/>
                      <w:sz w:val="21"/>
                      <w:szCs w:val="21"/>
                    </w:rPr>
                    <w:t>资源开发要求</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1.规范工业园区（开发区）入园用地项目管理，促进工业园区土地节约集约利用，提高土地利用质量和效益，对项目在用地期限内的利用状况实施全过程动态评估和监管。</w:t>
                  </w:r>
                </w:p>
                <w:p>
                  <w:pPr>
                    <w:pStyle w:val="2"/>
                    <w:spacing w:line="260" w:lineRule="exact"/>
                    <w:ind w:firstLine="0"/>
                    <w:rPr>
                      <w:rFonts w:ascii="Times New Roman" w:hAnsi="Times New Roman"/>
                      <w:sz w:val="21"/>
                      <w:szCs w:val="21"/>
                    </w:rPr>
                  </w:pPr>
                  <w:r>
                    <w:rPr>
                      <w:rFonts w:hint="eastAsia" w:ascii="Times New Roman" w:hAnsi="Times New Roman"/>
                      <w:sz w:val="21"/>
                      <w:szCs w:val="21"/>
                    </w:rPr>
                    <w:t>2.健全工业园区用地准入、综合效益评估、土地使用权推出等机制，实现土地利用管理系统化、精细化、动态化。</w:t>
                  </w:r>
                </w:p>
              </w:tc>
              <w:tc>
                <w:tcPr>
                  <w:tcW w:w="243" w:type="pct"/>
                  <w:vMerge w:val="continue"/>
                  <w:vAlign w:val="center"/>
                </w:tcPr>
                <w:p>
                  <w:pPr>
                    <w:pStyle w:val="2"/>
                    <w:spacing w:line="260" w:lineRule="exact"/>
                    <w:ind w:firstLine="0"/>
                    <w:jc w:val="center"/>
                    <w:rPr>
                      <w:rFonts w:ascii="Times New Roman" w:hAnsi="Times New Roman"/>
                      <w:sz w:val="21"/>
                      <w:szCs w:val="21"/>
                    </w:rPr>
                  </w:pPr>
                </w:p>
              </w:tc>
              <w:tc>
                <w:tcPr>
                  <w:tcW w:w="969" w:type="pct"/>
                  <w:vMerge w:val="continue"/>
                  <w:vAlign w:val="center"/>
                </w:tcPr>
                <w:p>
                  <w:pPr>
                    <w:pStyle w:val="2"/>
                    <w:spacing w:line="260" w:lineRule="exact"/>
                    <w:ind w:firstLine="0"/>
                    <w:jc w:val="center"/>
                    <w:rPr>
                      <w:rFonts w:ascii="Times New Roman"/>
                      <w:sz w:val="21"/>
                      <w:szCs w:val="21"/>
                    </w:rPr>
                  </w:pPr>
                </w:p>
              </w:tc>
              <w:tc>
                <w:tcPr>
                  <w:tcW w:w="242" w:type="pct"/>
                  <w:vAlign w:val="center"/>
                </w:tcPr>
                <w:p>
                  <w:pPr>
                    <w:pStyle w:val="2"/>
                    <w:ind w:firstLine="0"/>
                    <w:jc w:val="center"/>
                    <w:rPr>
                      <w:rFonts w:ascii="Times New Roman"/>
                      <w:sz w:val="21"/>
                      <w:szCs w:val="21"/>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144" w:type="pct"/>
                  <w:vMerge w:val="restart"/>
                  <w:vAlign w:val="center"/>
                </w:tcPr>
                <w:p>
                  <w:pPr>
                    <w:pStyle w:val="2"/>
                    <w:ind w:firstLine="0"/>
                    <w:jc w:val="center"/>
                    <w:rPr>
                      <w:rFonts w:ascii="Times New Roman" w:hAnsi="Times New Roman"/>
                      <w:sz w:val="21"/>
                      <w:szCs w:val="21"/>
                    </w:rPr>
                  </w:pPr>
                  <w:r>
                    <w:rPr>
                      <w:rFonts w:hint="eastAsia" w:ascii="Times New Roman" w:hAnsi="Times New Roman"/>
                      <w:sz w:val="21"/>
                      <w:szCs w:val="21"/>
                    </w:rPr>
                    <w:t>3</w:t>
                  </w:r>
                </w:p>
              </w:tc>
              <w:tc>
                <w:tcPr>
                  <w:tcW w:w="194"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榆林市</w:t>
                  </w:r>
                </w:p>
              </w:tc>
              <w:tc>
                <w:tcPr>
                  <w:tcW w:w="156"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靖边县</w:t>
                  </w:r>
                </w:p>
              </w:tc>
              <w:tc>
                <w:tcPr>
                  <w:tcW w:w="291"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靖边经济技术开发区</w:t>
                  </w:r>
                </w:p>
              </w:tc>
              <w:tc>
                <w:tcPr>
                  <w:tcW w:w="242" w:type="pct"/>
                  <w:vMerge w:val="restart"/>
                  <w:vAlign w:val="center"/>
                </w:tcPr>
                <w:p>
                  <w:pPr>
                    <w:pStyle w:val="2"/>
                    <w:ind w:firstLine="0"/>
                    <w:jc w:val="center"/>
                    <w:rPr>
                      <w:rFonts w:ascii="Times New Roman" w:hAnsi="Times New Roman"/>
                      <w:sz w:val="21"/>
                      <w:szCs w:val="21"/>
                    </w:rPr>
                  </w:pPr>
                  <w:r>
                    <w:rPr>
                      <w:rFonts w:hint="eastAsia" w:ascii="Times New Roman"/>
                      <w:sz w:val="21"/>
                      <w:szCs w:val="21"/>
                    </w:rPr>
                    <w:t>水环境工业污</w:t>
                  </w:r>
                </w:p>
                <w:p>
                  <w:pPr>
                    <w:pStyle w:val="2"/>
                    <w:ind w:firstLine="0"/>
                    <w:jc w:val="center"/>
                    <w:rPr>
                      <w:rFonts w:ascii="Times New Roman" w:hAnsi="Times New Roman"/>
                      <w:sz w:val="21"/>
                      <w:szCs w:val="21"/>
                    </w:rPr>
                  </w:pPr>
                  <w:r>
                    <w:rPr>
                      <w:rFonts w:hint="eastAsia" w:ascii="Times New Roman"/>
                      <w:sz w:val="21"/>
                      <w:szCs w:val="21"/>
                    </w:rPr>
                    <w:t>染重点管控区</w:t>
                  </w:r>
                </w:p>
              </w:tc>
              <w:tc>
                <w:tcPr>
                  <w:tcW w:w="582"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空间约束</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1.</w:t>
                  </w:r>
                  <w:r>
                    <w:rPr>
                      <w:rFonts w:hint="eastAsia" w:ascii="Times New Roman"/>
                      <w:sz w:val="21"/>
                      <w:szCs w:val="21"/>
                    </w:rPr>
                    <w:t>充分考虑水环境承载能力和水资源开发利用效率，合理确定产业发展布局、结构和规模。</w:t>
                  </w:r>
                </w:p>
              </w:tc>
              <w:tc>
                <w:tcPr>
                  <w:tcW w:w="243" w:type="pct"/>
                  <w:vMerge w:val="restart"/>
                  <w:vAlign w:val="center"/>
                </w:tcPr>
                <w:p>
                  <w:pPr>
                    <w:pStyle w:val="2"/>
                    <w:spacing w:line="260" w:lineRule="exact"/>
                    <w:ind w:firstLine="0"/>
                    <w:jc w:val="center"/>
                    <w:rPr>
                      <w:rFonts w:ascii="Times New Roman" w:hAnsi="Times New Roman"/>
                      <w:sz w:val="21"/>
                      <w:szCs w:val="21"/>
                    </w:rPr>
                  </w:pPr>
                  <w:r>
                    <w:rPr>
                      <w:rFonts w:ascii="Times New Roman" w:hAnsi="Times New Roman"/>
                      <w:sz w:val="21"/>
                      <w:szCs w:val="24"/>
                    </w:rPr>
                    <w:t>18050</w:t>
                  </w:r>
                </w:p>
              </w:tc>
              <w:tc>
                <w:tcPr>
                  <w:tcW w:w="969" w:type="pct"/>
                  <w:vMerge w:val="restar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本项目生产用水循环使用，不外排。排水仅为生活污水，食堂废水经油水分离器分离后与办公生活污水一同经化粪池处理后进入园区污水管网排入</w:t>
                  </w:r>
                  <w:r>
                    <w:rPr>
                      <w:rFonts w:hint="eastAsia" w:ascii="Times New Roman"/>
                      <w:bCs/>
                      <w:sz w:val="21"/>
                      <w:szCs w:val="21"/>
                    </w:rPr>
                    <w:t>靖边</w:t>
                  </w:r>
                  <w:r>
                    <w:rPr>
                      <w:rFonts w:ascii="Times New Roman"/>
                      <w:bCs/>
                      <w:sz w:val="21"/>
                      <w:szCs w:val="21"/>
                    </w:rPr>
                    <w:t>县</w:t>
                  </w:r>
                  <w:r>
                    <w:rPr>
                      <w:rFonts w:hint="eastAsia" w:ascii="Times New Roman"/>
                      <w:bCs/>
                      <w:sz w:val="21"/>
                      <w:szCs w:val="21"/>
                    </w:rPr>
                    <w:t>经济技术开发区</w:t>
                  </w:r>
                  <w:r>
                    <w:rPr>
                      <w:rFonts w:ascii="Times New Roman"/>
                      <w:bCs/>
                      <w:sz w:val="21"/>
                      <w:szCs w:val="21"/>
                    </w:rPr>
                    <w:t>杨桥畔镇污水处理厂</w:t>
                  </w:r>
                  <w:r>
                    <w:rPr>
                      <w:rFonts w:hint="eastAsia" w:ascii="Times New Roman"/>
                      <w:sz w:val="21"/>
                      <w:szCs w:val="21"/>
                    </w:rPr>
                    <w:t>集中</w:t>
                  </w:r>
                  <w:r>
                    <w:rPr>
                      <w:rFonts w:hint="eastAsia" w:ascii="Times New Roman"/>
                      <w:bCs/>
                      <w:sz w:val="21"/>
                      <w:szCs w:val="21"/>
                    </w:rPr>
                    <w:t>处理</w:t>
                  </w:r>
                  <w:r>
                    <w:rPr>
                      <w:rFonts w:hint="eastAsia" w:ascii="Times New Roman"/>
                      <w:sz w:val="21"/>
                      <w:szCs w:val="21"/>
                    </w:rPr>
                    <w:t>。</w:t>
                  </w:r>
                </w:p>
              </w:tc>
              <w:tc>
                <w:tcPr>
                  <w:tcW w:w="242" w:type="pct"/>
                  <w:vAlign w:val="center"/>
                </w:tcPr>
                <w:p>
                  <w:pPr>
                    <w:pStyle w:val="2"/>
                    <w:ind w:firstLine="0"/>
                    <w:jc w:val="center"/>
                    <w:rPr>
                      <w:rFonts w:ascii="Times New Roman"/>
                      <w:sz w:val="21"/>
                      <w:szCs w:val="21"/>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44" w:type="pct"/>
                  <w:vMerge w:val="continue"/>
                  <w:vAlign w:val="center"/>
                </w:tcPr>
                <w:p>
                  <w:pPr>
                    <w:pStyle w:val="2"/>
                    <w:jc w:val="center"/>
                    <w:rPr>
                      <w:rFonts w:ascii="Times New Roman" w:hAnsi="Times New Roman"/>
                      <w:sz w:val="21"/>
                      <w:szCs w:val="21"/>
                    </w:rPr>
                  </w:pPr>
                </w:p>
              </w:tc>
              <w:tc>
                <w:tcPr>
                  <w:tcW w:w="194" w:type="pct"/>
                  <w:vMerge w:val="continue"/>
                  <w:vAlign w:val="center"/>
                </w:tcPr>
                <w:p>
                  <w:pPr>
                    <w:pStyle w:val="2"/>
                    <w:ind w:firstLine="0"/>
                    <w:jc w:val="center"/>
                    <w:rPr>
                      <w:rFonts w:ascii="Times New Roman" w:hAnsi="Times New Roman"/>
                      <w:sz w:val="21"/>
                      <w:szCs w:val="21"/>
                    </w:rPr>
                  </w:pPr>
                </w:p>
              </w:tc>
              <w:tc>
                <w:tcPr>
                  <w:tcW w:w="156" w:type="pct"/>
                  <w:vMerge w:val="continue"/>
                  <w:vAlign w:val="center"/>
                </w:tcPr>
                <w:p>
                  <w:pPr>
                    <w:pStyle w:val="2"/>
                    <w:ind w:firstLine="0"/>
                    <w:jc w:val="center"/>
                    <w:rPr>
                      <w:rFonts w:ascii="Times New Roman" w:hAnsi="Times New Roman"/>
                      <w:sz w:val="21"/>
                      <w:szCs w:val="21"/>
                    </w:rPr>
                  </w:pPr>
                </w:p>
              </w:tc>
              <w:tc>
                <w:tcPr>
                  <w:tcW w:w="291" w:type="pct"/>
                  <w:vMerge w:val="continue"/>
                  <w:vAlign w:val="center"/>
                </w:tcPr>
                <w:p>
                  <w:pPr>
                    <w:pStyle w:val="2"/>
                    <w:ind w:firstLine="0"/>
                    <w:jc w:val="center"/>
                    <w:rPr>
                      <w:rFonts w:ascii="Times New Roman" w:hAnsi="Times New Roman"/>
                      <w:sz w:val="21"/>
                      <w:szCs w:val="21"/>
                    </w:rPr>
                  </w:pPr>
                </w:p>
              </w:tc>
              <w:tc>
                <w:tcPr>
                  <w:tcW w:w="242" w:type="pct"/>
                  <w:vMerge w:val="continue"/>
                  <w:vAlign w:val="center"/>
                </w:tcPr>
                <w:p>
                  <w:pPr>
                    <w:pStyle w:val="2"/>
                    <w:ind w:firstLine="0"/>
                    <w:jc w:val="center"/>
                    <w:rPr>
                      <w:rFonts w:ascii="Times New Roman" w:hAnsi="Times New Roman"/>
                      <w:sz w:val="21"/>
                      <w:szCs w:val="21"/>
                    </w:rPr>
                  </w:pPr>
                </w:p>
              </w:tc>
              <w:tc>
                <w:tcPr>
                  <w:tcW w:w="582"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污染物排放管控</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1.</w:t>
                  </w:r>
                  <w:r>
                    <w:rPr>
                      <w:rFonts w:hint="eastAsia" w:ascii="Times New Roman"/>
                      <w:sz w:val="21"/>
                      <w:szCs w:val="21"/>
                    </w:rPr>
                    <w:t>所有排污单位必须依法实现全面达标排放。集聚区内工业废水必须进行经预处理达到集中处理要求，方可进入污水集中处理设施。</w:t>
                  </w:r>
                </w:p>
                <w:p>
                  <w:pPr>
                    <w:pStyle w:val="2"/>
                    <w:spacing w:line="260" w:lineRule="exact"/>
                    <w:ind w:firstLine="0"/>
                    <w:rPr>
                      <w:rFonts w:ascii="Times New Roman" w:hAnsi="Times New Roman"/>
                      <w:sz w:val="21"/>
                      <w:szCs w:val="21"/>
                    </w:rPr>
                  </w:pPr>
                  <w:r>
                    <w:rPr>
                      <w:rFonts w:hint="eastAsia" w:ascii="Times New Roman" w:hAnsi="Times New Roman"/>
                      <w:sz w:val="21"/>
                      <w:szCs w:val="21"/>
                    </w:rPr>
                    <w:t>2.</w:t>
                  </w:r>
                  <w:r>
                    <w:rPr>
                      <w:rFonts w:hint="eastAsia" w:ascii="Times New Roman"/>
                      <w:sz w:val="21"/>
                      <w:szCs w:val="21"/>
                    </w:rPr>
                    <w:t>建设项目所在水环境单元或断面存在污染物超标的，相应污染因子实行等量或减量置换。</w:t>
                  </w:r>
                </w:p>
                <w:p>
                  <w:pPr>
                    <w:pStyle w:val="2"/>
                    <w:spacing w:line="260" w:lineRule="exact"/>
                    <w:ind w:firstLine="0"/>
                    <w:rPr>
                      <w:rFonts w:ascii="Times New Roman" w:hAnsi="Times New Roman"/>
                      <w:sz w:val="21"/>
                      <w:szCs w:val="21"/>
                    </w:rPr>
                  </w:pPr>
                  <w:r>
                    <w:rPr>
                      <w:rFonts w:hint="eastAsia" w:ascii="Times New Roman" w:hAnsi="Times New Roman"/>
                      <w:sz w:val="21"/>
                      <w:szCs w:val="21"/>
                    </w:rPr>
                    <w:t>3.</w:t>
                  </w:r>
                  <w:r>
                    <w:rPr>
                      <w:rFonts w:hint="eastAsia" w:ascii="Times New Roman"/>
                      <w:sz w:val="21"/>
                      <w:szCs w:val="21"/>
                    </w:rPr>
                    <w:t>严控高含盐废水排放。</w:t>
                  </w:r>
                </w:p>
              </w:tc>
              <w:tc>
                <w:tcPr>
                  <w:tcW w:w="243" w:type="pct"/>
                  <w:vMerge w:val="continue"/>
                  <w:vAlign w:val="center"/>
                </w:tcPr>
                <w:p>
                  <w:pPr>
                    <w:pStyle w:val="2"/>
                    <w:spacing w:line="260" w:lineRule="exact"/>
                    <w:ind w:firstLine="0"/>
                    <w:jc w:val="center"/>
                    <w:rPr>
                      <w:rFonts w:ascii="Times New Roman" w:hAnsi="Times New Roman"/>
                      <w:sz w:val="21"/>
                      <w:szCs w:val="21"/>
                    </w:rPr>
                  </w:pPr>
                </w:p>
              </w:tc>
              <w:tc>
                <w:tcPr>
                  <w:tcW w:w="969" w:type="pct"/>
                  <w:vMerge w:val="continue"/>
                  <w:vAlign w:val="center"/>
                </w:tcPr>
                <w:p>
                  <w:pPr>
                    <w:pStyle w:val="2"/>
                    <w:spacing w:line="260" w:lineRule="exact"/>
                    <w:ind w:firstLine="0"/>
                    <w:jc w:val="center"/>
                    <w:rPr>
                      <w:rFonts w:ascii="Times New Roman" w:hAnsi="Times New Roman"/>
                      <w:sz w:val="21"/>
                      <w:szCs w:val="21"/>
                    </w:rPr>
                  </w:pPr>
                </w:p>
              </w:tc>
              <w:tc>
                <w:tcPr>
                  <w:tcW w:w="242" w:type="pct"/>
                  <w:vAlign w:val="center"/>
                </w:tcPr>
                <w:p>
                  <w:pPr>
                    <w:pStyle w:val="2"/>
                    <w:ind w:firstLine="0"/>
                    <w:jc w:val="center"/>
                    <w:rPr>
                      <w:rFonts w:ascii="Times New Roman" w:hAnsi="Times New Roman"/>
                      <w:sz w:val="21"/>
                      <w:szCs w:val="21"/>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44" w:type="pct"/>
                  <w:vMerge w:val="continue"/>
                  <w:vAlign w:val="center"/>
                </w:tcPr>
                <w:p>
                  <w:pPr>
                    <w:pStyle w:val="2"/>
                    <w:ind w:firstLine="0"/>
                    <w:jc w:val="center"/>
                    <w:rPr>
                      <w:rFonts w:ascii="Times New Roman" w:hAnsi="Times New Roman"/>
                      <w:sz w:val="21"/>
                      <w:szCs w:val="21"/>
                    </w:rPr>
                  </w:pPr>
                </w:p>
              </w:tc>
              <w:tc>
                <w:tcPr>
                  <w:tcW w:w="194" w:type="pct"/>
                  <w:vMerge w:val="continue"/>
                  <w:vAlign w:val="center"/>
                </w:tcPr>
                <w:p>
                  <w:pPr>
                    <w:pStyle w:val="2"/>
                    <w:ind w:firstLine="0"/>
                    <w:jc w:val="center"/>
                    <w:rPr>
                      <w:rFonts w:ascii="Times New Roman" w:hAnsi="Times New Roman"/>
                      <w:sz w:val="21"/>
                      <w:szCs w:val="21"/>
                    </w:rPr>
                  </w:pPr>
                </w:p>
              </w:tc>
              <w:tc>
                <w:tcPr>
                  <w:tcW w:w="156" w:type="pct"/>
                  <w:vMerge w:val="continue"/>
                  <w:vAlign w:val="center"/>
                </w:tcPr>
                <w:p>
                  <w:pPr>
                    <w:pStyle w:val="2"/>
                    <w:ind w:firstLine="0"/>
                    <w:jc w:val="center"/>
                    <w:rPr>
                      <w:rFonts w:ascii="Times New Roman" w:hAnsi="Times New Roman"/>
                      <w:sz w:val="21"/>
                      <w:szCs w:val="21"/>
                    </w:rPr>
                  </w:pPr>
                </w:p>
              </w:tc>
              <w:tc>
                <w:tcPr>
                  <w:tcW w:w="291" w:type="pct"/>
                  <w:vMerge w:val="continue"/>
                  <w:vAlign w:val="center"/>
                </w:tcPr>
                <w:p>
                  <w:pPr>
                    <w:pStyle w:val="2"/>
                    <w:ind w:firstLine="0"/>
                    <w:jc w:val="center"/>
                    <w:rPr>
                      <w:rFonts w:ascii="Times New Roman" w:hAnsi="Times New Roman"/>
                      <w:sz w:val="21"/>
                      <w:szCs w:val="21"/>
                    </w:rPr>
                  </w:pPr>
                </w:p>
              </w:tc>
              <w:tc>
                <w:tcPr>
                  <w:tcW w:w="242" w:type="pct"/>
                  <w:vMerge w:val="continue"/>
                  <w:vAlign w:val="center"/>
                </w:tcPr>
                <w:p>
                  <w:pPr>
                    <w:pStyle w:val="2"/>
                    <w:ind w:firstLine="0"/>
                    <w:jc w:val="center"/>
                    <w:rPr>
                      <w:rFonts w:ascii="Times New Roman" w:hAnsi="Times New Roman"/>
                      <w:sz w:val="21"/>
                      <w:szCs w:val="21"/>
                    </w:rPr>
                  </w:pPr>
                </w:p>
              </w:tc>
              <w:tc>
                <w:tcPr>
                  <w:tcW w:w="582"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环境风险防控</w:t>
                  </w:r>
                </w:p>
              </w:tc>
              <w:tc>
                <w:tcPr>
                  <w:tcW w:w="1937" w:type="pct"/>
                  <w:vAlign w:val="center"/>
                </w:tcPr>
                <w:p>
                  <w:pPr>
                    <w:pStyle w:val="2"/>
                    <w:spacing w:line="260" w:lineRule="exact"/>
                    <w:ind w:firstLine="0"/>
                    <w:rPr>
                      <w:rFonts w:ascii="Times New Roman" w:hAnsi="Times New Roman"/>
                      <w:sz w:val="21"/>
                      <w:szCs w:val="21"/>
                    </w:rPr>
                  </w:pPr>
                  <w:r>
                    <w:rPr>
                      <w:rFonts w:hint="eastAsia" w:ascii="Times New Roman" w:hAnsi="Times New Roman"/>
                      <w:sz w:val="21"/>
                      <w:szCs w:val="21"/>
                    </w:rPr>
                    <w:t>1.</w:t>
                  </w:r>
                  <w:r>
                    <w:rPr>
                      <w:rFonts w:hint="eastAsia" w:ascii="Times New Roman"/>
                      <w:sz w:val="21"/>
                      <w:szCs w:val="21"/>
                    </w:rPr>
                    <w:t>深入开展重点企业环境风险评估，摸清危险废物产生、贮存、利用和处置情况，推动突发环境事件应急预案编制与修编，严格新（改、扩）建生产有毒有害化学品项目的审批，强化工业园区环境风险管控。</w:t>
                  </w:r>
                </w:p>
                <w:p>
                  <w:pPr>
                    <w:pStyle w:val="2"/>
                    <w:spacing w:line="260" w:lineRule="exact"/>
                    <w:ind w:firstLine="0"/>
                    <w:rPr>
                      <w:rFonts w:ascii="Times New Roman" w:hAnsi="Times New Roman"/>
                      <w:sz w:val="21"/>
                      <w:szCs w:val="21"/>
                    </w:rPr>
                  </w:pPr>
                  <w:r>
                    <w:rPr>
                      <w:rFonts w:hint="eastAsia" w:ascii="Times New Roman" w:hAnsi="Times New Roman"/>
                      <w:sz w:val="21"/>
                      <w:szCs w:val="21"/>
                    </w:rPr>
                    <w:t>2.</w:t>
                  </w:r>
                  <w:r>
                    <w:rPr>
                      <w:rFonts w:hint="eastAsia" w:ascii="Times New Roman"/>
                      <w:sz w:val="21"/>
                      <w:szCs w:val="21"/>
                    </w:rPr>
                    <w:t>加强涉水涉重企业和危险化学品输运等环境风险源的系统治理，降低突发环境事故发生水平。</w:t>
                  </w:r>
                </w:p>
              </w:tc>
              <w:tc>
                <w:tcPr>
                  <w:tcW w:w="243" w:type="pct"/>
                  <w:vMerge w:val="continue"/>
                  <w:vAlign w:val="center"/>
                </w:tcPr>
                <w:p>
                  <w:pPr>
                    <w:pStyle w:val="2"/>
                    <w:spacing w:line="260" w:lineRule="exact"/>
                    <w:ind w:firstLine="0"/>
                    <w:jc w:val="center"/>
                    <w:rPr>
                      <w:rFonts w:ascii="Times New Roman" w:hAnsi="Times New Roman"/>
                      <w:sz w:val="21"/>
                      <w:szCs w:val="21"/>
                    </w:rPr>
                  </w:pPr>
                </w:p>
              </w:tc>
              <w:tc>
                <w:tcPr>
                  <w:tcW w:w="969" w:type="pct"/>
                  <w:vAlign w:val="center"/>
                </w:tcPr>
                <w:p>
                  <w:pPr>
                    <w:pStyle w:val="2"/>
                    <w:spacing w:line="260" w:lineRule="exact"/>
                    <w:ind w:firstLine="0"/>
                    <w:jc w:val="center"/>
                    <w:rPr>
                      <w:rFonts w:ascii="Times New Roman" w:hAnsi="Times New Roman"/>
                      <w:sz w:val="21"/>
                      <w:szCs w:val="21"/>
                    </w:rPr>
                  </w:pPr>
                  <w:r>
                    <w:rPr>
                      <w:rFonts w:hint="eastAsia" w:ascii="Times New Roman"/>
                      <w:sz w:val="21"/>
                      <w:szCs w:val="21"/>
                    </w:rPr>
                    <w:t>按照要求开展环境风险评估，熟悉项目危险废物产生、贮存、利用和处置情况并加强管理，编制突发环境事件应急预案编制。</w:t>
                  </w:r>
                </w:p>
              </w:tc>
              <w:tc>
                <w:tcPr>
                  <w:tcW w:w="242" w:type="pct"/>
                  <w:vAlign w:val="center"/>
                </w:tcPr>
                <w:p>
                  <w:pPr>
                    <w:pStyle w:val="2"/>
                    <w:ind w:firstLine="0"/>
                    <w:jc w:val="center"/>
                    <w:rPr>
                      <w:rFonts w:ascii="Times New Roman"/>
                      <w:sz w:val="21"/>
                      <w:szCs w:val="21"/>
                    </w:rPr>
                  </w:pPr>
                  <w:r>
                    <w:rPr>
                      <w:rFonts w:hint="eastAsia" w:ascii="Times New Roman"/>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trPr>
              <w:tc>
                <w:tcPr>
                  <w:tcW w:w="144" w:type="pct"/>
                  <w:vMerge w:val="continue"/>
                  <w:vAlign w:val="center"/>
                </w:tcPr>
                <w:p>
                  <w:pPr>
                    <w:pStyle w:val="2"/>
                    <w:ind w:firstLine="0"/>
                    <w:jc w:val="center"/>
                    <w:rPr>
                      <w:rFonts w:ascii="Times New Roman" w:hAnsi="Times New Roman"/>
                      <w:sz w:val="21"/>
                      <w:szCs w:val="21"/>
                    </w:rPr>
                  </w:pPr>
                </w:p>
              </w:tc>
              <w:tc>
                <w:tcPr>
                  <w:tcW w:w="194" w:type="pct"/>
                  <w:vMerge w:val="continue"/>
                  <w:vAlign w:val="center"/>
                </w:tcPr>
                <w:p>
                  <w:pPr>
                    <w:pStyle w:val="2"/>
                    <w:ind w:firstLine="0"/>
                    <w:jc w:val="center"/>
                    <w:rPr>
                      <w:rFonts w:ascii="Times New Roman" w:hAnsi="Times New Roman"/>
                      <w:sz w:val="21"/>
                      <w:szCs w:val="21"/>
                    </w:rPr>
                  </w:pPr>
                </w:p>
              </w:tc>
              <w:tc>
                <w:tcPr>
                  <w:tcW w:w="156" w:type="pct"/>
                  <w:vMerge w:val="continue"/>
                  <w:vAlign w:val="center"/>
                </w:tcPr>
                <w:p>
                  <w:pPr>
                    <w:pStyle w:val="2"/>
                    <w:ind w:firstLine="0"/>
                    <w:jc w:val="center"/>
                    <w:rPr>
                      <w:rFonts w:ascii="Times New Roman" w:hAnsi="Times New Roman"/>
                      <w:sz w:val="21"/>
                      <w:szCs w:val="21"/>
                    </w:rPr>
                  </w:pPr>
                </w:p>
              </w:tc>
              <w:tc>
                <w:tcPr>
                  <w:tcW w:w="291" w:type="pct"/>
                  <w:vMerge w:val="continue"/>
                  <w:vAlign w:val="center"/>
                </w:tcPr>
                <w:p>
                  <w:pPr>
                    <w:pStyle w:val="2"/>
                    <w:ind w:firstLine="0"/>
                    <w:jc w:val="center"/>
                    <w:rPr>
                      <w:rFonts w:ascii="Times New Roman" w:hAnsi="Times New Roman"/>
                      <w:sz w:val="21"/>
                      <w:szCs w:val="21"/>
                    </w:rPr>
                  </w:pPr>
                </w:p>
              </w:tc>
              <w:tc>
                <w:tcPr>
                  <w:tcW w:w="242" w:type="pct"/>
                  <w:vMerge w:val="continue"/>
                  <w:vAlign w:val="center"/>
                </w:tcPr>
                <w:p>
                  <w:pPr>
                    <w:pStyle w:val="2"/>
                    <w:ind w:firstLine="0"/>
                    <w:jc w:val="center"/>
                    <w:rPr>
                      <w:rFonts w:ascii="Times New Roman" w:hAnsi="Times New Roman"/>
                      <w:sz w:val="21"/>
                      <w:szCs w:val="21"/>
                    </w:rPr>
                  </w:pPr>
                </w:p>
              </w:tc>
              <w:tc>
                <w:tcPr>
                  <w:tcW w:w="582" w:type="pct"/>
                  <w:vAlign w:val="center"/>
                </w:tcPr>
                <w:p>
                  <w:pPr>
                    <w:pStyle w:val="2"/>
                    <w:spacing w:line="240" w:lineRule="exact"/>
                    <w:ind w:firstLine="0"/>
                    <w:jc w:val="center"/>
                    <w:rPr>
                      <w:rFonts w:ascii="Times New Roman" w:hAnsi="Times New Roman"/>
                      <w:spacing w:val="-20"/>
                      <w:sz w:val="21"/>
                      <w:szCs w:val="21"/>
                    </w:rPr>
                  </w:pPr>
                  <w:r>
                    <w:rPr>
                      <w:rFonts w:hint="eastAsia" w:ascii="Times New Roman"/>
                      <w:spacing w:val="-20"/>
                      <w:sz w:val="21"/>
                      <w:szCs w:val="21"/>
                    </w:rPr>
                    <w:t>资源开发效率要求</w:t>
                  </w:r>
                </w:p>
              </w:tc>
              <w:tc>
                <w:tcPr>
                  <w:tcW w:w="1937" w:type="pct"/>
                  <w:vAlign w:val="center"/>
                </w:tcPr>
                <w:p>
                  <w:pPr>
                    <w:pStyle w:val="2"/>
                    <w:spacing w:line="240" w:lineRule="exact"/>
                    <w:ind w:firstLine="0"/>
                    <w:rPr>
                      <w:rFonts w:ascii="Times New Roman" w:hAnsi="Times New Roman"/>
                      <w:sz w:val="21"/>
                      <w:szCs w:val="21"/>
                    </w:rPr>
                  </w:pPr>
                  <w:r>
                    <w:rPr>
                      <w:rFonts w:hint="eastAsia" w:ascii="Times New Roman" w:hAnsi="Times New Roman"/>
                      <w:sz w:val="21"/>
                      <w:szCs w:val="21"/>
                    </w:rPr>
                    <w:t>1.</w:t>
                  </w:r>
                  <w:r>
                    <w:rPr>
                      <w:rFonts w:hint="eastAsia" w:ascii="Times New Roman"/>
                      <w:sz w:val="21"/>
                      <w:szCs w:val="21"/>
                    </w:rPr>
                    <w:t>提高工业用水重复利用率，强化再生水利用。</w:t>
                  </w:r>
                </w:p>
              </w:tc>
              <w:tc>
                <w:tcPr>
                  <w:tcW w:w="243" w:type="pct"/>
                  <w:vMerge w:val="continue"/>
                  <w:vAlign w:val="center"/>
                </w:tcPr>
                <w:p>
                  <w:pPr>
                    <w:pStyle w:val="2"/>
                    <w:ind w:firstLine="0"/>
                    <w:jc w:val="center"/>
                    <w:rPr>
                      <w:rFonts w:ascii="Times New Roman" w:hAnsi="Times New Roman"/>
                      <w:sz w:val="21"/>
                      <w:szCs w:val="21"/>
                    </w:rPr>
                  </w:pPr>
                </w:p>
              </w:tc>
              <w:tc>
                <w:tcPr>
                  <w:tcW w:w="969" w:type="pct"/>
                  <w:vAlign w:val="center"/>
                </w:tcPr>
                <w:p>
                  <w:pPr>
                    <w:pStyle w:val="2"/>
                    <w:ind w:firstLine="0"/>
                    <w:jc w:val="center"/>
                    <w:rPr>
                      <w:rFonts w:ascii="Times New Roman" w:hAnsi="Times New Roman"/>
                      <w:spacing w:val="-20"/>
                      <w:sz w:val="21"/>
                      <w:szCs w:val="21"/>
                    </w:rPr>
                  </w:pPr>
                  <w:r>
                    <w:rPr>
                      <w:rFonts w:hint="eastAsia" w:ascii="Times New Roman"/>
                      <w:spacing w:val="-20"/>
                      <w:sz w:val="21"/>
                      <w:szCs w:val="21"/>
                    </w:rPr>
                    <w:t>项目生产用水循环使用，不外排。</w:t>
                  </w:r>
                </w:p>
              </w:tc>
              <w:tc>
                <w:tcPr>
                  <w:tcW w:w="242" w:type="pct"/>
                  <w:vAlign w:val="center"/>
                </w:tcPr>
                <w:p>
                  <w:pPr>
                    <w:pStyle w:val="2"/>
                    <w:ind w:firstLine="0"/>
                    <w:jc w:val="center"/>
                    <w:rPr>
                      <w:rFonts w:ascii="Times New Roman"/>
                      <w:spacing w:val="-20"/>
                      <w:sz w:val="21"/>
                      <w:szCs w:val="21"/>
                    </w:rPr>
                  </w:pPr>
                  <w:r>
                    <w:rPr>
                      <w:rFonts w:hint="eastAsia" w:ascii="Times New Roman"/>
                      <w:sz w:val="21"/>
                      <w:szCs w:val="21"/>
                    </w:rPr>
                    <w:t>符合</w:t>
                  </w:r>
                </w:p>
              </w:tc>
            </w:tr>
          </w:tbl>
          <w:p>
            <w:pPr>
              <w:pStyle w:val="2"/>
            </w:pPr>
          </w:p>
        </w:tc>
      </w:tr>
    </w:tbl>
    <w:p>
      <w:pPr>
        <w:ind w:firstLine="600" w:firstLineChars="200"/>
        <w:rPr>
          <w:sz w:val="30"/>
          <w:szCs w:val="30"/>
        </w:rPr>
        <w:sectPr>
          <w:pgSz w:w="16838" w:h="11906" w:orient="landscape"/>
          <w:pgMar w:top="1531" w:right="1440" w:bottom="1531" w:left="1440" w:header="851" w:footer="1077" w:gutter="0"/>
          <w:cols w:space="720" w:num="1"/>
          <w:docGrid w:linePitch="312" w:charSpace="0"/>
        </w:sectPr>
      </w:pP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79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pPr>
              <w:jc w:val="center"/>
              <w:rPr>
                <w:sz w:val="30"/>
                <w:szCs w:val="30"/>
              </w:rPr>
            </w:pPr>
            <w:r>
              <w:rPr>
                <w:rFonts w:hint="eastAsia" w:cs="宋体"/>
                <w:kern w:val="0"/>
                <w:sz w:val="24"/>
                <w:szCs w:val="24"/>
              </w:rPr>
              <w:t>其他符合性分析</w:t>
            </w:r>
          </w:p>
        </w:tc>
        <w:tc>
          <w:tcPr>
            <w:tcW w:w="7959" w:type="dxa"/>
          </w:tcPr>
          <w:p>
            <w:pPr>
              <w:pStyle w:val="34"/>
              <w:spacing w:after="0" w:line="360" w:lineRule="auto"/>
              <w:ind w:left="0" w:leftChars="0" w:firstLine="482" w:firstLineChars="200"/>
              <w:rPr>
                <w:b/>
                <w:kern w:val="0"/>
                <w:sz w:val="24"/>
              </w:rPr>
            </w:pPr>
            <w:r>
              <w:rPr>
                <w:rFonts w:hint="eastAsia"/>
                <w:b/>
                <w:kern w:val="0"/>
                <w:sz w:val="24"/>
              </w:rPr>
              <w:t>（3）“一说明”</w:t>
            </w:r>
          </w:p>
          <w:p>
            <w:pPr>
              <w:pStyle w:val="34"/>
              <w:spacing w:after="0" w:line="360" w:lineRule="auto"/>
              <w:ind w:left="0" w:leftChars="0" w:firstLine="480" w:firstLineChars="200"/>
            </w:pPr>
            <w:r>
              <w:rPr>
                <w:rFonts w:hint="eastAsia"/>
                <w:kern w:val="0"/>
                <w:sz w:val="24"/>
              </w:rPr>
              <w:t>根据一图一表分析可知，本项目位于</w:t>
            </w:r>
            <w:r>
              <w:rPr>
                <w:rFonts w:hint="eastAsia"/>
                <w:bCs/>
                <w:kern w:val="0"/>
                <w:sz w:val="24"/>
              </w:rPr>
              <w:t>榆林市经济技术开发区创业创新园创业四路</w:t>
            </w:r>
            <w:r>
              <w:rPr>
                <w:rFonts w:hint="eastAsia"/>
                <w:kern w:val="0"/>
                <w:sz w:val="24"/>
              </w:rPr>
              <w:t>，属于重点管控单元，不涉及生态保护红线，满足各单元在</w:t>
            </w:r>
            <w:r>
              <w:rPr>
                <w:kern w:val="0"/>
                <w:sz w:val="24"/>
              </w:rPr>
              <w:t>空间布局约束</w:t>
            </w:r>
            <w:r>
              <w:rPr>
                <w:rFonts w:hint="eastAsia"/>
                <w:kern w:val="0"/>
                <w:sz w:val="24"/>
              </w:rPr>
              <w:t>、</w:t>
            </w:r>
            <w:r>
              <w:rPr>
                <w:kern w:val="0"/>
                <w:sz w:val="24"/>
              </w:rPr>
              <w:t>污染物排放管控</w:t>
            </w:r>
            <w:r>
              <w:rPr>
                <w:rFonts w:hint="eastAsia"/>
                <w:kern w:val="0"/>
                <w:sz w:val="24"/>
              </w:rPr>
              <w:t>、环境风险管控、</w:t>
            </w:r>
            <w:r>
              <w:rPr>
                <w:kern w:val="0"/>
                <w:sz w:val="24"/>
              </w:rPr>
              <w:t>资源利用效率</w:t>
            </w:r>
            <w:r>
              <w:rPr>
                <w:rFonts w:hint="eastAsia"/>
                <w:kern w:val="0"/>
                <w:sz w:val="24"/>
              </w:rPr>
              <w:t>等管控维度对项目的要求。</w:t>
            </w:r>
            <w:r>
              <w:rPr>
                <w:rFonts w:hint="eastAsia"/>
                <w:sz w:val="24"/>
              </w:rPr>
              <w:t>因此，本项目的建设符合榆林市“三线一单”生态环境分区管控要求</w:t>
            </w:r>
            <w:r>
              <w:rPr>
                <w:rFonts w:hint="eastAsia"/>
                <w:kern w:val="0"/>
                <w:sz w:val="24"/>
              </w:rPr>
              <w:t>。</w:t>
            </w:r>
          </w:p>
          <w:p>
            <w:pPr>
              <w:adjustRightInd w:val="0"/>
              <w:snapToGrid w:val="0"/>
              <w:spacing w:line="360" w:lineRule="auto"/>
              <w:rPr>
                <w:b/>
                <w:bCs/>
                <w:sz w:val="24"/>
                <w:szCs w:val="24"/>
              </w:rPr>
            </w:pPr>
            <w:r>
              <w:rPr>
                <w:rFonts w:hint="eastAsia" w:cs="宋体"/>
                <w:b/>
                <w:bCs/>
                <w:sz w:val="24"/>
                <w:szCs w:val="24"/>
              </w:rPr>
              <w:t>4、</w:t>
            </w:r>
            <w:r>
              <w:rPr>
                <w:rFonts w:cs="宋体"/>
                <w:b/>
                <w:bCs/>
                <w:sz w:val="24"/>
                <w:szCs w:val="24"/>
              </w:rPr>
              <w:t>与相关环保政策符合性分析</w:t>
            </w:r>
          </w:p>
          <w:p>
            <w:pPr>
              <w:adjustRightInd w:val="0"/>
              <w:snapToGrid w:val="0"/>
              <w:spacing w:line="360" w:lineRule="auto"/>
              <w:ind w:firstLine="480" w:firstLineChars="200"/>
              <w:jc w:val="left"/>
              <w:rPr>
                <w:kern w:val="0"/>
                <w:sz w:val="24"/>
                <w:szCs w:val="24"/>
                <w:u w:color="000000"/>
              </w:rPr>
            </w:pPr>
            <w:r>
              <w:rPr>
                <w:rFonts w:hint="eastAsia" w:cs="宋体"/>
                <w:kern w:val="0"/>
                <w:sz w:val="24"/>
                <w:szCs w:val="24"/>
                <w:u w:color="000000"/>
              </w:rPr>
              <w:t>本项目与</w:t>
            </w:r>
            <w:r>
              <w:rPr>
                <w:rFonts w:cs="宋体"/>
                <w:bCs/>
                <w:kern w:val="0"/>
                <w:sz w:val="24"/>
                <w:szCs w:val="24"/>
                <w:u w:color="000000"/>
              </w:rPr>
              <w:t>相关环保政策符合性分析</w:t>
            </w:r>
            <w:r>
              <w:rPr>
                <w:rFonts w:hint="eastAsia" w:cs="宋体"/>
                <w:kern w:val="0"/>
                <w:sz w:val="24"/>
                <w:szCs w:val="24"/>
                <w:u w:color="000000"/>
              </w:rPr>
              <w:t>见下表。</w:t>
            </w:r>
          </w:p>
          <w:p>
            <w:pPr>
              <w:adjustRightInd w:val="0"/>
              <w:snapToGrid w:val="0"/>
              <w:spacing w:line="360" w:lineRule="auto"/>
              <w:jc w:val="center"/>
              <w:rPr>
                <w:b/>
                <w:bCs/>
                <w:kern w:val="0"/>
                <w:sz w:val="22"/>
                <w:szCs w:val="24"/>
              </w:rPr>
            </w:pPr>
            <w:r>
              <w:rPr>
                <w:rFonts w:hint="eastAsia" w:cs="宋体"/>
                <w:b/>
                <w:bCs/>
                <w:kern w:val="0"/>
                <w:sz w:val="22"/>
                <w:szCs w:val="24"/>
              </w:rPr>
              <w:t>表</w:t>
            </w:r>
            <w:r>
              <w:rPr>
                <w:b/>
                <w:bCs/>
                <w:kern w:val="0"/>
                <w:sz w:val="22"/>
                <w:szCs w:val="24"/>
              </w:rPr>
              <w:t>1-</w:t>
            </w:r>
            <w:r>
              <w:rPr>
                <w:rFonts w:hint="eastAsia"/>
                <w:b/>
                <w:bCs/>
                <w:kern w:val="0"/>
                <w:sz w:val="22"/>
                <w:szCs w:val="24"/>
              </w:rPr>
              <w:t xml:space="preserve">5 </w:t>
            </w:r>
            <w:r>
              <w:rPr>
                <w:rFonts w:cs="宋体"/>
                <w:b/>
                <w:bCs/>
                <w:kern w:val="0"/>
                <w:sz w:val="22"/>
                <w:szCs w:val="24"/>
              </w:rPr>
              <w:t>项目与相关</w:t>
            </w:r>
            <w:r>
              <w:rPr>
                <w:rFonts w:hint="eastAsia" w:cs="宋体"/>
                <w:b/>
                <w:bCs/>
                <w:kern w:val="0"/>
                <w:sz w:val="22"/>
                <w:szCs w:val="24"/>
              </w:rPr>
              <w:t>环保</w:t>
            </w:r>
            <w:r>
              <w:rPr>
                <w:rFonts w:cs="宋体"/>
                <w:b/>
                <w:bCs/>
                <w:kern w:val="0"/>
                <w:sz w:val="22"/>
                <w:szCs w:val="24"/>
              </w:rPr>
              <w:t>政策</w:t>
            </w:r>
            <w:r>
              <w:rPr>
                <w:rFonts w:hint="eastAsia" w:cs="宋体"/>
                <w:b/>
                <w:bCs/>
                <w:kern w:val="0"/>
                <w:sz w:val="22"/>
                <w:szCs w:val="24"/>
              </w:rPr>
              <w:t>相符性分析</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3"/>
              <w:gridCol w:w="3022"/>
              <w:gridCol w:w="2238"/>
              <w:gridCol w:w="6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名称</w:t>
                  </w:r>
                </w:p>
              </w:tc>
              <w:tc>
                <w:tcPr>
                  <w:tcW w:w="195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要求</w:t>
                  </w:r>
                </w:p>
              </w:tc>
              <w:tc>
                <w:tcPr>
                  <w:tcW w:w="144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本项目情况</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top w:val="single" w:color="auto" w:sz="4" w:space="0"/>
                    <w:left w:val="single" w:color="auto" w:sz="4" w:space="0"/>
                    <w:right w:val="single" w:color="auto" w:sz="4" w:space="0"/>
                  </w:tcBorders>
                  <w:vAlign w:val="center"/>
                </w:tcPr>
                <w:p>
                  <w:pPr>
                    <w:adjustRightInd w:val="0"/>
                    <w:snapToGrid w:val="0"/>
                    <w:jc w:val="center"/>
                    <w:rPr>
                      <w:spacing w:val="-4"/>
                    </w:rPr>
                  </w:pPr>
                  <w:r>
                    <w:rPr>
                      <w:rFonts w:hint="eastAsia"/>
                      <w:spacing w:val="-4"/>
                    </w:rPr>
                    <w:t>陕西省人民政府办公厅《关于印发“十四五”生态环境保护规划的通知》</w:t>
                  </w:r>
                  <w:r>
                    <w:rPr>
                      <w:spacing w:val="-4"/>
                    </w:rPr>
                    <w:t>（陕政办发〔2021〕25号）</w:t>
                  </w:r>
                </w:p>
              </w:tc>
              <w:tc>
                <w:tcPr>
                  <w:tcW w:w="1954" w:type="pct"/>
                  <w:tcBorders>
                    <w:top w:val="single" w:color="auto" w:sz="4" w:space="0"/>
                    <w:left w:val="single" w:color="auto" w:sz="4" w:space="0"/>
                    <w:bottom w:val="single" w:color="auto" w:sz="4" w:space="0"/>
                    <w:right w:val="single" w:color="auto" w:sz="4" w:space="0"/>
                  </w:tcBorders>
                  <w:vAlign w:val="center"/>
                </w:tcPr>
                <w:p>
                  <w:pPr>
                    <w:adjustRightInd w:val="0"/>
                    <w:snapToGrid w:val="0"/>
                    <w:rPr>
                      <w:spacing w:val="-4"/>
                    </w:rPr>
                  </w:pPr>
                  <w:r>
                    <w:rPr>
                      <w:rFonts w:hint="eastAsia"/>
                      <w:spacing w:val="-4"/>
                    </w:rPr>
                    <w:t>推进重点行业挥发性有机物综合整治。建立石化、化工、工业涂装、包装印刷、家具、电子制造、工程机械制造等重点行业源头、过程和末端全过程控制体系，实施挥发性有机物总量控制。</w:t>
                  </w:r>
                </w:p>
              </w:tc>
              <w:tc>
                <w:tcPr>
                  <w:tcW w:w="14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spacing w:val="-4"/>
                    </w:rPr>
                  </w:pPr>
                  <w:r>
                    <w:rPr>
                      <w:rFonts w:hint="eastAsia"/>
                    </w:rPr>
                    <w:t>本项目封头手工制作过程于伸缩式密闭房进行，产生的有机废气经负压收集后采用“活性炭吸附/脱附浓缩+催化燃烧（RCO）装置”处理后通过1根18m高排气筒排放；罐体制作过程于伸缩式密闭房进行，产生的有机经负压收集后采用“活性炭吸附/脱附浓缩+催化燃烧（RCO）装置”处理后通过1根18m高排气筒排放。</w:t>
                  </w:r>
                </w:p>
              </w:tc>
              <w:tc>
                <w:tcPr>
                  <w:tcW w:w="420" w:type="pct"/>
                  <w:tcBorders>
                    <w:top w:val="single" w:color="auto" w:sz="4" w:space="0"/>
                    <w:left w:val="single" w:color="auto" w:sz="4" w:space="0"/>
                    <w:bottom w:val="single" w:color="auto" w:sz="4" w:space="0"/>
                    <w:right w:val="single" w:color="auto" w:sz="4" w:space="0"/>
                  </w:tcBorders>
                  <w:vAlign w:val="center"/>
                </w:tcPr>
                <w:p>
                  <w:pPr>
                    <w:tabs>
                      <w:tab w:val="left" w:pos="1053"/>
                    </w:tabs>
                    <w:autoSpaceDE w:val="0"/>
                    <w:autoSpaceDN w:val="0"/>
                    <w:adjustRightInd w:val="0"/>
                    <w:snapToGrid w:val="0"/>
                    <w:jc w:val="center"/>
                    <w:rPr>
                      <w:spacing w:val="-4"/>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bottom w:val="single" w:color="auto" w:sz="4" w:space="0"/>
                    <w:right w:val="single" w:color="auto" w:sz="4" w:space="0"/>
                  </w:tcBorders>
                  <w:vAlign w:val="center"/>
                </w:tcPr>
                <w:p>
                  <w:pPr>
                    <w:adjustRightInd w:val="0"/>
                    <w:snapToGrid w:val="0"/>
                    <w:jc w:val="center"/>
                    <w:rPr>
                      <w:spacing w:val="-4"/>
                    </w:rPr>
                  </w:pPr>
                </w:p>
              </w:tc>
              <w:tc>
                <w:tcPr>
                  <w:tcW w:w="1954" w:type="pct"/>
                  <w:tcBorders>
                    <w:top w:val="single" w:color="auto" w:sz="4" w:space="0"/>
                    <w:left w:val="single" w:color="auto" w:sz="4" w:space="0"/>
                    <w:bottom w:val="single" w:color="auto" w:sz="4" w:space="0"/>
                    <w:right w:val="single" w:color="auto" w:sz="4" w:space="0"/>
                  </w:tcBorders>
                  <w:vAlign w:val="center"/>
                </w:tcPr>
                <w:p>
                  <w:pPr>
                    <w:adjustRightInd w:val="0"/>
                    <w:snapToGrid w:val="0"/>
                    <w:rPr>
                      <w:spacing w:val="-4"/>
                    </w:rPr>
                  </w:pPr>
                  <w:r>
                    <w:rPr>
                      <w:rFonts w:hint="eastAsia"/>
                    </w:rPr>
                    <w:t>针对储罐、装卸、敞开页面、动静密封点、废气收集治理、废气旁路、非正常工况等关键环节，对照相关行业排放标准及无组织排放控制要求，组织开展排放整治，确保稳定达标排放。</w:t>
                  </w:r>
                </w:p>
              </w:tc>
              <w:tc>
                <w:tcPr>
                  <w:tcW w:w="14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项目原料储存采用密闭原料桶暂存于封闭原料库，输送采用密闭管道输送，且生产过程位于封闭车间内密闭房等进行，产生的有机废气均采取了相应的治理措施。项目厂界废气排放满足排放标准限值要求。</w:t>
                  </w:r>
                </w:p>
              </w:tc>
              <w:tc>
                <w:tcPr>
                  <w:tcW w:w="420" w:type="pct"/>
                  <w:tcBorders>
                    <w:top w:val="single" w:color="auto" w:sz="4" w:space="0"/>
                    <w:left w:val="single" w:color="auto" w:sz="4" w:space="0"/>
                    <w:bottom w:val="single" w:color="auto" w:sz="4" w:space="0"/>
                    <w:right w:val="single" w:color="auto" w:sz="4" w:space="0"/>
                  </w:tcBorders>
                  <w:vAlign w:val="center"/>
                </w:tcPr>
                <w:p>
                  <w:pPr>
                    <w:tabs>
                      <w:tab w:val="left" w:pos="1053"/>
                    </w:tabs>
                    <w:autoSpaceDE w:val="0"/>
                    <w:autoSpaceDN w:val="0"/>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9" w:hRule="atLeast"/>
              </w:trPr>
              <w:tc>
                <w:tcPr>
                  <w:tcW w:w="1179" w:type="pct"/>
                  <w:vMerge w:val="restart"/>
                  <w:tcBorders>
                    <w:top w:val="single" w:color="auto" w:sz="4" w:space="0"/>
                    <w:left w:val="single" w:color="auto" w:sz="4" w:space="0"/>
                    <w:right w:val="single" w:color="auto" w:sz="4" w:space="0"/>
                  </w:tcBorders>
                  <w:vAlign w:val="center"/>
                </w:tcPr>
                <w:p>
                  <w:pPr>
                    <w:autoSpaceDE w:val="0"/>
                    <w:autoSpaceDN w:val="0"/>
                    <w:snapToGrid w:val="0"/>
                    <w:jc w:val="center"/>
                    <w:rPr>
                      <w:kern w:val="0"/>
                    </w:rPr>
                  </w:pPr>
                  <w:r>
                    <w:rPr>
                      <w:rFonts w:hint="eastAsia"/>
                    </w:rPr>
                    <w:t>中共榆林市委办公室榆林市人民政府办公室关于印发《榆林市2023年生态环境保护三十项攻坚行动方案》的通知（榆办字【2023】33号）</w:t>
                  </w:r>
                </w:p>
              </w:tc>
              <w:tc>
                <w:tcPr>
                  <w:tcW w:w="1954" w:type="pct"/>
                  <w:tcBorders>
                    <w:top w:val="single" w:color="auto" w:sz="4" w:space="0"/>
                    <w:left w:val="single" w:color="auto" w:sz="4" w:space="0"/>
                    <w:bottom w:val="single" w:color="auto" w:sz="4" w:space="0"/>
                    <w:right w:val="single" w:color="auto" w:sz="4" w:space="0"/>
                  </w:tcBorders>
                  <w:vAlign w:val="center"/>
                </w:tcPr>
                <w:p>
                  <w:pPr>
                    <w:pStyle w:val="88"/>
                    <w:ind w:firstLine="0" w:firstLineChars="0"/>
                  </w:pPr>
                  <w:r>
                    <w:rPr>
                      <w:rFonts w:hint="eastAsia"/>
                    </w:rPr>
                    <w:t>开展兰炭VOCs深度治理，VOCs废气经收集后进行高效处理，严禁VOCs废气未经收集处理直接排放。</w:t>
                  </w:r>
                </w:p>
              </w:tc>
              <w:tc>
                <w:tcPr>
                  <w:tcW w:w="1447" w:type="pct"/>
                  <w:vMerge w:val="restart"/>
                  <w:tcBorders>
                    <w:left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本项目属于新建项目，且位于靖边县经济技术开发区创业创新园，生产过程产生的</w:t>
                  </w:r>
                  <w:r>
                    <w:rPr>
                      <w:rFonts w:hint="eastAsia" w:ascii="Times New Roman" w:hAnsi="Times New Roman" w:cs="Times New Roman"/>
                      <w:sz w:val="21"/>
                      <w:szCs w:val="21"/>
                      <w:lang w:eastAsia="zh-CN"/>
                    </w:rPr>
                    <w:t>有机废气采用“活性炭吸附/脱附浓缩+催化燃烧装置（RCO）”处理设施处理后通18m高排气筒达标排放。</w:t>
                  </w:r>
                </w:p>
              </w:tc>
              <w:tc>
                <w:tcPr>
                  <w:tcW w:w="420" w:type="pct"/>
                  <w:tcBorders>
                    <w:top w:val="single" w:color="auto" w:sz="4" w:space="0"/>
                    <w:left w:val="single" w:color="auto" w:sz="4" w:space="0"/>
                    <w:bottom w:val="single" w:color="auto" w:sz="4" w:space="0"/>
                    <w:right w:val="single" w:color="auto" w:sz="4" w:space="0"/>
                  </w:tcBorders>
                  <w:vAlign w:val="center"/>
                </w:tcPr>
                <w:p>
                  <w:pPr>
                    <w:tabs>
                      <w:tab w:val="left" w:pos="1053"/>
                    </w:tabs>
                    <w:autoSpaceDE w:val="0"/>
                    <w:autoSpaceDN w:val="0"/>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autoSpaceDE w:val="0"/>
                    <w:autoSpaceDN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88"/>
                    <w:ind w:firstLine="0" w:firstLineChars="0"/>
                    <w:jc w:val="left"/>
                  </w:pPr>
                  <w:r>
                    <w:rPr>
                      <w:rFonts w:hint="eastAsia"/>
                    </w:rPr>
                    <w:t>臭氧污染监管行动。协同控制挥发性有机物（VOCs）和氮氧化物排放，强化中心城区臭氧污染防治。新建加油站、汽修烤漆店、餐饮店和单位食堂等必须安装有机废气治理设施</w:t>
                  </w:r>
                </w:p>
              </w:tc>
              <w:tc>
                <w:tcPr>
                  <w:tcW w:w="1447" w:type="pct"/>
                  <w:vMerge w:val="continue"/>
                  <w:tcBorders>
                    <w:left w:val="single" w:color="auto" w:sz="4" w:space="0"/>
                    <w:bottom w:val="single" w:color="auto" w:sz="4" w:space="0"/>
                    <w:right w:val="single" w:color="auto" w:sz="4" w:space="0"/>
                  </w:tcBorders>
                  <w:vAlign w:val="center"/>
                </w:tcPr>
                <w:p>
                  <w:pPr>
                    <w:pStyle w:val="88"/>
                    <w:ind w:firstLine="0" w:firstLineChars="0"/>
                  </w:pPr>
                </w:p>
              </w:tc>
              <w:tc>
                <w:tcPr>
                  <w:tcW w:w="420" w:type="pct"/>
                  <w:tcBorders>
                    <w:top w:val="single" w:color="auto" w:sz="4" w:space="0"/>
                    <w:left w:val="single" w:color="auto" w:sz="4" w:space="0"/>
                    <w:bottom w:val="single" w:color="auto" w:sz="4" w:space="0"/>
                    <w:right w:val="single" w:color="auto" w:sz="4" w:space="0"/>
                  </w:tcBorders>
                  <w:vAlign w:val="center"/>
                </w:tcPr>
                <w:p>
                  <w:pPr>
                    <w:tabs>
                      <w:tab w:val="left" w:pos="1053"/>
                    </w:tabs>
                    <w:autoSpaceDE w:val="0"/>
                    <w:autoSpaceDN w:val="0"/>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bottom w:val="single" w:color="auto" w:sz="4" w:space="0"/>
                    <w:right w:val="single" w:color="auto" w:sz="4" w:space="0"/>
                  </w:tcBorders>
                  <w:vAlign w:val="center"/>
                </w:tcPr>
                <w:p>
                  <w:pPr>
                    <w:autoSpaceDE w:val="0"/>
                    <w:autoSpaceDN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88"/>
                    <w:ind w:firstLine="0" w:firstLineChars="0"/>
                    <w:jc w:val="left"/>
                  </w:pPr>
                  <w:r>
                    <w:rPr>
                      <w:rFonts w:hint="eastAsia"/>
                    </w:rPr>
                    <w:t>污染天气应急管控行动。各县市区根据需求加强行政区域内城市间大气污染联防联控，构建“市一县”重污染天气应对二级预案体系；持续推进重点行业企业绩效分级，加强重污染天气应对。各相关县市区根据市级污染天气应急管控通知，结合实际同步启动污染天气应急响应；规范重污染天气预警、启动、响应、解除工作流程。</w:t>
                  </w:r>
                </w:p>
              </w:tc>
              <w:tc>
                <w:tcPr>
                  <w:tcW w:w="1447" w:type="pct"/>
                  <w:tcBorders>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z w:val="21"/>
                      <w:szCs w:val="21"/>
                      <w:lang w:eastAsia="zh-CN"/>
                    </w:rPr>
                    <w:t>本项目按照《重污染天气重点行业绩效分级及减排措施》中玻璃钢（纤维增强塑料制品）企业绩效引领性指标要求进行生产。重污染天气应急期间，</w:t>
                  </w:r>
                  <w:r>
                    <w:rPr>
                      <w:rFonts w:hint="eastAsia" w:ascii="Times New Roman" w:hAnsi="Times New Roman" w:cs="Times New Roman"/>
                      <w:snapToGrid w:val="0"/>
                      <w:sz w:val="21"/>
                      <w:szCs w:val="21"/>
                      <w:lang w:eastAsia="zh-CN"/>
                    </w:rPr>
                    <w:t>项目启动重</w:t>
                  </w:r>
                  <w:r>
                    <w:rPr>
                      <w:rFonts w:hint="eastAsia" w:ascii="Times New Roman" w:hAnsi="Times New Roman" w:cs="Times New Roman"/>
                      <w:sz w:val="21"/>
                      <w:szCs w:val="21"/>
                      <w:lang w:eastAsia="zh-CN"/>
                    </w:rPr>
                    <w:t>污染天气应急响应进行减排错峰生产。</w:t>
                  </w:r>
                </w:p>
                <w:p>
                  <w:pPr>
                    <w:pStyle w:val="88"/>
                    <w:ind w:firstLine="0" w:firstLineChars="0"/>
                  </w:pPr>
                </w:p>
              </w:tc>
              <w:tc>
                <w:tcPr>
                  <w:tcW w:w="420" w:type="pct"/>
                  <w:tcBorders>
                    <w:top w:val="single" w:color="auto" w:sz="4" w:space="0"/>
                    <w:left w:val="single" w:color="auto" w:sz="4" w:space="0"/>
                    <w:bottom w:val="single" w:color="auto" w:sz="4" w:space="0"/>
                    <w:right w:val="single" w:color="auto" w:sz="4" w:space="0"/>
                  </w:tcBorders>
                  <w:vAlign w:val="center"/>
                </w:tcPr>
                <w:p>
                  <w:pPr>
                    <w:tabs>
                      <w:tab w:val="left" w:pos="1053"/>
                    </w:tabs>
                    <w:autoSpaceDE w:val="0"/>
                    <w:autoSpaceDN w:val="0"/>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《挥发性有机物（</w:t>
                  </w:r>
                  <w:r>
                    <w:rPr>
                      <w:u w:color="000000"/>
                    </w:rPr>
                    <w:t>VOCs</w:t>
                  </w:r>
                  <w:r>
                    <w:rPr>
                      <w:rFonts w:hint="eastAsia" w:cs="宋体"/>
                      <w:u w:color="000000"/>
                    </w:rPr>
                    <w:t>）污染防治技术政策》</w:t>
                  </w:r>
                  <w:r>
                    <w:rPr>
                      <w:rFonts w:cs="宋体"/>
                      <w:u w:color="000000"/>
                    </w:rPr>
                    <w:t>（公告2013年第31号）</w:t>
                  </w:r>
                </w:p>
                <w:p>
                  <w:pPr>
                    <w:widowControl/>
                    <w:adjustRightInd w:val="0"/>
                    <w:snapToGrid w:val="0"/>
                    <w:jc w:val="center"/>
                    <w:rPr>
                      <w:u w:color="000000"/>
                    </w:rPr>
                  </w:pPr>
                </w:p>
              </w:tc>
              <w:tc>
                <w:tcPr>
                  <w:tcW w:w="195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u w:color="000000"/>
                    </w:rPr>
                  </w:pPr>
                  <w:r>
                    <w:rPr>
                      <w:rFonts w:hint="eastAsia" w:cs="宋体"/>
                      <w:u w:color="000000"/>
                    </w:rPr>
                    <w:t>含</w:t>
                  </w:r>
                  <w:r>
                    <w:rPr>
                      <w:u w:color="000000"/>
                    </w:rPr>
                    <w:t>VOC</w:t>
                  </w:r>
                  <w:r>
                    <w:rPr>
                      <w:u w:color="000000"/>
                      <w:vertAlign w:val="subscript"/>
                    </w:rPr>
                    <w:t>S</w:t>
                  </w:r>
                  <w:r>
                    <w:rPr>
                      <w:rFonts w:hint="eastAsia" w:cs="宋体"/>
                      <w:u w:color="000000"/>
                    </w:rPr>
                    <w:t>产品的使用过程中，应采取废气收集措施，提高废气收集效率，减少废气的无组织排放与逸散，并对收集后的废气进行回收或处理后达标排放。</w:t>
                  </w:r>
                </w:p>
              </w:tc>
              <w:tc>
                <w:tcPr>
                  <w:tcW w:w="144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本项目生产工序产生的挥发性有机废气经负压收集后采用“活性炭吸附/脱附浓缩+催化燃烧装置</w:t>
                  </w:r>
                  <w:r>
                    <w:rPr>
                      <w:rFonts w:cs="宋体"/>
                      <w:u w:color="000000"/>
                    </w:rPr>
                    <w:t>（</w:t>
                  </w:r>
                  <w:r>
                    <w:t>RCO）</w:t>
                  </w:r>
                  <w:r>
                    <w:rPr>
                      <w:rFonts w:hint="eastAsia" w:cs="宋体"/>
                      <w:u w:color="000000"/>
                    </w:rPr>
                    <w:t>”净化处理后通过</w:t>
                  </w:r>
                  <w:r>
                    <w:rPr>
                      <w:u w:color="000000"/>
                    </w:rPr>
                    <w:t>1</w:t>
                  </w:r>
                  <w:r>
                    <w:rPr>
                      <w:rFonts w:hint="eastAsia"/>
                      <w:u w:color="000000"/>
                    </w:rPr>
                    <w:t>8</w:t>
                  </w:r>
                  <w:r>
                    <w:rPr>
                      <w:u w:color="000000"/>
                    </w:rPr>
                    <w:t>m</w:t>
                  </w:r>
                  <w:r>
                    <w:rPr>
                      <w:rFonts w:hint="eastAsia" w:cs="宋体"/>
                      <w:u w:color="000000"/>
                    </w:rPr>
                    <w:t>高排气筒排放。且项目原料储存、输送等采用密闭原料桶或封闭原料库及密闭管道等措施。</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p>
              </w:tc>
              <w:tc>
                <w:tcPr>
                  <w:tcW w:w="1954" w:type="pct"/>
                  <w:tcBorders>
                    <w:top w:val="single" w:color="auto" w:sz="4" w:space="0"/>
                    <w:left w:val="single" w:color="auto" w:sz="4" w:space="0"/>
                    <w:bottom w:val="single" w:color="auto" w:sz="4" w:space="0"/>
                    <w:right w:val="single" w:color="auto" w:sz="4" w:space="0"/>
                  </w:tcBorders>
                  <w:vAlign w:val="center"/>
                </w:tcPr>
                <w:p>
                  <w:pPr>
                    <w:pStyle w:val="137"/>
                    <w:adjustRightInd w:val="0"/>
                    <w:snapToGrid w:val="0"/>
                    <w:jc w:val="center"/>
                    <w:rPr>
                      <w:sz w:val="21"/>
                      <w:szCs w:val="21"/>
                    </w:rPr>
                  </w:pPr>
                  <w:r>
                    <w:rPr>
                      <w:rFonts w:hint="eastAsia" w:cs="宋体"/>
                      <w:sz w:val="21"/>
                      <w:szCs w:val="21"/>
                    </w:rPr>
                    <w:t>企业应建立健全</w:t>
                  </w:r>
                  <w:r>
                    <w:rPr>
                      <w:sz w:val="21"/>
                      <w:szCs w:val="21"/>
                    </w:rPr>
                    <w:t>VOC</w:t>
                  </w:r>
                  <w:r>
                    <w:rPr>
                      <w:sz w:val="21"/>
                      <w:szCs w:val="21"/>
                      <w:vertAlign w:val="subscript"/>
                    </w:rPr>
                    <w:t>S</w:t>
                  </w:r>
                  <w:r>
                    <w:rPr>
                      <w:rFonts w:hint="eastAsia" w:cs="宋体"/>
                      <w:sz w:val="21"/>
                      <w:szCs w:val="21"/>
                    </w:rPr>
                    <w:t>治理设施的运行维护规程和台账等日常管理制度，并根据工艺要求定期对各类设备、电气、自控仪表等进行检修维护，确保设施的稳定运行。</w:t>
                  </w:r>
                </w:p>
              </w:tc>
              <w:tc>
                <w:tcPr>
                  <w:tcW w:w="1447" w:type="pct"/>
                  <w:tcBorders>
                    <w:top w:val="single" w:color="auto" w:sz="4" w:space="0"/>
                    <w:left w:val="single" w:color="auto" w:sz="4" w:space="0"/>
                    <w:bottom w:val="single" w:color="auto" w:sz="4" w:space="0"/>
                    <w:right w:val="single" w:color="auto" w:sz="4" w:space="0"/>
                  </w:tcBorders>
                  <w:vAlign w:val="center"/>
                </w:tcPr>
                <w:p>
                  <w:pPr>
                    <w:pStyle w:val="137"/>
                    <w:adjustRightInd w:val="0"/>
                    <w:snapToGrid w:val="0"/>
                    <w:jc w:val="center"/>
                    <w:rPr>
                      <w:sz w:val="21"/>
                      <w:szCs w:val="21"/>
                    </w:rPr>
                  </w:pPr>
                  <w:r>
                    <w:rPr>
                      <w:rFonts w:hint="eastAsia" w:cs="宋体"/>
                      <w:sz w:val="21"/>
                      <w:szCs w:val="21"/>
                    </w:rPr>
                    <w:t>环评要求企业建立健全</w:t>
                  </w:r>
                  <w:r>
                    <w:rPr>
                      <w:sz w:val="21"/>
                      <w:szCs w:val="21"/>
                    </w:rPr>
                    <w:t>VOC</w:t>
                  </w:r>
                  <w:r>
                    <w:rPr>
                      <w:sz w:val="21"/>
                      <w:szCs w:val="21"/>
                      <w:vertAlign w:val="subscript"/>
                    </w:rPr>
                    <w:t>S</w:t>
                  </w:r>
                  <w:r>
                    <w:rPr>
                      <w:rFonts w:hint="eastAsia" w:cs="宋体"/>
                      <w:sz w:val="21"/>
                      <w:szCs w:val="21"/>
                    </w:rPr>
                    <w:t>治理设施的运行维护制度和台账，并加强对各类设备的检修维护，记录废气收集系统、VOCs处理设施的主要运行情况，台账保存期限不少于5年。定期更换活性炭，确保活性炭的去除效率。</w:t>
                  </w:r>
                </w:p>
              </w:tc>
              <w:tc>
                <w:tcPr>
                  <w:tcW w:w="420" w:type="pct"/>
                  <w:tcBorders>
                    <w:top w:val="single" w:color="auto" w:sz="4" w:space="0"/>
                    <w:left w:val="single" w:color="auto" w:sz="4" w:space="0"/>
                    <w:bottom w:val="single" w:color="auto" w:sz="4" w:space="0"/>
                    <w:right w:val="single" w:color="auto" w:sz="4" w:space="0"/>
                  </w:tcBorders>
                  <w:vAlign w:val="center"/>
                </w:tcPr>
                <w:p>
                  <w:pPr>
                    <w:pStyle w:val="137"/>
                    <w:adjustRightInd w:val="0"/>
                    <w:snapToGrid w:val="0"/>
                    <w:jc w:val="center"/>
                    <w:rPr>
                      <w:sz w:val="21"/>
                      <w:szCs w:val="21"/>
                    </w:rPr>
                  </w:pPr>
                  <w:r>
                    <w:rPr>
                      <w:rFonts w:hint="eastAsia" w:cs="宋体"/>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《重点行业挥发性有机物综合治理方案》（环大气〔</w:t>
                  </w:r>
                  <w:r>
                    <w:rPr>
                      <w:u w:color="000000"/>
                    </w:rPr>
                    <w:t>2019</w:t>
                  </w:r>
                  <w:r>
                    <w:rPr>
                      <w:rFonts w:hint="eastAsia" w:cs="宋体"/>
                      <w:u w:color="000000"/>
                    </w:rPr>
                    <w:t>〕</w:t>
                  </w:r>
                  <w:r>
                    <w:rPr>
                      <w:u w:color="000000"/>
                    </w:rPr>
                    <w:t>53</w:t>
                  </w:r>
                  <w:r>
                    <w:rPr>
                      <w:rFonts w:hint="eastAsia" w:cs="宋体"/>
                      <w:u w:color="000000"/>
                    </w:rPr>
                    <w:t>号）</w:t>
                  </w:r>
                </w:p>
              </w:tc>
              <w:tc>
                <w:tcPr>
                  <w:tcW w:w="195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rPr>
                      <w:u w:color="000000"/>
                    </w:rPr>
                  </w:pPr>
                  <w:r>
                    <w:rPr>
                      <w:rFonts w:hint="eastAsia" w:cs="宋体"/>
                      <w:u w:color="000000"/>
                    </w:rPr>
                    <w:t>大力推进源头替代。通过使用水性、粉末、高固体分、无溶剂、辐射固化等低</w:t>
                  </w:r>
                  <w:r>
                    <w:rPr>
                      <w:u w:color="000000"/>
                    </w:rPr>
                    <w:t>VOCs</w:t>
                  </w:r>
                  <w:r>
                    <w:rPr>
                      <w:rFonts w:hint="eastAsia" w:cs="宋体"/>
                      <w:u w:color="000000"/>
                    </w:rPr>
                    <w:t>含量的涂料，水性、辐射固化、植物基等低</w:t>
                  </w:r>
                  <w:r>
                    <w:rPr>
                      <w:u w:color="000000"/>
                    </w:rPr>
                    <w:t>VOCs</w:t>
                  </w:r>
                  <w:r>
                    <w:rPr>
                      <w:rFonts w:hint="eastAsia" w:cs="宋体"/>
                      <w:u w:color="000000"/>
                    </w:rPr>
                    <w:t>含量的油墨，水基、热熔、无溶剂、辐射固化、改性、生物降解等低</w:t>
                  </w:r>
                  <w:r>
                    <w:rPr>
                      <w:u w:color="000000"/>
                    </w:rPr>
                    <w:t>VOCs</w:t>
                  </w:r>
                  <w:r>
                    <w:rPr>
                      <w:rFonts w:hint="eastAsia" w:cs="宋体"/>
                      <w:u w:color="000000"/>
                    </w:rPr>
                    <w:t>含量的胶粘剂，以及低</w:t>
                  </w:r>
                  <w:r>
                    <w:rPr>
                      <w:u w:color="000000"/>
                    </w:rPr>
                    <w:t>VOCs</w:t>
                  </w:r>
                  <w:r>
                    <w:rPr>
                      <w:rFonts w:hint="eastAsia" w:cs="宋体"/>
                      <w:u w:color="000000"/>
                    </w:rPr>
                    <w:t>含量、低反应活性的清洗剂等，替代溶剂型涂料、油墨、胶粘剂、清洗剂等，从源头减少</w:t>
                  </w:r>
                  <w:r>
                    <w:rPr>
                      <w:u w:color="000000"/>
                    </w:rPr>
                    <w:t>VOCs</w:t>
                  </w:r>
                  <w:r>
                    <w:rPr>
                      <w:rFonts w:hint="eastAsia" w:cs="宋体"/>
                      <w:u w:color="000000"/>
                    </w:rPr>
                    <w:t>产生。</w:t>
                  </w:r>
                </w:p>
                <w:p>
                  <w:pPr>
                    <w:widowControl/>
                    <w:adjustRightInd w:val="0"/>
                    <w:snapToGrid w:val="0"/>
                    <w:rPr>
                      <w:u w:color="000000"/>
                    </w:rPr>
                  </w:pPr>
                  <w:r>
                    <w:rPr>
                      <w:rFonts w:hint="eastAsia" w:cs="宋体"/>
                      <w:u w:color="000000"/>
                    </w:rPr>
                    <w:t>加强政策引导。企业采用符合国家有关低</w:t>
                  </w:r>
                  <w:r>
                    <w:rPr>
                      <w:u w:color="000000"/>
                    </w:rPr>
                    <w:t>VOCs</w:t>
                  </w:r>
                  <w:r>
                    <w:rPr>
                      <w:rFonts w:hint="eastAsia" w:cs="宋体"/>
                      <w:u w:color="000000"/>
                    </w:rPr>
                    <w:t>含量产品规定的涂料、油墨、胶粘剂等，排放浓度稳定达标且排放速率、排放绩效等满足相关规定。</w:t>
                  </w:r>
                </w:p>
              </w:tc>
              <w:tc>
                <w:tcPr>
                  <w:tcW w:w="144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本项目主要使用不饱和聚酯树脂，</w:t>
                  </w:r>
                  <w:r>
                    <w:rPr>
                      <w:rFonts w:hint="eastAsia"/>
                    </w:rPr>
                    <w:t>封头手工制作过程于伸缩式密闭房进行，产生的有机废气经负压收集后采用“活性炭吸附/脱附浓缩+催化燃烧（RCO）装置”处理后通过1根18m高排气筒排放；罐体制作过程于伸缩式密闭房进行，产生的有机经负压收集后采用“活性炭吸附/脱附浓缩+催化燃烧（RCO）装置”处理后通过1根18m高排气筒排放。</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u w:color="000000"/>
                    </w:rPr>
                  </w:pPr>
                  <w:r>
                    <w:t>关于印发《2020年挥发性有机物治理攻坚方案》的通知（环大气</w:t>
                  </w:r>
                  <w:r>
                    <w:rPr>
                      <w:rFonts w:hint="eastAsia" w:cs="宋体"/>
                      <w:u w:color="000000"/>
                    </w:rPr>
                    <w:t>〔</w:t>
                  </w:r>
                  <w:r>
                    <w:rPr>
                      <w:rFonts w:hint="eastAsia"/>
                      <w:u w:color="000000"/>
                    </w:rPr>
                    <w:t>2020</w:t>
                  </w:r>
                  <w:r>
                    <w:rPr>
                      <w:rFonts w:hint="eastAsia" w:cs="宋体"/>
                      <w:u w:color="000000"/>
                    </w:rPr>
                    <w:t>〕</w:t>
                  </w:r>
                  <w:r>
                    <w:t>33号）</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b/>
                      <w:bCs/>
                      <w:sz w:val="21"/>
                      <w:szCs w:val="21"/>
                      <w:lang w:eastAsia="zh-CN"/>
                    </w:rPr>
                  </w:pPr>
                  <w:r>
                    <w:rPr>
                      <w:rFonts w:hint="eastAsia" w:ascii="Times New Roman" w:hAnsi="Times New Roman" w:cs="Times New Roman"/>
                      <w:sz w:val="21"/>
                      <w:szCs w:val="21"/>
                      <w:lang w:eastAsia="zh-CN"/>
                    </w:rPr>
                    <w:t>企业在无组织排放排查整治过程中，在保证安全的前提下，加强含VOCs物料全方位、全链条、全环节密闭管理。</w:t>
                  </w:r>
                </w:p>
              </w:tc>
              <w:tc>
                <w:tcPr>
                  <w:tcW w:w="1447"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u w:color="000000"/>
                    </w:rPr>
                  </w:pPr>
                  <w:r>
                    <w:rPr>
                      <w:rFonts w:hint="eastAsia"/>
                      <w:snapToGrid w:val="0"/>
                    </w:rPr>
                    <w:t>原料储存、输送等均采用密闭原料桶或封闭原料库及密闭输送管道等措施</w:t>
                  </w:r>
                  <w:r>
                    <w:rPr>
                      <w:snapToGrid w:val="0"/>
                    </w:rPr>
                    <w:t>，减少挥发性有机物排放量</w:t>
                  </w:r>
                  <w:r>
                    <w:rPr>
                      <w:rFonts w:hint="eastAsia"/>
                      <w:snapToGrid w:val="0"/>
                    </w:rPr>
                    <w:t>。</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rPr>
                      <w:rFonts w:cs="宋体"/>
                      <w:u w:color="000000"/>
                    </w:rP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b/>
                      <w:bCs/>
                      <w:sz w:val="21"/>
                      <w:szCs w:val="21"/>
                      <w:lang w:eastAsia="zh-CN"/>
                    </w:rPr>
                  </w:pPr>
                  <w:r>
                    <w:rPr>
                      <w:rFonts w:ascii="Times New Roman" w:hAnsi="Times New Roman" w:cs="Times New Roman"/>
                      <w:sz w:val="21"/>
                      <w:szCs w:val="21"/>
                      <w:lang w:eastAsia="zh-CN"/>
                    </w:rPr>
                    <w:t>生产和使用环节应采用密闭设备，或密闭空间中操作并有效收集废气，或进行局部气体收集</w:t>
                  </w:r>
                  <w:r>
                    <w:rPr>
                      <w:rFonts w:hint="eastAsia" w:ascii="Times New Roman" w:hAnsi="Times New Roman" w:cs="Times New Roman"/>
                      <w:sz w:val="21"/>
                      <w:szCs w:val="21"/>
                      <w:lang w:eastAsia="zh-CN"/>
                    </w:rPr>
                    <w:t>。</w:t>
                  </w:r>
                </w:p>
              </w:tc>
              <w:tc>
                <w:tcPr>
                  <w:tcW w:w="1447"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rPr>
                      <w:rFonts w:cs="宋体"/>
                      <w:u w:color="000000"/>
                    </w:rP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采用活性炭吸附技术的，应选择碘值不低于800毫克/克的活性炭，并按设计要求足量添加、及时更换。</w:t>
                  </w:r>
                </w:p>
              </w:tc>
              <w:tc>
                <w:tcPr>
                  <w:tcW w:w="1447"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snapToGrid w:val="0"/>
                    </w:rPr>
                    <w:t>本项目有机废气采用两级活性炭吸附处理，环评要求选择碘值不低于800毫克/克的活性炭，及时定期更换。</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tcBorders>
                    <w:left w:val="single" w:color="auto" w:sz="4" w:space="0"/>
                    <w:right w:val="single" w:color="auto" w:sz="4" w:space="0"/>
                  </w:tcBorders>
                  <w:vAlign w:val="center"/>
                </w:tcPr>
                <w:p>
                  <w:pPr>
                    <w:widowControl/>
                    <w:adjustRightInd w:val="0"/>
                    <w:snapToGrid w:val="0"/>
                    <w:jc w:val="center"/>
                  </w:pPr>
                  <w:r>
                    <w:rPr>
                      <w:rFonts w:hint="eastAsia"/>
                    </w:rPr>
                    <w:t>陕西省人民政府关于印发《陕西省大气污染治理专项行动方案（2023-2027）》的通知（陕发</w:t>
                  </w:r>
                  <w:r>
                    <w:rPr>
                      <w:rFonts w:hint="eastAsia" w:cs="宋体"/>
                      <w:u w:color="000000"/>
                    </w:rPr>
                    <w:t>〔</w:t>
                  </w:r>
                  <w:r>
                    <w:rPr>
                      <w:rFonts w:hint="eastAsia"/>
                      <w:u w:color="000000"/>
                    </w:rPr>
                    <w:t>2023</w:t>
                  </w:r>
                  <w:r>
                    <w:rPr>
                      <w:rFonts w:hint="eastAsia" w:cs="宋体"/>
                      <w:u w:color="000000"/>
                    </w:rPr>
                    <w:t>〕</w:t>
                  </w:r>
                  <w:r>
                    <w:rPr>
                      <w:rFonts w:hint="eastAsia"/>
                    </w:rPr>
                    <w:t>4</w:t>
                  </w:r>
                  <w:r>
                    <w:t>号</w:t>
                  </w:r>
                  <w:r>
                    <w:rPr>
                      <w:rFonts w:hint="eastAsia"/>
                    </w:rPr>
                    <w:t>）</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新建挥发性有机物治理设施不再采用单一低温等离子、光氧化、光催化等治理技术。</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本项目生产过程产生的</w:t>
                  </w:r>
                  <w:r>
                    <w:rPr>
                      <w:rFonts w:hint="eastAsia"/>
                      <w:sz w:val="21"/>
                      <w:szCs w:val="21"/>
                      <w:lang w:eastAsia="zh-CN"/>
                    </w:rPr>
                    <w:t>有机废气经负压收集后采用“</w:t>
                  </w:r>
                  <w:r>
                    <w:rPr>
                      <w:rFonts w:hint="eastAsia" w:ascii="Times New Roman" w:hAnsi="Times New Roman" w:cs="Times New Roman"/>
                      <w:sz w:val="21"/>
                      <w:szCs w:val="21"/>
                      <w:lang w:eastAsia="zh-CN"/>
                    </w:rPr>
                    <w:t>活性炭吸附/脱附浓缩+催化燃烧装置（RCO）</w:t>
                  </w:r>
                  <w:r>
                    <w:rPr>
                      <w:rFonts w:hint="eastAsia"/>
                      <w:sz w:val="21"/>
                      <w:szCs w:val="21"/>
                      <w:lang w:eastAsia="zh-CN"/>
                    </w:rPr>
                    <w:t>”处理后通过18m高排气筒排放。</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left w:val="single" w:color="auto" w:sz="4" w:space="0"/>
                    <w:right w:val="single" w:color="auto" w:sz="4" w:space="0"/>
                  </w:tcBorders>
                  <w:vAlign w:val="center"/>
                </w:tcPr>
                <w:p>
                  <w:pPr>
                    <w:widowControl/>
                    <w:adjustRightInd w:val="0"/>
                    <w:snapToGrid w:val="0"/>
                    <w:jc w:val="center"/>
                  </w:pPr>
                  <w:r>
                    <w:rPr>
                      <w:rFonts w:hint="eastAsia"/>
                    </w:rPr>
                    <w:t>中共榆林市委 榆林市人民政府关于印发</w:t>
                  </w:r>
                  <w:r>
                    <w:t>《榆林市大气污染治理专项行动方案（2023-2027年）》</w:t>
                  </w:r>
                  <w:r>
                    <w:rPr>
                      <w:rFonts w:hint="eastAsia"/>
                    </w:rPr>
                    <w:t>（榆发〔2023〕3</w:t>
                  </w:r>
                  <w:r>
                    <w:t>号</w:t>
                  </w:r>
                  <w:r>
                    <w:rPr>
                      <w:rFonts w:hint="eastAsia"/>
                    </w:rPr>
                    <w:t>）</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rPr>
                      <w:rFonts w:ascii="Times New Roman" w:hAnsi="Times New Roman" w:cs="Times New Roman"/>
                      <w:sz w:val="21"/>
                      <w:szCs w:val="21"/>
                      <w:lang w:eastAsia="zh-CN"/>
                    </w:rPr>
                  </w:pPr>
                  <w:r>
                    <w:rPr>
                      <w:rFonts w:hint="eastAsia" w:ascii="Times New Roman" w:hAnsi="Times New Roman" w:cs="Times New Roman"/>
                      <w:sz w:val="21"/>
                      <w:szCs w:val="21"/>
                      <w:lang w:eastAsia="zh-CN"/>
                    </w:rPr>
                    <w:t>工业企业深度治理行动。开展兰炭等重点行业挥发性有机物（VOCs）治理，VOCs废气经收集后高效处理，严禁VOCs废气未经收集处理直接排放。</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本项目生产过程产生的</w:t>
                  </w:r>
                  <w:r>
                    <w:rPr>
                      <w:rFonts w:hint="eastAsia" w:ascii="Times New Roman" w:hAnsi="Times New Roman" w:cs="Times New Roman"/>
                      <w:sz w:val="21"/>
                      <w:szCs w:val="21"/>
                      <w:lang w:eastAsia="zh-CN"/>
                    </w:rPr>
                    <w:t>有机废气经负压收集后采用“活性炭吸附/脱附浓缩+催化燃烧装置（RCO）”处理处理后通过排气筒达标排放。</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rPr>
                      <w:rFonts w:ascii="Times New Roman" w:hAnsi="Times New Roman" w:cs="Times New Roman"/>
                      <w:sz w:val="21"/>
                      <w:szCs w:val="21"/>
                      <w:lang w:eastAsia="zh-CN"/>
                    </w:rPr>
                  </w:pPr>
                  <w:r>
                    <w:rPr>
                      <w:rFonts w:hint="eastAsia" w:ascii="Times New Roman" w:hAnsi="Times New Roman" w:cs="Times New Roman"/>
                      <w:sz w:val="21"/>
                      <w:szCs w:val="21"/>
                      <w:lang w:eastAsia="zh-CN"/>
                    </w:rPr>
                    <w:t>臭氧污染管控行动。协同控制VOCs和氮氧化物排放，强化臭氧污染防治。新建项目不再采用低温等离子、光氧化、光催化等处理方式，非水溶性VOCs废气不再采用喷淋、吸收方式处理。</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本项目属于新建项目，生产过程产生的</w:t>
                  </w:r>
                  <w:r>
                    <w:rPr>
                      <w:rFonts w:hint="eastAsia" w:ascii="Times New Roman" w:hAnsi="Times New Roman" w:cs="Times New Roman"/>
                      <w:sz w:val="21"/>
                      <w:szCs w:val="21"/>
                      <w:lang w:eastAsia="zh-CN"/>
                    </w:rPr>
                    <w:t>有机废气经负压收集后采用“活性炭吸附/脱附浓缩+催化燃烧装置（RCO）”处理后通过排气筒达标排放。</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left w:val="single" w:color="auto" w:sz="4" w:space="0"/>
                    <w:right w:val="single" w:color="auto" w:sz="4" w:space="0"/>
                  </w:tcBorders>
                  <w:vAlign w:val="center"/>
                </w:tcPr>
                <w:p>
                  <w:pPr>
                    <w:widowControl/>
                    <w:adjustRightInd w:val="0"/>
                    <w:snapToGrid w:val="0"/>
                    <w:jc w:val="center"/>
                  </w:pPr>
                  <w:r>
                    <w:rPr>
                      <w:rFonts w:hint="eastAsia"/>
                    </w:rPr>
                    <w:t>中共靖边县委办公室靖边县人民政府办公室关于印发《靖边县2023年生态环境保护二十六项攻坚行动方案》通知（靖边字〔2023〕24</w:t>
                  </w:r>
                  <w:r>
                    <w:t>号</w:t>
                  </w:r>
                  <w:r>
                    <w:rPr>
                      <w:rFonts w:hint="eastAsia"/>
                    </w:rPr>
                    <w:t>）</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污染天气应急管控行动。根据需求加强行政区域内城市间大</w:t>
                  </w:r>
                </w:p>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气污染联防联控，构建“市一县”重污染天气应对二级预案体系；持续推进重点行业企业绩效分级，加强重污染天气应对。根据市级污染天气应急管控通知及工作实际，同步启动污染天气应急响应，并规范重污染天气预警、启动、响应、解除工作流程。</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z w:val="21"/>
                      <w:szCs w:val="21"/>
                      <w:lang w:eastAsia="zh-CN"/>
                    </w:rPr>
                    <w:t>本项目按照《重污染天气重点行业绩效分级及减排措施》中玻璃钢（纤维增强塑料制品）企业绩效引领性指标要求进行生产。重污染天气应急期间，</w:t>
                  </w:r>
                  <w:r>
                    <w:rPr>
                      <w:rFonts w:hint="eastAsia" w:ascii="Times New Roman" w:hAnsi="Times New Roman" w:cs="Times New Roman"/>
                      <w:snapToGrid w:val="0"/>
                      <w:sz w:val="21"/>
                      <w:szCs w:val="21"/>
                      <w:lang w:eastAsia="zh-CN"/>
                    </w:rPr>
                    <w:t>项目启动重</w:t>
                  </w:r>
                  <w:r>
                    <w:rPr>
                      <w:rFonts w:hint="eastAsia" w:ascii="Times New Roman" w:hAnsi="Times New Roman" w:cs="Times New Roman"/>
                      <w:sz w:val="21"/>
                      <w:szCs w:val="21"/>
                      <w:lang w:eastAsia="zh-CN"/>
                    </w:rPr>
                    <w:t>污染天气应急响应进行减排错峰生产。</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臭氧污染监管行动。协同控制挥发性有机物（VOCs）和氮氧</w:t>
                  </w:r>
                </w:p>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化物排放，强化县城区臭氧污染防治。新建加油站、汽修烤漆店、餐饮店和单位食堂等必须安装有机废气治理设施。</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本项目属于新建项目，且位于靖边县经济技术开发区创业创新园，生产过程产生的</w:t>
                  </w:r>
                  <w:r>
                    <w:rPr>
                      <w:rFonts w:hint="eastAsia" w:ascii="Times New Roman" w:hAnsi="Times New Roman" w:cs="Times New Roman"/>
                      <w:sz w:val="21"/>
                      <w:szCs w:val="21"/>
                      <w:lang w:eastAsia="zh-CN"/>
                    </w:rPr>
                    <w:t>有机废气经有效的处理设施处理后达标排放。</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restart"/>
                  <w:tcBorders>
                    <w:left w:val="single" w:color="auto" w:sz="4" w:space="0"/>
                    <w:right w:val="single" w:color="auto" w:sz="4" w:space="0"/>
                  </w:tcBorders>
                  <w:vAlign w:val="center"/>
                </w:tcPr>
                <w:p>
                  <w:pPr>
                    <w:widowControl/>
                    <w:adjustRightInd w:val="0"/>
                    <w:snapToGrid w:val="0"/>
                    <w:jc w:val="center"/>
                  </w:pPr>
                  <w:r>
                    <w:rPr>
                      <w:rFonts w:hint="eastAsia"/>
                    </w:rPr>
                    <w:t>《黄河流域生态保护和高质量发展规划纲要》</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加快节水技术装备推广应用，推进能源、化工、建材等高耗水产业节水增效，严格限制高耗水产业发展。支持企业加大用水计量和节水技术改造力度，加快工业园区内企业间串联、分质、循环用水设施建设。</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本项目用水为生产用水和生活用水，产品检验生产用水循环使用，不外排，生活污水经厂区化粪池处理后排入</w:t>
                  </w:r>
                  <w:r>
                    <w:rPr>
                      <w:rFonts w:hint="eastAsia" w:ascii="Times New Roman" w:hAnsi="Times New Roman" w:cs="Times New Roman"/>
                      <w:bCs/>
                      <w:snapToGrid w:val="0"/>
                      <w:sz w:val="21"/>
                      <w:szCs w:val="21"/>
                      <w:lang w:eastAsia="zh-CN"/>
                    </w:rPr>
                    <w:t>靖边</w:t>
                  </w:r>
                  <w:r>
                    <w:rPr>
                      <w:rFonts w:ascii="Times New Roman" w:hAnsi="Times New Roman" w:cs="Times New Roman"/>
                      <w:bCs/>
                      <w:snapToGrid w:val="0"/>
                      <w:sz w:val="21"/>
                      <w:szCs w:val="21"/>
                      <w:lang w:eastAsia="zh-CN"/>
                    </w:rPr>
                    <w:t>县</w:t>
                  </w:r>
                  <w:r>
                    <w:rPr>
                      <w:rFonts w:hint="eastAsia" w:ascii="Times New Roman" w:hAnsi="Times New Roman" w:cs="Times New Roman"/>
                      <w:bCs/>
                      <w:snapToGrid w:val="0"/>
                      <w:sz w:val="21"/>
                      <w:szCs w:val="21"/>
                      <w:lang w:eastAsia="zh-CN"/>
                    </w:rPr>
                    <w:t>经济技术开发区</w:t>
                  </w:r>
                  <w:r>
                    <w:rPr>
                      <w:rFonts w:ascii="Times New Roman" w:hAnsi="Times New Roman" w:cs="Times New Roman"/>
                      <w:bCs/>
                      <w:snapToGrid w:val="0"/>
                      <w:sz w:val="21"/>
                      <w:szCs w:val="21"/>
                      <w:lang w:eastAsia="zh-CN"/>
                    </w:rPr>
                    <w:t>杨桥畔镇污水处理厂</w:t>
                  </w:r>
                  <w:r>
                    <w:rPr>
                      <w:rFonts w:hint="eastAsia" w:ascii="Times New Roman" w:hAnsi="Times New Roman" w:cs="Times New Roman"/>
                      <w:snapToGrid w:val="0"/>
                      <w:sz w:val="21"/>
                      <w:szCs w:val="21"/>
                      <w:lang w:eastAsia="zh-CN"/>
                    </w:rPr>
                    <w:t>处理。</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推动沿黄一定范围内高耗水、高污染企业迁入合规园区，加快钢铁、煤电超低排放改造，开展煤炭、火电、钢铁、焦化、化工、有色等行业强制性清洁生产，强化工业炉窑和重点行业挥发性有机物综合治理，实行生态敏感脆弱区工业行业污染物特别排放限值要求。严禁在黄河干流及主要支流临岸一定范围内新建“两高一资”项目及相关产业园区。</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本项目不属于“两高”行业，且位于靖边县经济技术开发区创业创新园。生产过程产生的挥发性有机物</w:t>
                  </w:r>
                  <w:r>
                    <w:rPr>
                      <w:rFonts w:hint="eastAsia"/>
                      <w:u w:color="000000"/>
                      <w:lang w:eastAsia="zh-CN"/>
                    </w:rPr>
                    <w:t>经负压收集后采用“</w:t>
                  </w:r>
                  <w:r>
                    <w:rPr>
                      <w:rFonts w:hint="eastAsia" w:ascii="Times New Roman" w:hAnsi="Times New Roman" w:cs="Times New Roman"/>
                      <w:sz w:val="21"/>
                      <w:szCs w:val="21"/>
                      <w:lang w:eastAsia="zh-CN"/>
                    </w:rPr>
                    <w:t>活性炭吸附/脱附浓缩+催化燃烧装置（RCO）</w:t>
                  </w:r>
                  <w:r>
                    <w:rPr>
                      <w:rFonts w:hint="eastAsia"/>
                      <w:u w:color="000000"/>
                      <w:lang w:eastAsia="zh-CN"/>
                    </w:rPr>
                    <w:t>”处理后满足</w:t>
                  </w:r>
                  <w:r>
                    <w:rPr>
                      <w:rFonts w:hint="eastAsia"/>
                      <w:bCs/>
                      <w:u w:color="000000"/>
                      <w:lang w:eastAsia="zh-CN"/>
                    </w:rPr>
                    <w:t>《合成树脂工业污染物排放标准》（GB31572-2015）中表9相关标准限值</w:t>
                  </w:r>
                  <w:r>
                    <w:rPr>
                      <w:rFonts w:hint="eastAsia"/>
                      <w:u w:color="000000"/>
                      <w:lang w:eastAsia="zh-CN"/>
                    </w:rPr>
                    <w:t>排放</w:t>
                  </w:r>
                  <w:r>
                    <w:rPr>
                      <w:rFonts w:hint="eastAsia" w:ascii="Times New Roman" w:hAnsi="Times New Roman" w:cs="Times New Roman"/>
                      <w:snapToGrid w:val="0"/>
                      <w:sz w:val="21"/>
                      <w:szCs w:val="21"/>
                      <w:lang w:eastAsia="zh-CN"/>
                    </w:rPr>
                    <w:t>。</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vMerge w:val="continue"/>
                  <w:tcBorders>
                    <w:left w:val="single" w:color="auto" w:sz="4" w:space="0"/>
                    <w:right w:val="single" w:color="auto" w:sz="4" w:space="0"/>
                  </w:tcBorders>
                  <w:vAlign w:val="center"/>
                </w:tcPr>
                <w:p>
                  <w:pPr>
                    <w:widowControl/>
                    <w:adjustRightInd w:val="0"/>
                    <w:snapToGrid w:val="0"/>
                    <w:jc w:val="center"/>
                  </w:pP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both"/>
                    <w:rPr>
                      <w:rFonts w:ascii="Times New Roman" w:hAnsi="Times New Roman" w:cs="Times New Roman"/>
                      <w:sz w:val="21"/>
                      <w:szCs w:val="21"/>
                      <w:lang w:eastAsia="zh-CN"/>
                    </w:rPr>
                  </w:pPr>
                  <w:r>
                    <w:rPr>
                      <w:rFonts w:hint="eastAsia" w:ascii="Times New Roman" w:hAnsi="Times New Roman" w:cs="Times New Roman"/>
                      <w:sz w:val="21"/>
                      <w:szCs w:val="21"/>
                      <w:lang w:eastAsia="zh-CN"/>
                    </w:rPr>
                    <w:t>严格落实排污许可制度，沿黄所有固定排污源要依法按证排污。沿黄工业园区全部建成污水集中处理设施并稳定达标排放，严控工业废水未经处理或未有效处理直接排入城镇污水处理系统，严厉打击向河湖、沙漠、湿地等偷排、直排行为。加强工业废弃物风险管控和历史遗留重金属污染区域治理，以危险废物为重点开展固体废物综合整治行动。加强生态环境风险防范，有效应对突发环境事件。</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项目</w:t>
                  </w:r>
                  <w:r>
                    <w:rPr>
                      <w:rFonts w:hint="eastAsia" w:ascii="Times New Roman" w:hAnsi="Times New Roman" w:cs="Times New Roman"/>
                      <w:sz w:val="21"/>
                      <w:szCs w:val="21"/>
                      <w:lang w:eastAsia="zh-CN"/>
                    </w:rPr>
                    <w:t>严格落实排污许可制度，</w:t>
                  </w:r>
                  <w:r>
                    <w:rPr>
                      <w:rFonts w:hint="eastAsia" w:ascii="Times New Roman" w:hAnsi="Times New Roman" w:cs="Times New Roman"/>
                      <w:snapToGrid w:val="0"/>
                      <w:sz w:val="21"/>
                      <w:szCs w:val="21"/>
                      <w:lang w:eastAsia="zh-CN"/>
                    </w:rPr>
                    <w:t>在排污前需取得排污许可手续。项目产品检验生产用水循环使用，不外排，生活污水经厂区化粪池处理后排入</w:t>
                  </w:r>
                  <w:r>
                    <w:rPr>
                      <w:rFonts w:hint="eastAsia" w:ascii="Times New Roman" w:hAnsi="Times New Roman" w:cs="Times New Roman"/>
                      <w:bCs/>
                      <w:snapToGrid w:val="0"/>
                      <w:sz w:val="21"/>
                      <w:szCs w:val="21"/>
                      <w:lang w:eastAsia="zh-CN"/>
                    </w:rPr>
                    <w:t>靖边</w:t>
                  </w:r>
                  <w:r>
                    <w:rPr>
                      <w:rFonts w:ascii="Times New Roman" w:hAnsi="Times New Roman" w:cs="Times New Roman"/>
                      <w:bCs/>
                      <w:snapToGrid w:val="0"/>
                      <w:sz w:val="21"/>
                      <w:szCs w:val="21"/>
                      <w:lang w:eastAsia="zh-CN"/>
                    </w:rPr>
                    <w:t>县</w:t>
                  </w:r>
                  <w:r>
                    <w:rPr>
                      <w:rFonts w:hint="eastAsia" w:ascii="Times New Roman" w:hAnsi="Times New Roman" w:cs="Times New Roman"/>
                      <w:bCs/>
                      <w:snapToGrid w:val="0"/>
                      <w:sz w:val="21"/>
                      <w:szCs w:val="21"/>
                      <w:lang w:eastAsia="zh-CN"/>
                    </w:rPr>
                    <w:t>经济技术开发区</w:t>
                  </w:r>
                  <w:r>
                    <w:rPr>
                      <w:rFonts w:ascii="Times New Roman" w:hAnsi="Times New Roman" w:cs="Times New Roman"/>
                      <w:bCs/>
                      <w:snapToGrid w:val="0"/>
                      <w:sz w:val="21"/>
                      <w:szCs w:val="21"/>
                      <w:lang w:eastAsia="zh-CN"/>
                    </w:rPr>
                    <w:t>杨桥畔镇污水处理厂</w:t>
                  </w:r>
                  <w:r>
                    <w:rPr>
                      <w:rFonts w:hint="eastAsia" w:ascii="Times New Roman" w:hAnsi="Times New Roman" w:cs="Times New Roman"/>
                      <w:snapToGrid w:val="0"/>
                      <w:sz w:val="21"/>
                      <w:szCs w:val="21"/>
                      <w:lang w:eastAsia="zh-CN"/>
                    </w:rPr>
                    <w:t>处理。项目危废废物暂存于危废暂存间，定期交由有资质单位处置。设置完整的环境风险事故处理程序并编制企业突发环境事件应急预案。</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79" w:type="pct"/>
                  <w:tcBorders>
                    <w:left w:val="single" w:color="auto" w:sz="4" w:space="0"/>
                    <w:right w:val="single" w:color="auto" w:sz="4" w:space="0"/>
                  </w:tcBorders>
                  <w:vAlign w:val="center"/>
                </w:tcPr>
                <w:p>
                  <w:pPr>
                    <w:widowControl/>
                    <w:adjustRightInd w:val="0"/>
                    <w:snapToGrid w:val="0"/>
                    <w:jc w:val="center"/>
                  </w:pPr>
                  <w:r>
                    <w:rPr>
                      <w:rFonts w:hint="eastAsia"/>
                    </w:rPr>
                    <w:t>《黄河流域生态环境保护规划》</w:t>
                  </w:r>
                </w:p>
              </w:tc>
              <w:tc>
                <w:tcPr>
                  <w:tcW w:w="1954"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rPr>
                      <w:rFonts w:ascii="Times New Roman" w:hAnsi="Times New Roman" w:cs="Times New Roman"/>
                      <w:sz w:val="21"/>
                      <w:szCs w:val="21"/>
                      <w:lang w:eastAsia="zh-CN"/>
                    </w:rPr>
                  </w:pPr>
                  <w:r>
                    <w:rPr>
                      <w:rFonts w:hint="eastAsia" w:ascii="Times New Roman" w:hAnsi="Times New Roman" w:cs="Times New Roman"/>
                      <w:sz w:val="21"/>
                      <w:szCs w:val="21"/>
                      <w:lang w:eastAsia="zh-CN"/>
                    </w:rPr>
                    <w:t>开展建材、农药、煤化工、石化、化肥、铸造、压延、有色金属等行业综合治理，进一步强化设备密闭化改造和治理设施提标改造，推进全流程排放管理。加强大宗物料储存、输送及生产工艺过程无组织排放控制，在保障生产安全的前提下，采取密闭、封闭等措施有效提高废气收集率。</w:t>
                  </w:r>
                </w:p>
              </w:tc>
              <w:tc>
                <w:tcPr>
                  <w:tcW w:w="1447" w:type="pct"/>
                  <w:tcBorders>
                    <w:top w:val="single" w:color="auto" w:sz="4" w:space="0"/>
                    <w:left w:val="single" w:color="auto" w:sz="4" w:space="0"/>
                    <w:bottom w:val="single" w:color="auto" w:sz="4" w:space="0"/>
                    <w:right w:val="single" w:color="auto" w:sz="4" w:space="0"/>
                  </w:tcBorders>
                  <w:vAlign w:val="center"/>
                </w:tcPr>
                <w:p>
                  <w:pPr>
                    <w:pStyle w:val="121"/>
                    <w:adjustRightInd w:val="0"/>
                    <w:snapToGrid w:val="0"/>
                    <w:spacing w:line="240" w:lineRule="atLeast"/>
                    <w:jc w:val="center"/>
                    <w:rPr>
                      <w:rFonts w:ascii="Times New Roman" w:hAnsi="Times New Roman" w:cs="Times New Roman"/>
                      <w:snapToGrid w:val="0"/>
                      <w:sz w:val="21"/>
                      <w:szCs w:val="21"/>
                      <w:lang w:eastAsia="zh-CN"/>
                    </w:rPr>
                  </w:pPr>
                  <w:r>
                    <w:rPr>
                      <w:rFonts w:hint="eastAsia" w:ascii="Times New Roman" w:hAnsi="Times New Roman" w:cs="Times New Roman"/>
                      <w:snapToGrid w:val="0"/>
                      <w:sz w:val="21"/>
                      <w:szCs w:val="21"/>
                      <w:lang w:eastAsia="zh-CN"/>
                    </w:rPr>
                    <w:t>项目生产位于封闭生产车间；缠绕固化位于伸缩式密闭房，封头制作位于伸缩式密闭房进行，生产过程产生的有机废气经负压收集后采用“</w:t>
                  </w:r>
                  <w:r>
                    <w:rPr>
                      <w:rFonts w:hint="eastAsia" w:ascii="Times New Roman" w:hAnsi="Times New Roman" w:cs="Times New Roman"/>
                      <w:sz w:val="21"/>
                      <w:szCs w:val="21"/>
                      <w:lang w:eastAsia="zh-CN"/>
                    </w:rPr>
                    <w:t>活性炭吸附/脱附浓缩+催化燃烧装置（RCO）</w:t>
                  </w:r>
                  <w:r>
                    <w:rPr>
                      <w:rFonts w:hint="eastAsia" w:ascii="Times New Roman" w:hAnsi="Times New Roman" w:cs="Times New Roman"/>
                      <w:snapToGrid w:val="0"/>
                      <w:sz w:val="21"/>
                      <w:szCs w:val="21"/>
                      <w:lang w:eastAsia="zh-CN"/>
                    </w:rPr>
                    <w:t>”处理后达标排放。项目原料不饱和聚酯树脂、固化剂及促进剂采用密闭的包装桶储存，且配料配制好的胶液通过密闭管道输送至缠绕机组的浸胶槽中。</w:t>
                  </w:r>
                </w:p>
              </w:tc>
              <w:tc>
                <w:tcPr>
                  <w:tcW w:w="42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u w:color="000000"/>
                    </w:rPr>
                  </w:pPr>
                  <w:r>
                    <w:rPr>
                      <w:rFonts w:hint="eastAsia" w:cs="宋体"/>
                      <w:u w:color="000000"/>
                    </w:rPr>
                    <w:t>符合</w:t>
                  </w:r>
                </w:p>
              </w:tc>
            </w:tr>
          </w:tbl>
          <w:p>
            <w:pPr>
              <w:adjustRightInd w:val="0"/>
              <w:snapToGrid w:val="0"/>
              <w:spacing w:line="360" w:lineRule="auto"/>
              <w:rPr>
                <w:b/>
                <w:bCs/>
                <w:sz w:val="24"/>
                <w:szCs w:val="24"/>
              </w:rPr>
            </w:pPr>
            <w:r>
              <w:rPr>
                <w:rFonts w:hint="eastAsia" w:cs="宋体"/>
                <w:b/>
                <w:sz w:val="24"/>
                <w:szCs w:val="24"/>
              </w:rPr>
              <w:t>5、与《重污染天气重点行应急减排措施制定技术指南》中（玻璃钢（纤维增强塑料制品）企业绩效引领性指标）符合性分析</w:t>
            </w:r>
          </w:p>
          <w:p>
            <w:pPr>
              <w:adjustRightInd w:val="0"/>
              <w:snapToGrid w:val="0"/>
              <w:spacing w:line="360" w:lineRule="auto"/>
              <w:jc w:val="center"/>
              <w:rPr>
                <w:b/>
                <w:bCs/>
                <w:spacing w:val="-22"/>
                <w:kern w:val="0"/>
                <w:sz w:val="22"/>
                <w:szCs w:val="24"/>
              </w:rPr>
            </w:pPr>
            <w:r>
              <w:rPr>
                <w:rFonts w:hint="eastAsia" w:cs="宋体"/>
                <w:b/>
                <w:spacing w:val="-22"/>
              </w:rPr>
              <w:t>表1-6 本项目与玻璃钢（纤维增强塑料制品）企业绩效引领性指标符合性一览表相符性分析</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2884"/>
              <w:gridCol w:w="3034"/>
              <w:gridCol w:w="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引领性指标</w:t>
                  </w:r>
                </w:p>
              </w:tc>
              <w:tc>
                <w:tcPr>
                  <w:tcW w:w="1865" w:type="pct"/>
                  <w:vAlign w:val="center"/>
                </w:tcPr>
                <w:p>
                  <w:pPr>
                    <w:adjustRightInd w:val="0"/>
                    <w:snapToGrid w:val="0"/>
                    <w:jc w:val="center"/>
                    <w:rPr>
                      <w:rFonts w:cs="宋体"/>
                    </w:rPr>
                  </w:pPr>
                  <w:r>
                    <w:rPr>
                      <w:rFonts w:hint="eastAsia" w:cs="宋体"/>
                    </w:rPr>
                    <w:t>玻璃钢（纤维增强塑料制品）</w:t>
                  </w:r>
                </w:p>
              </w:tc>
              <w:tc>
                <w:tcPr>
                  <w:tcW w:w="1962" w:type="pct"/>
                  <w:vAlign w:val="center"/>
                </w:tcPr>
                <w:p>
                  <w:pPr>
                    <w:adjustRightInd w:val="0"/>
                    <w:snapToGrid w:val="0"/>
                    <w:jc w:val="center"/>
                    <w:rPr>
                      <w:rFonts w:cs="宋体"/>
                    </w:rPr>
                  </w:pPr>
                  <w:r>
                    <w:rPr>
                      <w:rFonts w:hint="eastAsia" w:cs="宋体"/>
                    </w:rPr>
                    <w:t>本项目</w:t>
                  </w:r>
                </w:p>
              </w:tc>
              <w:tc>
                <w:tcPr>
                  <w:tcW w:w="473" w:type="pct"/>
                  <w:vAlign w:val="center"/>
                </w:tcPr>
                <w:p>
                  <w:pPr>
                    <w:adjustRightInd w:val="0"/>
                    <w:snapToGrid w:val="0"/>
                    <w:jc w:val="center"/>
                    <w:rPr>
                      <w:rFonts w:cs="宋体"/>
                    </w:rPr>
                  </w:pPr>
                  <w:r>
                    <w:rPr>
                      <w:rFonts w:hint="eastAsia" w:cs="宋体"/>
                    </w:rPr>
                    <w:t>符合性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能源类型</w:t>
                  </w:r>
                </w:p>
              </w:tc>
              <w:tc>
                <w:tcPr>
                  <w:tcW w:w="1865" w:type="pct"/>
                  <w:vAlign w:val="center"/>
                </w:tcPr>
                <w:p>
                  <w:pPr>
                    <w:adjustRightInd w:val="0"/>
                    <w:snapToGrid w:val="0"/>
                    <w:jc w:val="center"/>
                    <w:rPr>
                      <w:u w:color="000000"/>
                    </w:rPr>
                  </w:pPr>
                  <w:r>
                    <w:rPr>
                      <w:rFonts w:hint="eastAsia"/>
                      <w:u w:color="000000"/>
                    </w:rPr>
                    <w:t>全部使用电、天然气、外购蒸汽。</w:t>
                  </w:r>
                </w:p>
              </w:tc>
              <w:tc>
                <w:tcPr>
                  <w:tcW w:w="1962" w:type="pct"/>
                  <w:vAlign w:val="center"/>
                </w:tcPr>
                <w:p>
                  <w:pPr>
                    <w:adjustRightInd w:val="0"/>
                    <w:snapToGrid w:val="0"/>
                    <w:jc w:val="center"/>
                  </w:pPr>
                  <w:r>
                    <w:rPr>
                      <w:rFonts w:hint="eastAsia"/>
                    </w:rPr>
                    <w:t>本项目固化过程使用电加热。</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装备水平</w:t>
                  </w:r>
                </w:p>
              </w:tc>
              <w:tc>
                <w:tcPr>
                  <w:tcW w:w="1865" w:type="pct"/>
                  <w:vAlign w:val="center"/>
                </w:tcPr>
                <w:p>
                  <w:pPr>
                    <w:adjustRightInd w:val="0"/>
                    <w:snapToGrid w:val="0"/>
                    <w:jc w:val="center"/>
                    <w:rPr>
                      <w:u w:color="000000"/>
                    </w:rPr>
                  </w:pPr>
                  <w:r>
                    <w:rPr>
                      <w:rFonts w:hint="eastAsia"/>
                      <w:u w:color="000000"/>
                    </w:rPr>
                    <w:t>热固型产品采取机械化生产（除手糊工艺外）；热塑型产品采用自动化生产。</w:t>
                  </w:r>
                </w:p>
              </w:tc>
              <w:tc>
                <w:tcPr>
                  <w:tcW w:w="1962" w:type="pct"/>
                  <w:vAlign w:val="center"/>
                </w:tcPr>
                <w:p>
                  <w:pPr>
                    <w:adjustRightInd w:val="0"/>
                    <w:snapToGrid w:val="0"/>
                    <w:jc w:val="center"/>
                  </w:pPr>
                  <w:r>
                    <w:rPr>
                      <w:rFonts w:hint="eastAsia"/>
                      <w:u w:color="000000"/>
                    </w:rPr>
                    <w:t>热固型产品采取机械化生产。</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污染治理技术</w:t>
                  </w:r>
                </w:p>
              </w:tc>
              <w:tc>
                <w:tcPr>
                  <w:tcW w:w="1865" w:type="pct"/>
                  <w:vAlign w:val="center"/>
                </w:tcPr>
                <w:p>
                  <w:pPr>
                    <w:adjustRightInd w:val="0"/>
                    <w:snapToGrid w:val="0"/>
                    <w:jc w:val="center"/>
                    <w:rPr>
                      <w:u w:color="000000"/>
                    </w:rPr>
                  </w:pPr>
                  <w:r>
                    <w:rPr>
                      <w:rFonts w:hint="eastAsia"/>
                      <w:u w:color="000000"/>
                    </w:rPr>
                    <w:t>1、除尘采用袋式除尘等工艺；</w:t>
                  </w:r>
                </w:p>
                <w:p>
                  <w:pPr>
                    <w:adjustRightInd w:val="0"/>
                    <w:snapToGrid w:val="0"/>
                    <w:jc w:val="center"/>
                    <w:rPr>
                      <w:u w:color="000000"/>
                    </w:rPr>
                  </w:pPr>
                  <w:r>
                    <w:rPr>
                      <w:rFonts w:hint="eastAsia"/>
                      <w:u w:color="000000"/>
                    </w:rPr>
                    <w:t>2、有机废气采用低温等离子体、吸附等组合工艺或燃烧等工艺。</w:t>
                  </w:r>
                </w:p>
              </w:tc>
              <w:tc>
                <w:tcPr>
                  <w:tcW w:w="1962" w:type="pct"/>
                  <w:vAlign w:val="center"/>
                </w:tcPr>
                <w:p>
                  <w:pPr>
                    <w:adjustRightInd w:val="0"/>
                    <w:snapToGrid w:val="0"/>
                    <w:jc w:val="center"/>
                  </w:pPr>
                  <w:r>
                    <w:rPr>
                      <w:rFonts w:hint="eastAsia"/>
                    </w:rPr>
                    <w:t>本项目打磨修整产生的粉尘采用布袋除尘器、滤筒除尘器</w:t>
                  </w:r>
                  <w:r>
                    <w:rPr>
                      <w:rFonts w:hint="eastAsia"/>
                      <w:u w:color="000000"/>
                    </w:rPr>
                    <w:t>处理后排放；生产过程产生的有机废气经负压收集后采用“</w:t>
                  </w:r>
                  <w:r>
                    <w:rPr>
                      <w:rFonts w:hint="eastAsia"/>
                    </w:rPr>
                    <w:t>活性炭吸附/脱附浓缩+催化燃烧装置（RCO）</w:t>
                  </w:r>
                  <w:r>
                    <w:rPr>
                      <w:rFonts w:hint="eastAsia"/>
                      <w:u w:color="000000"/>
                    </w:rPr>
                    <w:t>”处理后通过18m 高排气筒排放。</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排放限值</w:t>
                  </w:r>
                </w:p>
              </w:tc>
              <w:tc>
                <w:tcPr>
                  <w:tcW w:w="1865" w:type="pct"/>
                  <w:vAlign w:val="center"/>
                </w:tcPr>
                <w:p>
                  <w:pPr>
                    <w:adjustRightInd w:val="0"/>
                    <w:snapToGrid w:val="0"/>
                    <w:jc w:val="center"/>
                    <w:rPr>
                      <w:u w:color="000000"/>
                    </w:rPr>
                  </w:pPr>
                  <w:r>
                    <w:rPr>
                      <w:rFonts w:hint="eastAsia"/>
                      <w:u w:color="000000"/>
                    </w:rPr>
                    <w:t>PM、NMHC排放浓度分别不高于10、60mg/m，排放速率不高于3.0kg/h，本地排放标准严于该要求的，执行本地排放标准；企业厂区内VOCs无组织排放监控点NMHC的小时平均浓度值不高于6mg/m，监控点NMHC的任意一次浓度值不高于20mg/m。</w:t>
                  </w:r>
                </w:p>
              </w:tc>
              <w:tc>
                <w:tcPr>
                  <w:tcW w:w="1962" w:type="pct"/>
                  <w:vAlign w:val="center"/>
                </w:tcPr>
                <w:p>
                  <w:pPr>
                    <w:adjustRightInd w:val="0"/>
                    <w:snapToGrid w:val="0"/>
                    <w:jc w:val="center"/>
                  </w:pPr>
                  <w:r>
                    <w:rPr>
                      <w:rFonts w:hint="eastAsia"/>
                    </w:rPr>
                    <w:t>本项目通过污染物源强核算后，</w:t>
                  </w:r>
                  <w:r>
                    <w:rPr>
                      <w:rFonts w:hint="eastAsia"/>
                      <w:u w:color="000000"/>
                    </w:rPr>
                    <w:t>PM、NMHC排放浓度分别不高于10、60mg/m，排放速率不高于3.0kg/h；企业厂区内VOCs</w:t>
                  </w:r>
                  <w:r>
                    <w:rPr>
                      <w:rFonts w:hint="eastAsia"/>
                      <w:bCs/>
                      <w:u w:color="000000"/>
                    </w:rPr>
                    <w:t>放执行《挥发性有机物无组织排放控制标准》（</w:t>
                  </w:r>
                  <w:r>
                    <w:rPr>
                      <w:bCs/>
                      <w:u w:color="000000"/>
                    </w:rPr>
                    <w:t>GB37822-2019</w:t>
                  </w:r>
                  <w:r>
                    <w:rPr>
                      <w:rFonts w:hint="eastAsia"/>
                      <w:bCs/>
                      <w:u w:color="000000"/>
                    </w:rPr>
                    <w:t>）表</w:t>
                  </w:r>
                  <w:r>
                    <w:rPr>
                      <w:bCs/>
                      <w:u w:color="000000"/>
                    </w:rPr>
                    <w:t>A.1</w:t>
                  </w:r>
                  <w:r>
                    <w:rPr>
                      <w:rFonts w:hint="eastAsia"/>
                      <w:bCs/>
                      <w:u w:color="000000"/>
                    </w:rPr>
                    <w:t>特别排放限值（</w:t>
                  </w:r>
                  <w:r>
                    <w:rPr>
                      <w:rFonts w:hint="eastAsia"/>
                      <w:u w:color="000000"/>
                    </w:rPr>
                    <w:t>小时平均浓度值不高于6mg/m，监控点NMHC的任意一次浓度值不高于20mg/m</w:t>
                  </w:r>
                  <w:r>
                    <w:rPr>
                      <w:rFonts w:hint="eastAsia"/>
                      <w:bCs/>
                      <w:u w:color="000000"/>
                    </w:rPr>
                    <w:t>）。</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无组织排放</w:t>
                  </w:r>
                </w:p>
              </w:tc>
              <w:tc>
                <w:tcPr>
                  <w:tcW w:w="1865" w:type="pct"/>
                  <w:vAlign w:val="center"/>
                </w:tcPr>
                <w:p>
                  <w:pPr>
                    <w:adjustRightInd w:val="0"/>
                    <w:snapToGrid w:val="0"/>
                    <w:jc w:val="left"/>
                    <w:rPr>
                      <w:u w:color="000000"/>
                    </w:rPr>
                  </w:pPr>
                  <w:r>
                    <w:rPr>
                      <w:rFonts w:hint="eastAsia"/>
                      <w:u w:color="000000"/>
                    </w:rPr>
                    <w:t>1、生产车间采取封闭措施；</w:t>
                  </w:r>
                </w:p>
                <w:p>
                  <w:pPr>
                    <w:pStyle w:val="2"/>
                    <w:adjustRightInd w:val="0"/>
                    <w:snapToGrid w:val="0"/>
                    <w:ind w:firstLine="0"/>
                    <w:jc w:val="left"/>
                    <w:rPr>
                      <w:u w:color="000000"/>
                    </w:rPr>
                  </w:pPr>
                  <w:r>
                    <w:rPr>
                      <w:rFonts w:hint="eastAsia"/>
                      <w:u w:color="000000"/>
                    </w:rPr>
                    <w:t>2、涉VOCs排放工序采用密闭设备或在密闭空间内操作，废气排至 VOCs 废气收集处理系统；</w:t>
                  </w:r>
                </w:p>
                <w:p>
                  <w:pPr>
                    <w:adjustRightInd w:val="0"/>
                    <w:snapToGrid w:val="0"/>
                    <w:jc w:val="left"/>
                    <w:rPr>
                      <w:u w:color="000000"/>
                    </w:rPr>
                  </w:pPr>
                  <w:r>
                    <w:rPr>
                      <w:rFonts w:hint="eastAsia"/>
                    </w:rPr>
                    <w:t>3、</w:t>
                  </w:r>
                  <w:r>
                    <w:rPr>
                      <w:rFonts w:hint="eastAsia"/>
                      <w:u w:color="000000"/>
                    </w:rPr>
                    <w:t>无法密闭工序在封闭车间内采取局部负压、局部收集装置（包括缠绕工序、手糊工艺、喷射工艺等，采用集气罩收集），废气排至VOCs废气收集处理系统；</w:t>
                  </w:r>
                </w:p>
                <w:p>
                  <w:pPr>
                    <w:adjustRightInd w:val="0"/>
                    <w:snapToGrid w:val="0"/>
                    <w:rPr>
                      <w:u w:color="000000"/>
                    </w:rPr>
                  </w:pPr>
                  <w:r>
                    <w:rPr>
                      <w:rFonts w:hint="eastAsia"/>
                      <w:u w:color="000000"/>
                    </w:rPr>
                    <w:t>4、含VOCs 物料采用密闭容器存储，密闭管道输送，盛装 VOCs 物料的容器或包装袋应存放于室内；</w:t>
                  </w:r>
                </w:p>
                <w:p>
                  <w:pPr>
                    <w:adjustRightInd w:val="0"/>
                    <w:snapToGrid w:val="0"/>
                    <w:rPr>
                      <w:u w:color="000000"/>
                    </w:rPr>
                  </w:pPr>
                  <w:r>
                    <w:rPr>
                      <w:rFonts w:hint="eastAsia"/>
                      <w:u w:color="000000"/>
                    </w:rPr>
                    <w:t>5、产尘点及车间不得有可见烟粉尘外逸。</w:t>
                  </w:r>
                </w:p>
              </w:tc>
              <w:tc>
                <w:tcPr>
                  <w:tcW w:w="1962" w:type="pct"/>
                  <w:vAlign w:val="center"/>
                </w:tcPr>
                <w:p>
                  <w:pPr>
                    <w:adjustRightInd w:val="0"/>
                    <w:snapToGrid w:val="0"/>
                    <w:jc w:val="center"/>
                    <w:rPr>
                      <w:rFonts w:cs="宋体"/>
                    </w:rPr>
                  </w:pPr>
                  <w:r>
                    <w:rPr>
                      <w:rFonts w:hint="eastAsia"/>
                      <w:snapToGrid w:val="0"/>
                    </w:rPr>
                    <w:t>项目生产位于封闭生产车间；缠绕固化位于伸缩式密闭房，封头制作位于</w:t>
                  </w:r>
                  <w:r>
                    <w:rPr>
                      <w:rFonts w:hint="eastAsia"/>
                    </w:rPr>
                    <w:t>伸缩式</w:t>
                  </w:r>
                  <w:r>
                    <w:rPr>
                      <w:rFonts w:hint="eastAsia"/>
                      <w:snapToGrid w:val="0"/>
                    </w:rPr>
                    <w:t>密闭房进行，生产过程产生的有机废气经负压收集后采用“</w:t>
                  </w:r>
                  <w:r>
                    <w:rPr>
                      <w:rFonts w:hint="eastAsia"/>
                    </w:rPr>
                    <w:t>活性炭吸附/脱附浓缩+催化燃烧装置（RCO）</w:t>
                  </w:r>
                  <w:r>
                    <w:rPr>
                      <w:rFonts w:hint="eastAsia"/>
                      <w:snapToGrid w:val="0"/>
                    </w:rPr>
                    <w:t>”处理后达标排放。</w:t>
                  </w:r>
                  <w:r>
                    <w:rPr>
                      <w:rFonts w:hint="eastAsia"/>
                      <w:u w:color="000000"/>
                    </w:rPr>
                    <w:t>原料不饱和聚酯树脂、固化剂及促进剂采用密闭的包装桶储存，且配料过程将不饱和聚酯树脂、促进剂等按比例通过阀门控制加入密闭搅拌罐/桶中搅拌均匀后储存于搅拌罐/桶中，配制好的胶液通过密闭管道输送至缠绕机组的浸胶槽中。</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监测监控水平</w:t>
                  </w:r>
                </w:p>
              </w:tc>
              <w:tc>
                <w:tcPr>
                  <w:tcW w:w="1865" w:type="pct"/>
                  <w:vAlign w:val="center"/>
                </w:tcPr>
                <w:p>
                  <w:pPr>
                    <w:widowControl/>
                    <w:adjustRightInd w:val="0"/>
                    <w:snapToGrid w:val="0"/>
                    <w:rPr>
                      <w:u w:color="000000"/>
                    </w:rPr>
                  </w:pPr>
                  <w:r>
                    <w:rPr>
                      <w:rFonts w:hint="eastAsia"/>
                      <w:u w:color="000000"/>
                    </w:rPr>
                    <w:t>涉VOCs排放独立生产车间废气排放口，至少安装一套NMHC在线监测设施（FID检测器）；监控数据保存一年以上。</w:t>
                  </w:r>
                </w:p>
              </w:tc>
              <w:tc>
                <w:tcPr>
                  <w:tcW w:w="1962" w:type="pct"/>
                  <w:vAlign w:val="center"/>
                </w:tcPr>
                <w:p>
                  <w:pPr>
                    <w:widowControl/>
                    <w:adjustRightInd w:val="0"/>
                    <w:snapToGrid w:val="0"/>
                    <w:jc w:val="center"/>
                  </w:pPr>
                  <w:r>
                    <w:rPr>
                      <w:rFonts w:hint="eastAsia"/>
                    </w:rPr>
                    <w:t>本项目在封头制作密闭房有机废气污染治理设施安装</w:t>
                  </w:r>
                  <w:r>
                    <w:rPr>
                      <w:rFonts w:hint="eastAsia"/>
                      <w:u w:color="000000"/>
                    </w:rPr>
                    <w:t>一套NMHC在线监测设施（FID检测器）；要求监控数据保存一年以上。</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700" w:type="pct"/>
                  <w:vMerge w:val="restart"/>
                  <w:vAlign w:val="center"/>
                </w:tcPr>
                <w:p>
                  <w:pPr>
                    <w:adjustRightInd w:val="0"/>
                    <w:snapToGrid w:val="0"/>
                    <w:jc w:val="center"/>
                    <w:rPr>
                      <w:rFonts w:cs="宋体"/>
                    </w:rPr>
                  </w:pPr>
                  <w:r>
                    <w:rPr>
                      <w:rFonts w:hint="eastAsia" w:cs="宋体"/>
                    </w:rPr>
                    <w:t>环境管理水平</w:t>
                  </w:r>
                </w:p>
              </w:tc>
              <w:tc>
                <w:tcPr>
                  <w:tcW w:w="1865" w:type="pct"/>
                  <w:vAlign w:val="center"/>
                </w:tcPr>
                <w:p>
                  <w:pPr>
                    <w:adjustRightInd w:val="0"/>
                    <w:snapToGrid w:val="0"/>
                    <w:jc w:val="center"/>
                    <w:rPr>
                      <w:u w:color="000000"/>
                    </w:rPr>
                  </w:pPr>
                  <w:r>
                    <w:rPr>
                      <w:rFonts w:hint="eastAsia"/>
                      <w:u w:color="000000"/>
                    </w:rPr>
                    <w:t>环保档案齐全1、环评批复文件；2、竣工验收文件；3、废气治理设施运行管理规程；4、一年内第三方废气监测报告。</w:t>
                  </w:r>
                </w:p>
              </w:tc>
              <w:tc>
                <w:tcPr>
                  <w:tcW w:w="1962" w:type="pct"/>
                  <w:vAlign w:val="center"/>
                </w:tcPr>
                <w:p>
                  <w:pPr>
                    <w:adjustRightInd w:val="0"/>
                    <w:snapToGrid w:val="0"/>
                    <w:jc w:val="center"/>
                  </w:pPr>
                  <w:r>
                    <w:rPr>
                      <w:rFonts w:hint="eastAsia"/>
                    </w:rPr>
                    <w:t>项目建立完善的</w:t>
                  </w:r>
                  <w:r>
                    <w:rPr>
                      <w:rFonts w:hint="eastAsia"/>
                      <w:u w:color="000000"/>
                    </w:rPr>
                    <w:t>环保档案，将项目立项以来的各项环保手续文件、环境管理制度、环保设施运行记录、自行监测报告及环境管理台账记录等分类别整理归档，设立环境管理专用档案保存纸质资料，同时保存电子版资料。</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00" w:type="pct"/>
                  <w:vMerge w:val="continue"/>
                  <w:vAlign w:val="center"/>
                </w:tcPr>
                <w:p>
                  <w:pPr>
                    <w:adjustRightInd w:val="0"/>
                    <w:snapToGrid w:val="0"/>
                    <w:jc w:val="center"/>
                    <w:rPr>
                      <w:rFonts w:cs="宋体"/>
                    </w:rPr>
                  </w:pPr>
                </w:p>
              </w:tc>
              <w:tc>
                <w:tcPr>
                  <w:tcW w:w="1865" w:type="pct"/>
                  <w:vAlign w:val="center"/>
                </w:tcPr>
                <w:p>
                  <w:pPr>
                    <w:adjustRightInd w:val="0"/>
                    <w:snapToGrid w:val="0"/>
                    <w:jc w:val="left"/>
                    <w:rPr>
                      <w:u w:color="000000"/>
                    </w:rPr>
                  </w:pPr>
                  <w:r>
                    <w:rPr>
                      <w:rFonts w:hint="eastAsia"/>
                      <w:u w:color="000000"/>
                    </w:rPr>
                    <w:t>台账记录：1、生产设施运行管理信息（生产时间、运行负荷、产品产量等）；2、废气污染治理设施运行管理信息（除尘滤料更换量和时间、燃烧室温度、解析温度、冷凝温度、过滤材料更换频次、吸附剂更换频次、催化剂更换频次、含烟气量和污染物出口浓度的月度DCS曲线图等)；3、监测记录信息（主要污染排放口废气排放记录（手工监测和在线监测）等)；4、主要原辅材料消耗记录；5、燃料（天然气）消耗记录。</w:t>
                  </w:r>
                </w:p>
              </w:tc>
              <w:tc>
                <w:tcPr>
                  <w:tcW w:w="1962" w:type="pct"/>
                  <w:vAlign w:val="center"/>
                </w:tcPr>
                <w:p>
                  <w:pPr>
                    <w:adjustRightInd w:val="0"/>
                    <w:snapToGrid w:val="0"/>
                    <w:jc w:val="center"/>
                    <w:rPr>
                      <w:rFonts w:cs="宋体"/>
                    </w:rPr>
                  </w:pPr>
                  <w:r>
                    <w:rPr>
                      <w:rFonts w:hint="eastAsia"/>
                    </w:rPr>
                    <w:t>本次环评要求企业后续运行过程中规范</w:t>
                  </w:r>
                  <w:r>
                    <w:rPr>
                      <w:rFonts w:hint="eastAsia"/>
                      <w:u w:color="000000"/>
                    </w:rPr>
                    <w:t>台账记录，建立健全管理制度。完整生产管理台账、废气污染治理设施运行台账、设备维护记录及自行监测记录台账等；耗材清单等。详细记录原辅材料、燃料使用、产品产量等生产情况，生产设备及污染治理设施运行记录、治理设施材料更换记录等。</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Merge w:val="continue"/>
                  <w:vAlign w:val="center"/>
                </w:tcPr>
                <w:p>
                  <w:pPr>
                    <w:adjustRightInd w:val="0"/>
                    <w:snapToGrid w:val="0"/>
                    <w:jc w:val="center"/>
                    <w:rPr>
                      <w:rFonts w:cs="宋体"/>
                    </w:rPr>
                  </w:pPr>
                </w:p>
              </w:tc>
              <w:tc>
                <w:tcPr>
                  <w:tcW w:w="1865" w:type="pct"/>
                  <w:vAlign w:val="center"/>
                </w:tcPr>
                <w:p>
                  <w:pPr>
                    <w:adjustRightInd w:val="0"/>
                    <w:snapToGrid w:val="0"/>
                    <w:jc w:val="center"/>
                    <w:rPr>
                      <w:rFonts w:cs="宋体"/>
                    </w:rPr>
                  </w:pPr>
                  <w:r>
                    <w:rPr>
                      <w:rFonts w:hint="eastAsia"/>
                      <w:u w:color="000000"/>
                    </w:rPr>
                    <w:t>管理制度健全：设置环保部门，配备专职环保人员，并具备相应的环境管理能力。</w:t>
                  </w:r>
                </w:p>
              </w:tc>
              <w:tc>
                <w:tcPr>
                  <w:tcW w:w="1962" w:type="pct"/>
                  <w:vAlign w:val="center"/>
                </w:tcPr>
                <w:p>
                  <w:pPr>
                    <w:adjustRightInd w:val="0"/>
                    <w:snapToGrid w:val="0"/>
                    <w:jc w:val="center"/>
                    <w:rPr>
                      <w:rFonts w:cs="宋体"/>
                    </w:rPr>
                  </w:pPr>
                  <w:r>
                    <w:rPr>
                      <w:rFonts w:hint="eastAsia"/>
                      <w:u w:color="000000"/>
                    </w:rPr>
                    <w:t>企业</w:t>
                  </w:r>
                  <w:r>
                    <w:rPr>
                      <w:u w:color="000000"/>
                    </w:rPr>
                    <w:t>实行环境保护标准化管理</w:t>
                  </w:r>
                  <w:r>
                    <w:rPr>
                      <w:rFonts w:hint="eastAsia"/>
                      <w:u w:color="000000"/>
                    </w:rPr>
                    <w:t>，设置环保部门，</w:t>
                  </w:r>
                  <w:r>
                    <w:rPr>
                      <w:u w:color="000000"/>
                    </w:rPr>
                    <w:t>依据本厂实际情况制定相关的环境保护管理制度，</w:t>
                  </w:r>
                  <w:r>
                    <w:rPr>
                      <w:rFonts w:hint="eastAsia"/>
                      <w:u w:color="000000"/>
                    </w:rPr>
                    <w:t>并</w:t>
                  </w:r>
                  <w:r>
                    <w:rPr>
                      <w:u w:color="000000"/>
                    </w:rPr>
                    <w:t>安排</w:t>
                  </w:r>
                  <w:r>
                    <w:rPr>
                      <w:rFonts w:hint="eastAsia"/>
                      <w:u w:color="000000"/>
                    </w:rPr>
                    <w:t>具备相应的环境管理能力</w:t>
                  </w:r>
                  <w:r>
                    <w:rPr>
                      <w:u w:color="000000"/>
                    </w:rPr>
                    <w:t>专人负责项目环境管理工作，保证环保设施的正常运行和环保措施的正常进行</w:t>
                  </w:r>
                  <w:r>
                    <w:rPr>
                      <w:rFonts w:hint="eastAsia"/>
                      <w:u w:color="000000"/>
                    </w:rPr>
                    <w:t>等。</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3" w:hRule="atLeast"/>
              </w:trPr>
              <w:tc>
                <w:tcPr>
                  <w:tcW w:w="700" w:type="pct"/>
                  <w:vAlign w:val="center"/>
                </w:tcPr>
                <w:p>
                  <w:pPr>
                    <w:adjustRightInd w:val="0"/>
                    <w:snapToGrid w:val="0"/>
                    <w:jc w:val="center"/>
                    <w:rPr>
                      <w:rFonts w:cs="宋体"/>
                    </w:rPr>
                  </w:pPr>
                  <w:r>
                    <w:rPr>
                      <w:rFonts w:hint="eastAsia" w:cs="宋体"/>
                    </w:rPr>
                    <w:t>运输方式</w:t>
                  </w:r>
                </w:p>
              </w:tc>
              <w:tc>
                <w:tcPr>
                  <w:tcW w:w="1865" w:type="pct"/>
                  <w:vAlign w:val="center"/>
                </w:tcPr>
                <w:p>
                  <w:pPr>
                    <w:adjustRightInd w:val="0"/>
                    <w:snapToGrid w:val="0"/>
                    <w:jc w:val="left"/>
                    <w:rPr>
                      <w:rFonts w:cs="宋体"/>
                    </w:rPr>
                  </w:pPr>
                  <w:r>
                    <w:rPr>
                      <w:rFonts w:hint="eastAsia" w:cs="宋体"/>
                    </w:rPr>
                    <w:t>1、物料公路运输全部使用达到国五及以上排放标准重型载货车辆（含燃气）或新能源车辆；</w:t>
                  </w:r>
                </w:p>
                <w:p>
                  <w:pPr>
                    <w:adjustRightInd w:val="0"/>
                    <w:snapToGrid w:val="0"/>
                    <w:jc w:val="left"/>
                    <w:rPr>
                      <w:rFonts w:cs="宋体"/>
                    </w:rPr>
                  </w:pPr>
                  <w:r>
                    <w:rPr>
                      <w:rFonts w:hint="eastAsia" w:cs="宋体"/>
                    </w:rPr>
                    <w:t>2、厂内运输车辆全部达到国五及以上排放标准（含燃气）或使用新能源车辆；</w:t>
                  </w:r>
                </w:p>
                <w:p>
                  <w:pPr>
                    <w:adjustRightInd w:val="0"/>
                    <w:snapToGrid w:val="0"/>
                    <w:jc w:val="left"/>
                    <w:rPr>
                      <w:rFonts w:cs="宋体"/>
                    </w:rPr>
                  </w:pPr>
                  <w:r>
                    <w:rPr>
                      <w:rFonts w:hint="eastAsia" w:cs="宋体"/>
                    </w:rPr>
                    <w:t>3、非道路移动机械全部达到国三及以上排放标准或使用新能源机械。</w:t>
                  </w:r>
                </w:p>
              </w:tc>
              <w:tc>
                <w:tcPr>
                  <w:tcW w:w="1962" w:type="pct"/>
                  <w:vAlign w:val="center"/>
                </w:tcPr>
                <w:p>
                  <w:pPr>
                    <w:adjustRightInd w:val="0"/>
                    <w:snapToGrid w:val="0"/>
                    <w:jc w:val="left"/>
                    <w:rPr>
                      <w:rFonts w:cs="宋体"/>
                    </w:rPr>
                  </w:pPr>
                  <w:r>
                    <w:rPr>
                      <w:rFonts w:hint="eastAsia" w:cs="宋体"/>
                    </w:rPr>
                    <w:t>项目所有运输车辆均承包给外部运输单位进行外雇，要求必须使用国五车辆。厂内运输均采用国三及以上排放标准</w:t>
                  </w:r>
                </w:p>
                <w:p>
                  <w:pPr>
                    <w:adjustRightInd w:val="0"/>
                    <w:snapToGrid w:val="0"/>
                    <w:jc w:val="left"/>
                    <w:rPr>
                      <w:rFonts w:cs="宋体"/>
                    </w:rPr>
                  </w:pPr>
                  <w:r>
                    <w:rPr>
                      <w:rFonts w:hint="eastAsia" w:cs="宋体"/>
                    </w:rPr>
                    <w:t>叉车。</w:t>
                  </w:r>
                </w:p>
              </w:tc>
              <w:tc>
                <w:tcPr>
                  <w:tcW w:w="473" w:type="pct"/>
                  <w:vAlign w:val="center"/>
                </w:tcPr>
                <w:p>
                  <w:pPr>
                    <w:adjustRightInd w:val="0"/>
                    <w:snapToGrid w:val="0"/>
                    <w:jc w:val="center"/>
                    <w:rPr>
                      <w:rFonts w:cs="宋体"/>
                    </w:rPr>
                  </w:pPr>
                  <w:r>
                    <w:rPr>
                      <w:rFonts w:hint="eastAsia" w:cs="宋体"/>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0" w:type="pct"/>
                  <w:vAlign w:val="center"/>
                </w:tcPr>
                <w:p>
                  <w:pPr>
                    <w:adjustRightInd w:val="0"/>
                    <w:snapToGrid w:val="0"/>
                    <w:jc w:val="center"/>
                    <w:rPr>
                      <w:rFonts w:cs="宋体"/>
                    </w:rPr>
                  </w:pPr>
                  <w:r>
                    <w:rPr>
                      <w:rFonts w:hint="eastAsia" w:cs="宋体"/>
                    </w:rPr>
                    <w:t>运输监管</w:t>
                  </w:r>
                </w:p>
              </w:tc>
              <w:tc>
                <w:tcPr>
                  <w:tcW w:w="1865" w:type="pct"/>
                  <w:vAlign w:val="center"/>
                </w:tcPr>
                <w:p>
                  <w:pPr>
                    <w:adjustRightInd w:val="0"/>
                    <w:snapToGrid w:val="0"/>
                    <w:jc w:val="center"/>
                    <w:rPr>
                      <w:u w:color="000000"/>
                    </w:rPr>
                  </w:pPr>
                  <w:r>
                    <w:rPr>
                      <w:rFonts w:hint="eastAsia"/>
                      <w:u w:color="000000"/>
                    </w:rPr>
                    <w:t>参照《重污染重点行业移动源应急管理技术指南》，建立门禁系统和电子台账。</w:t>
                  </w:r>
                </w:p>
              </w:tc>
              <w:tc>
                <w:tcPr>
                  <w:tcW w:w="1962" w:type="pct"/>
                  <w:vAlign w:val="center"/>
                </w:tcPr>
                <w:p>
                  <w:pPr>
                    <w:adjustRightInd w:val="0"/>
                    <w:snapToGrid w:val="0"/>
                    <w:jc w:val="center"/>
                    <w:rPr>
                      <w:rFonts w:cs="宋体"/>
                    </w:rPr>
                  </w:pPr>
                  <w:r>
                    <w:rPr>
                      <w:rFonts w:hint="eastAsia"/>
                    </w:rPr>
                    <w:t>项目厂区</w:t>
                  </w:r>
                  <w:r>
                    <w:rPr>
                      <w:rFonts w:hint="eastAsia"/>
                      <w:u w:color="000000"/>
                    </w:rPr>
                    <w:t>配备门禁和视频监控系统，监控运输车辆进出厂区情况，记录运输车辆电子台账；视频监控、台账数据须保存三个月以上。</w:t>
                  </w:r>
                </w:p>
              </w:tc>
              <w:tc>
                <w:tcPr>
                  <w:tcW w:w="473" w:type="pct"/>
                  <w:vAlign w:val="center"/>
                </w:tcPr>
                <w:p>
                  <w:pPr>
                    <w:adjustRightInd w:val="0"/>
                    <w:snapToGrid w:val="0"/>
                    <w:jc w:val="center"/>
                    <w:rPr>
                      <w:rFonts w:cs="宋体"/>
                    </w:rPr>
                  </w:pPr>
                  <w:r>
                    <w:rPr>
                      <w:rFonts w:hint="eastAsia" w:cs="宋体"/>
                    </w:rPr>
                    <w:t>符合</w:t>
                  </w:r>
                </w:p>
              </w:tc>
            </w:tr>
          </w:tbl>
          <w:p>
            <w:pPr>
              <w:adjustRightInd w:val="0"/>
              <w:snapToGrid w:val="0"/>
              <w:spacing w:line="360" w:lineRule="auto"/>
              <w:jc w:val="left"/>
              <w:rPr>
                <w:rFonts w:cs="宋体"/>
                <w:b/>
                <w:sz w:val="24"/>
                <w:szCs w:val="24"/>
              </w:rPr>
            </w:pPr>
            <w:r>
              <w:rPr>
                <w:rFonts w:hint="eastAsia" w:cs="宋体"/>
                <w:b/>
                <w:sz w:val="24"/>
                <w:szCs w:val="24"/>
              </w:rPr>
              <w:t>6、项目选址的可行性</w:t>
            </w:r>
          </w:p>
          <w:p>
            <w:pPr>
              <w:adjustRightInd w:val="0"/>
              <w:snapToGrid w:val="0"/>
              <w:spacing w:line="360" w:lineRule="auto"/>
              <w:ind w:firstLine="480" w:firstLineChars="200"/>
              <w:rPr>
                <w:sz w:val="24"/>
              </w:rPr>
            </w:pPr>
            <w:r>
              <w:rPr>
                <w:rFonts w:hint="eastAsia"/>
                <w:sz w:val="24"/>
              </w:rPr>
              <w:t>（1）</w:t>
            </w:r>
            <w:r>
              <w:rPr>
                <w:rFonts w:hint="eastAsia"/>
                <w:sz w:val="24"/>
                <w:szCs w:val="24"/>
              </w:rPr>
              <w:t>项目租赁靖边县鸿路工贸有限公司位于靖边县杨桥畔创业创新园</w:t>
            </w:r>
            <w:r>
              <w:rPr>
                <w:rFonts w:hint="eastAsia"/>
                <w:sz w:val="24"/>
              </w:rPr>
              <w:t>的 “工业用地”，且</w:t>
            </w:r>
            <w:r>
              <w:rPr>
                <w:rFonts w:hint="eastAsia"/>
                <w:sz w:val="24"/>
                <w:szCs w:val="24"/>
              </w:rPr>
              <w:t>靖边县鸿路工贸有限公司</w:t>
            </w:r>
            <w:r>
              <w:rPr>
                <w:rFonts w:hint="eastAsia" w:cs="宋体"/>
                <w:sz w:val="24"/>
                <w:szCs w:val="24"/>
              </w:rPr>
              <w:t>取得了</w:t>
            </w:r>
            <w:r>
              <w:rPr>
                <w:rFonts w:hint="eastAsia"/>
                <w:sz w:val="24"/>
              </w:rPr>
              <w:t>靖边县不动产登记局下发“不动产权证书（陕2019靖边县不动产权第03902号）”，详见附件3。</w:t>
            </w:r>
          </w:p>
          <w:p>
            <w:pPr>
              <w:adjustRightInd w:val="0"/>
              <w:snapToGrid w:val="0"/>
              <w:spacing w:line="360" w:lineRule="auto"/>
              <w:ind w:firstLine="480" w:firstLineChars="200"/>
              <w:rPr>
                <w:sz w:val="24"/>
                <w:szCs w:val="24"/>
              </w:rPr>
            </w:pPr>
            <w:r>
              <w:rPr>
                <w:rFonts w:hint="eastAsia"/>
                <w:sz w:val="24"/>
                <w:szCs w:val="24"/>
              </w:rPr>
              <w:t>同时，项目已取得靖边县经济技术开发区管委会《关于同意高强度复合纤维复合塑料生产建设项目入区的批复》（靖政经开发〔2023〕36号），详见附件4，原则同意在靖边经开区创业创新园建设该项目。</w:t>
            </w:r>
          </w:p>
          <w:p>
            <w:pPr>
              <w:autoSpaceDE w:val="0"/>
              <w:autoSpaceDN w:val="0"/>
              <w:adjustRightInd w:val="0"/>
              <w:spacing w:line="360" w:lineRule="auto"/>
              <w:ind w:firstLine="480" w:firstLineChars="200"/>
              <w:rPr>
                <w:b/>
                <w:bCs/>
                <w:sz w:val="24"/>
                <w:lang w:bidi="zh-CN"/>
              </w:rPr>
            </w:pPr>
            <w:r>
              <w:rPr>
                <w:rFonts w:hint="eastAsia"/>
                <w:sz w:val="24"/>
              </w:rPr>
              <w:t>（2）</w:t>
            </w:r>
            <w:r>
              <w:rPr>
                <w:rFonts w:hint="eastAsia"/>
                <w:sz w:val="24"/>
                <w:szCs w:val="24"/>
              </w:rPr>
              <w:t>项目位于靖边县经济技术开发区创业创新园创业四路，北侧</w:t>
            </w:r>
            <w:r>
              <w:rPr>
                <w:rFonts w:hint="eastAsia"/>
                <w:sz w:val="24"/>
                <w:lang w:bidi="zh-CN"/>
              </w:rPr>
              <w:t>为</w:t>
            </w:r>
            <w:r>
              <w:rPr>
                <w:sz w:val="24"/>
                <w:lang w:bidi="zh-CN"/>
              </w:rPr>
              <w:t>靖边县利通工贸有限公司</w:t>
            </w:r>
            <w:r>
              <w:rPr>
                <w:rFonts w:hint="eastAsia"/>
                <w:sz w:val="24"/>
                <w:lang w:bidi="zh-CN"/>
              </w:rPr>
              <w:t>、南侧为</w:t>
            </w:r>
            <w:r>
              <w:rPr>
                <w:bCs/>
                <w:sz w:val="24"/>
                <w:lang w:bidi="zh-CN"/>
              </w:rPr>
              <w:t>靖边县富润新型建材有限责任公司</w:t>
            </w:r>
            <w:r>
              <w:rPr>
                <w:rFonts w:hint="eastAsia"/>
                <w:sz w:val="24"/>
                <w:lang w:bidi="zh-CN"/>
              </w:rPr>
              <w:t>、西侧为威尔罗根公司，东侧为创业四路，</w:t>
            </w:r>
            <w:r>
              <w:rPr>
                <w:rFonts w:hint="eastAsia"/>
                <w:sz w:val="24"/>
              </w:rPr>
              <w:t>交通便利，便于原材料及产品的运输。</w:t>
            </w:r>
          </w:p>
          <w:p>
            <w:pPr>
              <w:adjustRightInd w:val="0"/>
              <w:snapToGrid w:val="0"/>
              <w:spacing w:line="360" w:lineRule="auto"/>
              <w:ind w:firstLine="480" w:firstLineChars="200"/>
              <w:rPr>
                <w:sz w:val="24"/>
                <w:szCs w:val="24"/>
              </w:rPr>
            </w:pPr>
            <w:r>
              <w:rPr>
                <w:rFonts w:hint="eastAsia"/>
                <w:sz w:val="24"/>
                <w:lang w:bidi="zh-CN"/>
              </w:rPr>
              <w:t>（3）</w:t>
            </w:r>
            <w:r>
              <w:rPr>
                <w:sz w:val="24"/>
                <w:szCs w:val="24"/>
              </w:rPr>
              <w:t>项目</w:t>
            </w:r>
            <w:r>
              <w:rPr>
                <w:rFonts w:hint="eastAsia"/>
                <w:sz w:val="24"/>
                <w:szCs w:val="24"/>
              </w:rPr>
              <w:t>运营期在采取</w:t>
            </w:r>
            <w:r>
              <w:rPr>
                <w:sz w:val="24"/>
                <w:szCs w:val="24"/>
              </w:rPr>
              <w:t>各项</w:t>
            </w:r>
            <w:r>
              <w:rPr>
                <w:rFonts w:hint="eastAsia"/>
                <w:sz w:val="24"/>
                <w:szCs w:val="24"/>
              </w:rPr>
              <w:t>污染防治</w:t>
            </w:r>
            <w:r>
              <w:rPr>
                <w:sz w:val="24"/>
                <w:szCs w:val="24"/>
              </w:rPr>
              <w:t>措施后，废气、废水及噪声均能达标排放，固体废物做到了合理处置</w:t>
            </w:r>
            <w:r>
              <w:rPr>
                <w:rFonts w:hint="eastAsia"/>
                <w:sz w:val="24"/>
                <w:szCs w:val="24"/>
              </w:rPr>
              <w:t>，</w:t>
            </w:r>
            <w:r>
              <w:rPr>
                <w:sz w:val="24"/>
                <w:szCs w:val="24"/>
              </w:rPr>
              <w:t>从环境影响角度分析</w:t>
            </w:r>
            <w:r>
              <w:rPr>
                <w:rFonts w:hint="eastAsia"/>
                <w:sz w:val="24"/>
                <w:szCs w:val="24"/>
              </w:rPr>
              <w:t>，</w:t>
            </w:r>
            <w:r>
              <w:rPr>
                <w:sz w:val="24"/>
                <w:szCs w:val="24"/>
              </w:rPr>
              <w:t>对周围环境造成的影响</w:t>
            </w:r>
            <w:r>
              <w:rPr>
                <w:rFonts w:hint="eastAsia"/>
                <w:sz w:val="24"/>
                <w:szCs w:val="24"/>
              </w:rPr>
              <w:t>较</w:t>
            </w:r>
            <w:r>
              <w:rPr>
                <w:sz w:val="24"/>
                <w:szCs w:val="24"/>
              </w:rPr>
              <w:t>小。</w:t>
            </w:r>
          </w:p>
          <w:p>
            <w:pPr>
              <w:adjustRightInd w:val="0"/>
              <w:snapToGrid w:val="0"/>
              <w:spacing w:line="360" w:lineRule="auto"/>
              <w:ind w:firstLine="480" w:firstLineChars="200"/>
              <w:rPr>
                <w:sz w:val="24"/>
              </w:rPr>
            </w:pPr>
            <w:r>
              <w:rPr>
                <w:rFonts w:hint="eastAsia"/>
                <w:sz w:val="24"/>
              </w:rPr>
              <w:t>（4）项目所在区域</w:t>
            </w:r>
            <w:r>
              <w:rPr>
                <w:sz w:val="24"/>
              </w:rPr>
              <w:t>无重点保护野生动植物分布</w:t>
            </w:r>
            <w:r>
              <w:rPr>
                <w:rFonts w:hint="eastAsia"/>
                <w:sz w:val="24"/>
              </w:rPr>
              <w:t>，不涉及</w:t>
            </w:r>
            <w:r>
              <w:rPr>
                <w:sz w:val="24"/>
              </w:rPr>
              <w:t>风景名胜区、自然保护区、</w:t>
            </w:r>
            <w:r>
              <w:rPr>
                <w:rFonts w:hint="eastAsia"/>
                <w:sz w:val="24"/>
              </w:rPr>
              <w:t>永久</w:t>
            </w:r>
            <w:r>
              <w:rPr>
                <w:sz w:val="24"/>
              </w:rPr>
              <w:t>基本农田、文物保护单位、饮用水水源地等敏感区域</w:t>
            </w:r>
            <w:r>
              <w:rPr>
                <w:rFonts w:hint="eastAsia"/>
                <w:sz w:val="24"/>
              </w:rPr>
              <w:t>。</w:t>
            </w:r>
          </w:p>
          <w:p>
            <w:pPr>
              <w:adjustRightInd w:val="0"/>
              <w:snapToGrid w:val="0"/>
              <w:spacing w:line="360" w:lineRule="auto"/>
              <w:rPr>
                <w:sz w:val="24"/>
              </w:rPr>
            </w:pPr>
            <w:r>
              <w:rPr>
                <w:rFonts w:hint="eastAsia"/>
                <w:sz w:val="24"/>
              </w:rPr>
              <w:t>综上所述，项目选址可行。</w:t>
            </w:r>
          </w:p>
          <w:p>
            <w:pPr>
              <w:pStyle w:val="2"/>
            </w:pPr>
          </w:p>
          <w:p/>
          <w:p>
            <w:pPr>
              <w:pStyle w:val="2"/>
            </w:pPr>
          </w:p>
          <w:p/>
          <w:p>
            <w:pPr>
              <w:pStyle w:val="2"/>
            </w:pPr>
          </w:p>
          <w:p/>
          <w:p>
            <w:pPr>
              <w:pStyle w:val="2"/>
            </w:pPr>
          </w:p>
          <w:p/>
          <w:p>
            <w:pPr>
              <w:pStyle w:val="2"/>
            </w:pPr>
          </w:p>
          <w:p/>
          <w:p>
            <w:pPr>
              <w:pStyle w:val="2"/>
            </w:pPr>
          </w:p>
          <w:p/>
          <w:p>
            <w:pPr>
              <w:pStyle w:val="2"/>
            </w:pPr>
          </w:p>
          <w:p>
            <w:pPr>
              <w:pStyle w:val="2"/>
              <w:ind w:firstLine="0"/>
            </w:pPr>
          </w:p>
          <w:p>
            <w:pPr>
              <w:pStyle w:val="2"/>
              <w:ind w:firstLine="0"/>
            </w:pPr>
          </w:p>
          <w:p/>
          <w:p>
            <w:pPr>
              <w:pStyle w:val="2"/>
            </w:pPr>
          </w:p>
        </w:tc>
      </w:tr>
    </w:tbl>
    <w:p>
      <w:pPr>
        <w:rPr>
          <w:sz w:val="30"/>
          <w:szCs w:val="30"/>
        </w:rPr>
        <w:sectPr>
          <w:pgSz w:w="11906" w:h="16838"/>
          <w:pgMar w:top="1440" w:right="1531" w:bottom="1440" w:left="1531" w:header="851" w:footer="1077" w:gutter="0"/>
          <w:cols w:space="720" w:num="1"/>
          <w:docGrid w:linePitch="312" w:charSpace="0"/>
        </w:sectPr>
      </w:pPr>
    </w:p>
    <w:p>
      <w:pPr>
        <w:pStyle w:val="30"/>
        <w:spacing w:before="0" w:beforeAutospacing="0" w:after="0" w:afterAutospacing="0" w:line="360" w:lineRule="auto"/>
        <w:jc w:val="center"/>
        <w:outlineLvl w:val="0"/>
        <w:rPr>
          <w:rFonts w:ascii="Times New Roman" w:hAnsi="Times New Roman"/>
          <w:b/>
          <w:snapToGrid w:val="0"/>
          <w:sz w:val="30"/>
          <w:szCs w:val="30"/>
        </w:rPr>
      </w:pPr>
      <w:r>
        <w:rPr>
          <w:rFonts w:hint="eastAsia" w:ascii="Times New Roman" w:hAnsi="Times New Roman"/>
          <w:b/>
          <w:snapToGrid w:val="0"/>
          <w:sz w:val="30"/>
          <w:szCs w:val="30"/>
        </w:rPr>
        <w:t>二、建设项目工程分析</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80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433" w:type="dxa"/>
            <w:tcBorders>
              <w:top w:val="single" w:color="auto" w:sz="8" w:space="0"/>
            </w:tcBorders>
            <w:vAlign w:val="center"/>
          </w:tcPr>
          <w:p>
            <w:pPr>
              <w:pStyle w:val="30"/>
              <w:adjustRightInd w:val="0"/>
              <w:snapToGrid w:val="0"/>
              <w:spacing w:before="0" w:beforeAutospacing="0" w:after="0" w:afterAutospacing="0"/>
              <w:jc w:val="center"/>
              <w:rPr>
                <w:rFonts w:ascii="Times New Roman" w:hAnsi="Times New Roman"/>
              </w:rPr>
            </w:pPr>
            <w:r>
              <w:rPr>
                <w:rFonts w:hint="eastAsia" w:ascii="Times New Roman" w:hAnsi="Times New Roman" w:cs="宋体"/>
              </w:rPr>
              <w:t>建设内容</w:t>
            </w:r>
          </w:p>
        </w:tc>
        <w:tc>
          <w:tcPr>
            <w:tcW w:w="8161" w:type="dxa"/>
            <w:tcBorders>
              <w:top w:val="single" w:color="auto" w:sz="8" w:space="0"/>
            </w:tcBorders>
          </w:tcPr>
          <w:p>
            <w:pPr>
              <w:adjustRightInd w:val="0"/>
              <w:snapToGrid w:val="0"/>
              <w:spacing w:line="360" w:lineRule="auto"/>
              <w:jc w:val="left"/>
              <w:rPr>
                <w:rFonts w:cs="宋体"/>
                <w:b/>
                <w:bCs/>
                <w:sz w:val="24"/>
                <w:szCs w:val="24"/>
              </w:rPr>
            </w:pPr>
            <w:r>
              <w:rPr>
                <w:rFonts w:hint="eastAsia"/>
                <w:b/>
                <w:bCs/>
                <w:sz w:val="24"/>
                <w:szCs w:val="24"/>
              </w:rPr>
              <w:t>1、</w:t>
            </w:r>
            <w:r>
              <w:rPr>
                <w:rFonts w:hint="eastAsia" w:cs="宋体"/>
                <w:b/>
                <w:bCs/>
                <w:sz w:val="24"/>
                <w:szCs w:val="24"/>
              </w:rPr>
              <w:t>项目由来</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hint="eastAsia" w:cs="宋体"/>
                <w:sz w:val="24"/>
                <w:szCs w:val="24"/>
              </w:rPr>
              <w:t>陕西昌源油联复合材料有限公司租赁靖边县鸿路工贸有限公司在靖边县经济技术开发区创业创新园拥有的“工业用地”及闲置“生产厂房、办公及生活用房等”，购置相关生产设备及环保设施，实施“高强度复合纤维复合塑料生产建设项目”。</w:t>
            </w:r>
          </w:p>
          <w:p>
            <w:pPr>
              <w:adjustRightInd w:val="0"/>
              <w:snapToGrid w:val="0"/>
              <w:spacing w:line="360" w:lineRule="auto"/>
              <w:jc w:val="left"/>
              <w:rPr>
                <w:b/>
                <w:bCs/>
                <w:sz w:val="24"/>
                <w:szCs w:val="24"/>
              </w:rPr>
            </w:pPr>
            <w:r>
              <w:rPr>
                <w:rFonts w:hint="eastAsia"/>
                <w:b/>
                <w:bCs/>
                <w:sz w:val="24"/>
                <w:szCs w:val="24"/>
              </w:rPr>
              <w:t>2、</w:t>
            </w:r>
            <w:r>
              <w:rPr>
                <w:rFonts w:hint="eastAsia" w:cs="宋体"/>
                <w:b/>
                <w:bCs/>
                <w:sz w:val="24"/>
                <w:szCs w:val="24"/>
              </w:rPr>
              <w:t>主要建设内容</w:t>
            </w:r>
          </w:p>
          <w:p>
            <w:pPr>
              <w:adjustRightInd w:val="0"/>
              <w:snapToGrid w:val="0"/>
              <w:spacing w:line="360" w:lineRule="auto"/>
              <w:ind w:firstLine="480" w:firstLineChars="200"/>
              <w:rPr>
                <w:rFonts w:cs="宋体"/>
                <w:sz w:val="24"/>
                <w:szCs w:val="24"/>
              </w:rPr>
            </w:pPr>
            <w:r>
              <w:rPr>
                <w:rFonts w:hint="eastAsia" w:cs="宋体"/>
                <w:sz w:val="24"/>
                <w:szCs w:val="24"/>
              </w:rPr>
              <w:t>项目占地面积约18050平方米，租赁厂房、办公及生活用房等，新建高强度复合纤维复合塑料生产线1条，年产复合纤维储罐1100吨</w:t>
            </w:r>
            <w:r>
              <w:rPr>
                <w:rFonts w:hint="eastAsia" w:cs="宋体"/>
                <w:bCs/>
                <w:sz w:val="24"/>
                <w:szCs w:val="24"/>
              </w:rPr>
              <w:t>。</w:t>
            </w:r>
            <w:r>
              <w:rPr>
                <w:rFonts w:hint="eastAsia" w:cs="宋体"/>
                <w:sz w:val="24"/>
                <w:szCs w:val="24"/>
              </w:rPr>
              <w:t>项目具体组成见表2-1。</w:t>
            </w:r>
          </w:p>
          <w:p>
            <w:pPr>
              <w:adjustRightInd w:val="0"/>
              <w:snapToGrid w:val="0"/>
              <w:spacing w:line="360" w:lineRule="auto"/>
              <w:jc w:val="center"/>
              <w:rPr>
                <w:b/>
                <w:bCs/>
                <w:szCs w:val="24"/>
              </w:rPr>
            </w:pPr>
            <w:r>
              <w:rPr>
                <w:rFonts w:hint="eastAsia" w:cs="宋体"/>
                <w:b/>
                <w:bCs/>
                <w:szCs w:val="24"/>
              </w:rPr>
              <w:t>表</w:t>
            </w:r>
            <w:r>
              <w:rPr>
                <w:b/>
                <w:bCs/>
                <w:szCs w:val="24"/>
              </w:rPr>
              <w:t>2-</w:t>
            </w:r>
            <w:r>
              <w:rPr>
                <w:rFonts w:hint="eastAsia"/>
                <w:b/>
                <w:bCs/>
                <w:szCs w:val="24"/>
              </w:rPr>
              <w:t xml:space="preserve">1 </w:t>
            </w:r>
            <w:r>
              <w:rPr>
                <w:rFonts w:hint="eastAsia" w:cs="宋体"/>
                <w:b/>
                <w:bCs/>
                <w:szCs w:val="24"/>
              </w:rPr>
              <w:t>项目组成一览表</w:t>
            </w:r>
          </w:p>
          <w:tbl>
            <w:tblPr>
              <w:tblStyle w:val="3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0"/>
              <w:gridCol w:w="824"/>
              <w:gridCol w:w="5411"/>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工程组成</w:t>
                  </w:r>
                </w:p>
              </w:tc>
              <w:tc>
                <w:tcPr>
                  <w:tcW w:w="4010" w:type="pct"/>
                  <w:gridSpan w:val="2"/>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主要建设内容</w:t>
                  </w:r>
                </w:p>
              </w:tc>
              <w:tc>
                <w:tcPr>
                  <w:tcW w:w="55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主体工程</w:t>
                  </w:r>
                </w:p>
              </w:tc>
              <w:tc>
                <w:tcPr>
                  <w:tcW w:w="530" w:type="pc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sz w:val="21"/>
                      <w:szCs w:val="21"/>
                    </w:rPr>
                    <w:t>生产车间</w:t>
                  </w:r>
                </w:p>
              </w:tc>
              <w:tc>
                <w:tcPr>
                  <w:tcW w:w="348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总建筑面积5520m</w:t>
                  </w:r>
                  <w:r>
                    <w:rPr>
                      <w:rFonts w:hint="eastAsia" w:ascii="Times New Roman" w:hAnsi="Times New Roman" w:cs="宋体"/>
                      <w:sz w:val="21"/>
                      <w:szCs w:val="21"/>
                      <w:vertAlign w:val="superscript"/>
                    </w:rPr>
                    <w:t>2</w:t>
                  </w:r>
                  <w:r>
                    <w:rPr>
                      <w:rFonts w:hint="eastAsia" w:ascii="Times New Roman" w:hAnsi="Times New Roman" w:cs="宋体"/>
                      <w:bCs/>
                      <w:sz w:val="21"/>
                      <w:szCs w:val="21"/>
                    </w:rPr>
                    <w:t>，钢结构，1</w:t>
                  </w:r>
                  <w:r>
                    <w:rPr>
                      <w:rFonts w:ascii="Times New Roman" w:hAnsi="Times New Roman" w:cs="宋体"/>
                      <w:bCs/>
                      <w:sz w:val="21"/>
                      <w:szCs w:val="21"/>
                    </w:rPr>
                    <w:t>F</w:t>
                  </w:r>
                  <w:r>
                    <w:rPr>
                      <w:rFonts w:hint="eastAsia" w:ascii="Times New Roman" w:hAnsi="Times New Roman" w:cs="宋体"/>
                      <w:bCs/>
                      <w:sz w:val="21"/>
                      <w:szCs w:val="21"/>
                    </w:rPr>
                    <w:t>，高15m，新建高强度复合纤维复合塑料生产线1条，设置打磨室、封头制作区、缠绕固化区等，主要安装搅拌机、缠绕机、脱模机等生产设备及相关环保设施。</w:t>
                  </w:r>
                </w:p>
              </w:tc>
              <w:tc>
                <w:tcPr>
                  <w:tcW w:w="559" w:type="pc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厂房租赁，生产线及设备新建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储运工程</w:t>
                  </w:r>
                </w:p>
              </w:tc>
              <w:tc>
                <w:tcPr>
                  <w:tcW w:w="530" w:type="pc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sz w:val="21"/>
                      <w:szCs w:val="21"/>
                    </w:rPr>
                    <w:t>原料储存</w:t>
                  </w:r>
                </w:p>
              </w:tc>
              <w:tc>
                <w:tcPr>
                  <w:tcW w:w="348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项目原辅料暂存于原料库房，原料库房位于生产车间内。</w:t>
                  </w:r>
                </w:p>
              </w:tc>
              <w:tc>
                <w:tcPr>
                  <w:tcW w:w="559" w:type="pct"/>
                  <w:tcBorders>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restar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辅助工程</w:t>
                  </w:r>
                </w:p>
              </w:tc>
              <w:tc>
                <w:tcPr>
                  <w:tcW w:w="53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pacing w:val="-10"/>
                      <w:sz w:val="21"/>
                      <w:szCs w:val="21"/>
                    </w:rPr>
                  </w:pPr>
                  <w:r>
                    <w:rPr>
                      <w:rFonts w:hint="eastAsia" w:ascii="Times New Roman" w:hAnsi="Times New Roman" w:cs="宋体"/>
                      <w:spacing w:val="-10"/>
                      <w:sz w:val="21"/>
                      <w:szCs w:val="21"/>
                    </w:rPr>
                    <w:t>办公楼</w:t>
                  </w:r>
                </w:p>
              </w:tc>
              <w:tc>
                <w:tcPr>
                  <w:tcW w:w="348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总建筑面积846.6m</w:t>
                  </w:r>
                  <w:r>
                    <w:rPr>
                      <w:rFonts w:hint="eastAsia" w:ascii="Times New Roman" w:hAnsi="Times New Roman" w:cs="宋体"/>
                      <w:sz w:val="21"/>
                      <w:szCs w:val="21"/>
                      <w:vertAlign w:val="superscript"/>
                    </w:rPr>
                    <w:t>2</w:t>
                  </w:r>
                  <w:r>
                    <w:rPr>
                      <w:rFonts w:hint="eastAsia" w:ascii="Times New Roman" w:hAnsi="Times New Roman" w:cs="宋体"/>
                      <w:sz w:val="21"/>
                      <w:szCs w:val="21"/>
                    </w:rPr>
                    <w:t>，砖混结构，</w:t>
                  </w:r>
                  <w:r>
                    <w:rPr>
                      <w:rFonts w:hint="eastAsia" w:ascii="Times New Roman" w:hAnsi="Times New Roman"/>
                      <w:sz w:val="21"/>
                      <w:szCs w:val="21"/>
                    </w:rPr>
                    <w:t>2</w:t>
                  </w:r>
                  <w:r>
                    <w:rPr>
                      <w:rFonts w:ascii="Times New Roman" w:hAnsi="Times New Roman"/>
                      <w:sz w:val="21"/>
                      <w:szCs w:val="21"/>
                    </w:rPr>
                    <w:t>F</w:t>
                  </w:r>
                  <w:r>
                    <w:rPr>
                      <w:rFonts w:hint="eastAsia" w:ascii="Times New Roman" w:hAnsi="Times New Roman"/>
                      <w:sz w:val="21"/>
                      <w:szCs w:val="21"/>
                    </w:rPr>
                    <w:t>，</w:t>
                  </w:r>
                  <w:r>
                    <w:rPr>
                      <w:rFonts w:hint="eastAsia" w:ascii="Times New Roman" w:hAnsi="Times New Roman" w:cs="宋体"/>
                      <w:bCs/>
                      <w:sz w:val="21"/>
                      <w:szCs w:val="21"/>
                    </w:rPr>
                    <w:t>高8m</w:t>
                  </w:r>
                  <w:r>
                    <w:rPr>
                      <w:rFonts w:hint="eastAsia" w:ascii="Times New Roman" w:hAnsi="Times New Roman" w:cs="宋体"/>
                      <w:sz w:val="21"/>
                      <w:szCs w:val="21"/>
                    </w:rPr>
                    <w:t>，用于生活办公。</w:t>
                  </w:r>
                </w:p>
              </w:tc>
              <w:tc>
                <w:tcPr>
                  <w:tcW w:w="55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pacing w:val="-10"/>
                      <w:sz w:val="21"/>
                      <w:szCs w:val="21"/>
                    </w:rPr>
                  </w:pPr>
                  <w:r>
                    <w:rPr>
                      <w:rFonts w:hint="eastAsia" w:ascii="Times New Roman" w:hAnsi="Times New Roman"/>
                      <w:spacing w:val="-10"/>
                      <w:sz w:val="21"/>
                      <w:szCs w:val="21"/>
                    </w:rPr>
                    <w:t>宿舍楼</w:t>
                  </w:r>
                </w:p>
              </w:tc>
              <w:tc>
                <w:tcPr>
                  <w:tcW w:w="348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总建筑面积465.84m</w:t>
                  </w:r>
                  <w:r>
                    <w:rPr>
                      <w:rFonts w:hint="eastAsia" w:ascii="Times New Roman" w:hAnsi="Times New Roman" w:cs="宋体"/>
                      <w:sz w:val="21"/>
                      <w:szCs w:val="21"/>
                      <w:vertAlign w:val="superscript"/>
                    </w:rPr>
                    <w:t>2</w:t>
                  </w:r>
                  <w:r>
                    <w:rPr>
                      <w:rFonts w:hint="eastAsia" w:ascii="Times New Roman" w:hAnsi="Times New Roman" w:cs="宋体"/>
                      <w:sz w:val="21"/>
                      <w:szCs w:val="21"/>
                    </w:rPr>
                    <w:t>，砖混结构，</w:t>
                  </w:r>
                  <w:r>
                    <w:rPr>
                      <w:rFonts w:hint="eastAsia" w:ascii="Times New Roman" w:hAnsi="Times New Roman"/>
                      <w:sz w:val="21"/>
                      <w:szCs w:val="21"/>
                    </w:rPr>
                    <w:t>1</w:t>
                  </w:r>
                  <w:r>
                    <w:rPr>
                      <w:rFonts w:ascii="Times New Roman" w:hAnsi="Times New Roman"/>
                      <w:sz w:val="21"/>
                      <w:szCs w:val="21"/>
                    </w:rPr>
                    <w:t>F</w:t>
                  </w:r>
                  <w:r>
                    <w:rPr>
                      <w:rFonts w:hint="eastAsia" w:ascii="Times New Roman" w:hAnsi="Times New Roman"/>
                      <w:sz w:val="21"/>
                      <w:szCs w:val="21"/>
                    </w:rPr>
                    <w:t>，</w:t>
                  </w:r>
                  <w:r>
                    <w:rPr>
                      <w:rFonts w:hint="eastAsia" w:ascii="Times New Roman" w:hAnsi="Times New Roman" w:cs="宋体"/>
                      <w:bCs/>
                      <w:sz w:val="21"/>
                      <w:szCs w:val="21"/>
                    </w:rPr>
                    <w:t>高3.5m</w:t>
                  </w:r>
                  <w:r>
                    <w:rPr>
                      <w:rFonts w:hint="eastAsia" w:ascii="Times New Roman" w:hAnsi="Times New Roman" w:cs="宋体"/>
                      <w:sz w:val="21"/>
                      <w:szCs w:val="21"/>
                    </w:rPr>
                    <w:t>，用于员工住宿，设置有员工食堂1间。</w:t>
                  </w:r>
                </w:p>
              </w:tc>
              <w:tc>
                <w:tcPr>
                  <w:tcW w:w="55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pacing w:val="-10"/>
                      <w:sz w:val="21"/>
                      <w:szCs w:val="21"/>
                    </w:rPr>
                  </w:pPr>
                  <w:r>
                    <w:rPr>
                      <w:rFonts w:hint="eastAsia" w:ascii="Times New Roman" w:hAnsi="Times New Roman"/>
                      <w:spacing w:val="-10"/>
                      <w:sz w:val="21"/>
                      <w:szCs w:val="21"/>
                    </w:rPr>
                    <w:t>门房</w:t>
                  </w:r>
                </w:p>
              </w:tc>
              <w:tc>
                <w:tcPr>
                  <w:tcW w:w="348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总建筑面积60.6m</w:t>
                  </w:r>
                  <w:r>
                    <w:rPr>
                      <w:rFonts w:hint="eastAsia" w:ascii="Times New Roman" w:hAnsi="Times New Roman" w:cs="宋体"/>
                      <w:sz w:val="21"/>
                      <w:szCs w:val="21"/>
                      <w:vertAlign w:val="superscript"/>
                    </w:rPr>
                    <w:t>2</w:t>
                  </w:r>
                  <w:r>
                    <w:rPr>
                      <w:rFonts w:hint="eastAsia" w:ascii="Times New Roman" w:hAnsi="Times New Roman" w:cs="宋体"/>
                      <w:sz w:val="21"/>
                      <w:szCs w:val="21"/>
                    </w:rPr>
                    <w:t>，砖混结构，</w:t>
                  </w:r>
                  <w:r>
                    <w:rPr>
                      <w:rFonts w:hint="eastAsia" w:ascii="Times New Roman" w:hAnsi="Times New Roman"/>
                      <w:sz w:val="21"/>
                      <w:szCs w:val="21"/>
                    </w:rPr>
                    <w:t>1</w:t>
                  </w:r>
                  <w:r>
                    <w:rPr>
                      <w:rFonts w:ascii="Times New Roman" w:hAnsi="Times New Roman"/>
                      <w:sz w:val="21"/>
                      <w:szCs w:val="21"/>
                    </w:rPr>
                    <w:t>F</w:t>
                  </w:r>
                  <w:r>
                    <w:rPr>
                      <w:rFonts w:hint="eastAsia" w:ascii="Times New Roman" w:hAnsi="Times New Roman" w:cs="宋体"/>
                      <w:sz w:val="21"/>
                      <w:szCs w:val="21"/>
                    </w:rPr>
                    <w:t>。</w:t>
                  </w:r>
                </w:p>
              </w:tc>
              <w:tc>
                <w:tcPr>
                  <w:tcW w:w="559"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cs="宋体"/>
                      <w:sz w:val="21"/>
                      <w:szCs w:val="21"/>
                    </w:rPr>
                  </w:pPr>
                  <w:r>
                    <w:rPr>
                      <w:rFonts w:hint="eastAsia" w:ascii="Times New Roman" w:hAnsi="Times New Roman" w:cs="宋体"/>
                      <w:sz w:val="21"/>
                      <w:szCs w:val="21"/>
                    </w:rPr>
                    <w:t>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restar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公用工程</w:t>
                  </w:r>
                </w:p>
              </w:tc>
              <w:tc>
                <w:tcPr>
                  <w:tcW w:w="53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供电</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园区电网供给。</w:t>
                  </w:r>
                </w:p>
              </w:tc>
              <w:tc>
                <w:tcPr>
                  <w:tcW w:w="559" w:type="pct"/>
                  <w:vMerge w:val="restart"/>
                  <w:tcBorders>
                    <w:top w:val="single" w:color="auto" w:sz="4" w:space="0"/>
                    <w:left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利用原有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给水</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园区自来水管网供给。</w:t>
                  </w:r>
                </w:p>
              </w:tc>
              <w:tc>
                <w:tcPr>
                  <w:tcW w:w="559" w:type="pct"/>
                  <w:vMerge w:val="continue"/>
                  <w:tcBorders>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排水</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雨污分流制，雨水进入市政雨水管网；食堂废水经油水分离器后与办公</w:t>
                  </w:r>
                  <w:r>
                    <w:rPr>
                      <w:rFonts w:hint="eastAsia" w:cs="宋体"/>
                      <w:sz w:val="21"/>
                      <w:szCs w:val="21"/>
                    </w:rPr>
                    <w:t>生活污水一同经化粪池处理后通过园区污水管网排入</w:t>
                  </w:r>
                  <w:r>
                    <w:rPr>
                      <w:rFonts w:hint="eastAsia" w:cs="宋体"/>
                      <w:bCs/>
                      <w:sz w:val="21"/>
                      <w:szCs w:val="21"/>
                    </w:rPr>
                    <w:t>靖边</w:t>
                  </w:r>
                  <w:r>
                    <w:rPr>
                      <w:rFonts w:cs="宋体"/>
                      <w:bCs/>
                      <w:sz w:val="21"/>
                      <w:szCs w:val="21"/>
                    </w:rPr>
                    <w:t>县</w:t>
                  </w:r>
                  <w:r>
                    <w:rPr>
                      <w:rFonts w:hint="eastAsia" w:cs="宋体"/>
                      <w:bCs/>
                      <w:sz w:val="21"/>
                      <w:szCs w:val="21"/>
                    </w:rPr>
                    <w:t>经济技术开发区</w:t>
                  </w:r>
                  <w:r>
                    <w:rPr>
                      <w:rFonts w:cs="宋体"/>
                      <w:bCs/>
                      <w:sz w:val="21"/>
                      <w:szCs w:val="21"/>
                    </w:rPr>
                    <w:t>杨桥畔镇污水处理厂</w:t>
                  </w:r>
                  <w:r>
                    <w:rPr>
                      <w:rFonts w:hint="eastAsia" w:cs="宋体"/>
                      <w:sz w:val="21"/>
                      <w:szCs w:val="21"/>
                    </w:rPr>
                    <w:t>处理。</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供暖制冷</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办公室采用分体式空调供暖、制冷。</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restart"/>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sz w:val="21"/>
                      <w:szCs w:val="21"/>
                    </w:rPr>
                    <w:t>环保工程</w:t>
                  </w:r>
                </w:p>
              </w:tc>
              <w:tc>
                <w:tcPr>
                  <w:tcW w:w="530" w:type="pct"/>
                  <w:vMerge w:val="restart"/>
                  <w:tcBorders>
                    <w:left w:val="single" w:color="auto" w:sz="4" w:space="0"/>
                    <w:right w:val="single" w:color="auto" w:sz="4" w:space="0"/>
                  </w:tcBorders>
                  <w:vAlign w:val="center"/>
                </w:tcPr>
                <w:p>
                  <w:pPr>
                    <w:pStyle w:val="133"/>
                    <w:ind w:firstLine="0" w:firstLineChars="0"/>
                    <w:jc w:val="center"/>
                    <w:rPr>
                      <w:sz w:val="21"/>
                      <w:szCs w:val="21"/>
                    </w:rPr>
                  </w:pPr>
                  <w:r>
                    <w:rPr>
                      <w:rFonts w:hint="eastAsia"/>
                      <w:sz w:val="21"/>
                      <w:szCs w:val="21"/>
                    </w:rPr>
                    <w:t>废气</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罐体制作伸缩式密闭房（浸胶、缠绕固化组装）产生的有机废气经负压收集后，采用“活性炭吸附/脱附浓缩+催化燃烧装置（RCO）”处理后通过1根18m高排气筒（DA001）排放。</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left w:val="single" w:color="auto" w:sz="4" w:space="0"/>
                    <w:right w:val="single" w:color="auto" w:sz="4" w:space="0"/>
                  </w:tcBorders>
                  <w:vAlign w:val="center"/>
                </w:tcPr>
                <w:p>
                  <w:pPr>
                    <w:pStyle w:val="133"/>
                    <w:ind w:firstLine="0" w:firstLineChars="0"/>
                    <w:jc w:val="center"/>
                    <w:rPr>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封头制作位于伸缩式密闭房内，产生的有机废气经负压收集后采用“活性炭吸附/脱附浓缩+催化燃烧装置（RCO）”装置处理后通过1根18m高排气筒（DA002）排放。</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left w:val="single" w:color="auto" w:sz="4" w:space="0"/>
                    <w:right w:val="single" w:color="auto" w:sz="4" w:space="0"/>
                  </w:tcBorders>
                  <w:vAlign w:val="center"/>
                </w:tcPr>
                <w:p>
                  <w:pPr>
                    <w:pStyle w:val="133"/>
                    <w:ind w:firstLine="0" w:firstLineChars="0"/>
                    <w:jc w:val="center"/>
                    <w:rPr>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封头打磨修整在封闭打磨室进行，产生的粉尘经采用“布袋除尘器”处理，通过1根18m高排气筒（DA003）排放。</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top w:val="single" w:color="auto" w:sz="4" w:space="0"/>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left w:val="single" w:color="auto" w:sz="4" w:space="0"/>
                    <w:right w:val="single" w:color="auto" w:sz="4" w:space="0"/>
                  </w:tcBorders>
                  <w:vAlign w:val="center"/>
                </w:tcPr>
                <w:p>
                  <w:pPr>
                    <w:pStyle w:val="133"/>
                    <w:ind w:firstLine="0" w:firstLineChars="0"/>
                    <w:jc w:val="center"/>
                    <w:rPr>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玻璃钢体封头连接处打磨修整在车间进行，打磨修整产生的粉尘经移动式滤筒除尘器进行处理后于车间无组织排放。</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left w:val="single" w:color="auto" w:sz="4" w:space="0"/>
                    <w:bottom w:val="single" w:color="auto" w:sz="4" w:space="0"/>
                    <w:right w:val="single" w:color="auto" w:sz="4" w:space="0"/>
                  </w:tcBorders>
                  <w:vAlign w:val="center"/>
                </w:tcPr>
                <w:p>
                  <w:pPr>
                    <w:pStyle w:val="133"/>
                    <w:spacing w:line="240" w:lineRule="auto"/>
                    <w:ind w:firstLine="0" w:firstLineChars="0"/>
                    <w:jc w:val="center"/>
                    <w:rPr>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食堂产生的油烟经油烟净化器处理后于楼顶排放。</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sz w:val="21"/>
                      <w:szCs w:val="21"/>
                    </w:rPr>
                    <w:t>废水</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项目无生产废水排放；食堂废水经油水分离器后与办公</w:t>
                  </w:r>
                  <w:r>
                    <w:rPr>
                      <w:rFonts w:hint="eastAsia" w:cs="宋体"/>
                      <w:sz w:val="21"/>
                      <w:szCs w:val="21"/>
                    </w:rPr>
                    <w:t>生活污水一同经化粪池处理后通过园区污水管网排入</w:t>
                  </w:r>
                  <w:r>
                    <w:rPr>
                      <w:rFonts w:hint="eastAsia" w:cs="宋体"/>
                      <w:bCs/>
                      <w:sz w:val="21"/>
                      <w:szCs w:val="21"/>
                    </w:rPr>
                    <w:t>靖边</w:t>
                  </w:r>
                  <w:r>
                    <w:rPr>
                      <w:rFonts w:cs="宋体"/>
                      <w:bCs/>
                      <w:sz w:val="21"/>
                      <w:szCs w:val="21"/>
                    </w:rPr>
                    <w:t>县</w:t>
                  </w:r>
                  <w:r>
                    <w:rPr>
                      <w:rFonts w:hint="eastAsia" w:cs="宋体"/>
                      <w:bCs/>
                      <w:sz w:val="21"/>
                      <w:szCs w:val="21"/>
                    </w:rPr>
                    <w:t>经济技术开发区</w:t>
                  </w:r>
                  <w:r>
                    <w:rPr>
                      <w:rFonts w:cs="宋体"/>
                      <w:bCs/>
                      <w:sz w:val="21"/>
                      <w:szCs w:val="21"/>
                    </w:rPr>
                    <w:t>杨桥畔镇污水处理厂</w:t>
                  </w:r>
                  <w:r>
                    <w:rPr>
                      <w:rFonts w:hint="eastAsia" w:cs="宋体"/>
                      <w:sz w:val="21"/>
                      <w:szCs w:val="21"/>
                    </w:rPr>
                    <w:t>处理。</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restar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固废</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废聚酯膜、废边角料、除尘器收尘等分类集中收集后暂存于一般固废暂存区定期外售综合利用；废催化剂定期由厂家更换回收。</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废包装桶、润滑油及废活性炭等危险废物分类收集后暂存于危废暂存间（10m</w:t>
                  </w:r>
                  <w:r>
                    <w:rPr>
                      <w:rFonts w:hint="eastAsia" w:cs="宋体"/>
                      <w:kern w:val="0"/>
                      <w:sz w:val="21"/>
                      <w:szCs w:val="21"/>
                      <w:vertAlign w:val="superscript"/>
                    </w:rPr>
                    <w:t>2</w:t>
                  </w:r>
                  <w:r>
                    <w:rPr>
                      <w:rFonts w:hint="eastAsia" w:cs="宋体"/>
                      <w:kern w:val="0"/>
                      <w:sz w:val="21"/>
                      <w:szCs w:val="21"/>
                    </w:rPr>
                    <w:t>），定期交由有资质单位处置。</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vMerge w:val="continue"/>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生活垃圾分类收集后交由环卫部门统一处置，</w:t>
                  </w:r>
                  <w:r>
                    <w:rPr>
                      <w:rFonts w:cs="宋体"/>
                      <w:kern w:val="0"/>
                      <w:sz w:val="21"/>
                      <w:szCs w:val="21"/>
                    </w:rPr>
                    <w:t>废油脂交有资质单位处置</w:t>
                  </w:r>
                  <w:r>
                    <w:rPr>
                      <w:rFonts w:hint="eastAsia" w:cs="宋体"/>
                      <w:kern w:val="0"/>
                      <w:sz w:val="21"/>
                      <w:szCs w:val="21"/>
                    </w:rPr>
                    <w:t>。</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1" w:type="pct"/>
                  <w:vMerge w:val="continue"/>
                  <w:tcBorders>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p>
              </w:tc>
              <w:tc>
                <w:tcPr>
                  <w:tcW w:w="530" w:type="pct"/>
                  <w:tcBorders>
                    <w:top w:val="single" w:color="auto" w:sz="4" w:space="0"/>
                    <w:left w:val="single" w:color="auto" w:sz="4" w:space="0"/>
                    <w:bottom w:val="single" w:color="auto" w:sz="4" w:space="0"/>
                    <w:right w:val="single" w:color="auto" w:sz="4" w:space="0"/>
                  </w:tcBorders>
                  <w:vAlign w:val="center"/>
                </w:tcPr>
                <w:p>
                  <w:pPr>
                    <w:pStyle w:val="2"/>
                    <w:adjustRightInd w:val="0"/>
                    <w:snapToGrid w:val="0"/>
                    <w:ind w:firstLine="0"/>
                    <w:jc w:val="center"/>
                    <w:rPr>
                      <w:rFonts w:ascii="Times New Roman" w:hAnsi="Times New Roman"/>
                      <w:sz w:val="21"/>
                      <w:szCs w:val="21"/>
                    </w:rPr>
                  </w:pPr>
                  <w:r>
                    <w:rPr>
                      <w:rFonts w:hint="eastAsia" w:ascii="Times New Roman" w:hAnsi="Times New Roman" w:cs="宋体"/>
                      <w:sz w:val="21"/>
                      <w:szCs w:val="21"/>
                    </w:rPr>
                    <w:t>噪声</w:t>
                  </w:r>
                </w:p>
              </w:tc>
              <w:tc>
                <w:tcPr>
                  <w:tcW w:w="3480"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kern w:val="0"/>
                      <w:sz w:val="21"/>
                      <w:szCs w:val="21"/>
                    </w:rPr>
                  </w:pPr>
                  <w:r>
                    <w:rPr>
                      <w:rFonts w:hint="eastAsia" w:cs="宋体"/>
                      <w:kern w:val="0"/>
                      <w:sz w:val="21"/>
                      <w:szCs w:val="21"/>
                    </w:rPr>
                    <w:t>设备基础减振、厂房隔声等降噪措施。</w:t>
                  </w:r>
                </w:p>
              </w:tc>
              <w:tc>
                <w:tcPr>
                  <w:tcW w:w="559" w:type="pct"/>
                  <w:tcBorders>
                    <w:top w:val="single" w:color="auto" w:sz="4" w:space="0"/>
                    <w:left w:val="single" w:color="auto" w:sz="4" w:space="0"/>
                    <w:bottom w:val="single" w:color="auto" w:sz="4" w:space="0"/>
                    <w:right w:val="single" w:color="auto" w:sz="4" w:space="0"/>
                  </w:tcBorders>
                  <w:vAlign w:val="center"/>
                </w:tcPr>
                <w:p>
                  <w:pPr>
                    <w:pStyle w:val="133"/>
                    <w:spacing w:line="240" w:lineRule="auto"/>
                    <w:ind w:firstLine="0" w:firstLineChars="0"/>
                    <w:jc w:val="center"/>
                    <w:rPr>
                      <w:rFonts w:cs="宋体"/>
                      <w:kern w:val="0"/>
                      <w:sz w:val="21"/>
                      <w:szCs w:val="21"/>
                    </w:rPr>
                  </w:pPr>
                  <w:r>
                    <w:rPr>
                      <w:rFonts w:hint="eastAsia" w:cs="宋体"/>
                      <w:kern w:val="0"/>
                      <w:sz w:val="21"/>
                      <w:szCs w:val="21"/>
                    </w:rPr>
                    <w:t>新建</w:t>
                  </w:r>
                </w:p>
              </w:tc>
            </w:tr>
          </w:tbl>
          <w:p>
            <w:pPr>
              <w:adjustRightInd w:val="0"/>
              <w:snapToGrid w:val="0"/>
              <w:spacing w:line="360" w:lineRule="auto"/>
              <w:jc w:val="left"/>
              <w:rPr>
                <w:b/>
                <w:bCs/>
                <w:sz w:val="24"/>
                <w:szCs w:val="24"/>
              </w:rPr>
            </w:pPr>
            <w:r>
              <w:rPr>
                <w:rFonts w:hint="eastAsia"/>
                <w:b/>
                <w:bCs/>
                <w:sz w:val="24"/>
                <w:szCs w:val="24"/>
              </w:rPr>
              <w:t>3、</w:t>
            </w:r>
            <w:r>
              <w:rPr>
                <w:rFonts w:hint="eastAsia" w:cs="宋体"/>
                <w:b/>
                <w:bCs/>
                <w:sz w:val="24"/>
                <w:szCs w:val="24"/>
              </w:rPr>
              <w:t>产品方案</w:t>
            </w:r>
          </w:p>
          <w:p>
            <w:pPr>
              <w:adjustRightInd w:val="0"/>
              <w:snapToGrid w:val="0"/>
              <w:spacing w:line="360" w:lineRule="auto"/>
              <w:ind w:firstLine="480" w:firstLineChars="200"/>
              <w:rPr>
                <w:rFonts w:cs="宋体"/>
                <w:sz w:val="24"/>
                <w:szCs w:val="24"/>
                <w:lang w:val="zh-CN"/>
              </w:rPr>
            </w:pPr>
            <w:r>
              <w:rPr>
                <w:rFonts w:hint="eastAsia" w:cs="宋体"/>
                <w:sz w:val="24"/>
                <w:szCs w:val="24"/>
                <w:lang w:val="zh-CN"/>
              </w:rPr>
              <w:t>本项目产品主要为</w:t>
            </w:r>
            <w:r>
              <w:rPr>
                <w:rFonts w:hint="eastAsia" w:cs="宋体"/>
                <w:sz w:val="24"/>
                <w:szCs w:val="24"/>
              </w:rPr>
              <w:t>复合玻璃纤维储罐，</w:t>
            </w:r>
            <w:r>
              <w:rPr>
                <w:rFonts w:hint="eastAsia" w:cs="宋体"/>
                <w:sz w:val="24"/>
                <w:szCs w:val="24"/>
                <w:lang w:val="zh-CN"/>
              </w:rPr>
              <w:t>具体产品方案见下表。</w:t>
            </w:r>
          </w:p>
          <w:p>
            <w:pPr>
              <w:adjustRightInd w:val="0"/>
              <w:snapToGrid w:val="0"/>
              <w:spacing w:line="360" w:lineRule="auto"/>
              <w:jc w:val="center"/>
              <w:rPr>
                <w:b/>
                <w:bCs/>
              </w:rPr>
            </w:pPr>
            <w:r>
              <w:rPr>
                <w:rFonts w:hint="eastAsia" w:cs="宋体"/>
                <w:b/>
                <w:bCs/>
              </w:rPr>
              <w:t>表</w:t>
            </w:r>
            <w:r>
              <w:rPr>
                <w:rFonts w:hint="eastAsia"/>
                <w:b/>
                <w:bCs/>
              </w:rPr>
              <w:t>2</w:t>
            </w:r>
            <w:r>
              <w:rPr>
                <w:b/>
                <w:bCs/>
              </w:rPr>
              <w:t>-</w:t>
            </w:r>
            <w:r>
              <w:rPr>
                <w:rFonts w:hint="eastAsia"/>
                <w:b/>
                <w:bCs/>
              </w:rPr>
              <w:t>2 本</w:t>
            </w:r>
            <w:r>
              <w:rPr>
                <w:rFonts w:hint="eastAsia" w:cs="宋体"/>
                <w:b/>
                <w:bCs/>
              </w:rPr>
              <w:t>项目产品方案一览表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3"/>
              <w:gridCol w:w="2016"/>
              <w:gridCol w:w="2014"/>
              <w:gridCol w:w="865"/>
              <w:gridCol w:w="2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序号</w:t>
                  </w:r>
                </w:p>
              </w:tc>
              <w:tc>
                <w:tcPr>
                  <w:tcW w:w="12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产品名称</w:t>
                  </w:r>
                </w:p>
              </w:tc>
              <w:tc>
                <w:tcPr>
                  <w:tcW w:w="12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主要规格</w:t>
                  </w:r>
                </w:p>
              </w:tc>
              <w:tc>
                <w:tcPr>
                  <w:tcW w:w="5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年产量</w:t>
                  </w:r>
                </w:p>
              </w:tc>
              <w:tc>
                <w:tcPr>
                  <w:tcW w:w="14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 w:hRule="atLeast"/>
                <w:jc w:val="center"/>
              </w:trPr>
              <w:tc>
                <w:tcPr>
                  <w:tcW w:w="4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1</w:t>
                  </w:r>
                </w:p>
              </w:tc>
              <w:tc>
                <w:tcPr>
                  <w:tcW w:w="129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复合玻璃纤维储罐</w:t>
                  </w:r>
                </w:p>
              </w:tc>
              <w:tc>
                <w:tcPr>
                  <w:tcW w:w="129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15m</w:t>
                  </w:r>
                  <w:r>
                    <w:rPr>
                      <w:rFonts w:hint="eastAsia"/>
                      <w:vertAlign w:val="superscript"/>
                    </w:rPr>
                    <w:t>3</w:t>
                  </w:r>
                  <w:r>
                    <w:rPr>
                      <w:rFonts w:hint="eastAsia" w:cs="宋体"/>
                      <w:sz w:val="24"/>
                      <w:szCs w:val="24"/>
                    </w:rPr>
                    <w:t>、</w:t>
                  </w:r>
                  <w:r>
                    <w:rPr>
                      <w:rFonts w:hint="eastAsia"/>
                    </w:rPr>
                    <w:t>20m</w:t>
                  </w:r>
                  <w:r>
                    <w:rPr>
                      <w:rFonts w:hint="eastAsia"/>
                      <w:vertAlign w:val="superscript"/>
                    </w:rPr>
                    <w:t>3</w:t>
                  </w:r>
                  <w:r>
                    <w:rPr>
                      <w:rFonts w:hint="eastAsia" w:cs="宋体"/>
                      <w:sz w:val="24"/>
                      <w:szCs w:val="24"/>
                    </w:rPr>
                    <w:t>、</w:t>
                  </w:r>
                  <w:r>
                    <w:rPr>
                      <w:rFonts w:hint="eastAsia"/>
                    </w:rPr>
                    <w:t>25m</w:t>
                  </w:r>
                  <w:r>
                    <w:rPr>
                      <w:rFonts w:hint="eastAsia"/>
                      <w:vertAlign w:val="superscript"/>
                    </w:rPr>
                    <w:t>3</w:t>
                  </w:r>
                </w:p>
              </w:tc>
              <w:tc>
                <w:tcPr>
                  <w:tcW w:w="5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1100t</w:t>
                  </w:r>
                </w:p>
              </w:tc>
              <w:tc>
                <w:tcPr>
                  <w:tcW w:w="1421" w:type="pct"/>
                  <w:tcBorders>
                    <w:top w:val="single" w:color="auto" w:sz="4" w:space="0"/>
                    <w:left w:val="single" w:color="auto" w:sz="4" w:space="0"/>
                    <w:right w:val="single" w:color="auto" w:sz="4" w:space="0"/>
                  </w:tcBorders>
                  <w:vAlign w:val="center"/>
                </w:tcPr>
                <w:p>
                  <w:pPr>
                    <w:jc w:val="center"/>
                    <w:rPr>
                      <w:spacing w:val="-20"/>
                    </w:rPr>
                  </w:pPr>
                  <w:r>
                    <w:rPr>
                      <w:rFonts w:hint="eastAsia"/>
                      <w:spacing w:val="-20"/>
                    </w:rPr>
                    <w:t>根据客户订单匹配生产</w:t>
                  </w:r>
                </w:p>
              </w:tc>
            </w:tr>
          </w:tbl>
          <w:p>
            <w:pPr>
              <w:widowControl/>
              <w:adjustRightInd w:val="0"/>
              <w:snapToGrid w:val="0"/>
              <w:spacing w:line="360" w:lineRule="auto"/>
              <w:rPr>
                <w:b/>
                <w:bCs/>
                <w:sz w:val="24"/>
                <w:szCs w:val="24"/>
              </w:rPr>
            </w:pPr>
            <w:r>
              <w:rPr>
                <w:rFonts w:hint="eastAsia"/>
                <w:b/>
                <w:sz w:val="24"/>
              </w:rPr>
              <w:t>4、</w:t>
            </w:r>
            <w:r>
              <w:rPr>
                <w:rFonts w:hint="eastAsia" w:cs="宋体"/>
                <w:b/>
                <w:bCs/>
                <w:sz w:val="24"/>
                <w:szCs w:val="24"/>
              </w:rPr>
              <w:t>原辅材料及能源</w:t>
            </w:r>
          </w:p>
          <w:p>
            <w:pPr>
              <w:adjustRightInd w:val="0"/>
              <w:snapToGrid w:val="0"/>
              <w:spacing w:line="360" w:lineRule="auto"/>
              <w:ind w:firstLine="480" w:firstLineChars="200"/>
              <w:rPr>
                <w:rFonts w:cs="宋体"/>
                <w:sz w:val="24"/>
                <w:szCs w:val="24"/>
              </w:rPr>
            </w:pPr>
            <w:r>
              <w:rPr>
                <w:rFonts w:hint="eastAsia" w:cs="宋体"/>
                <w:sz w:val="24"/>
                <w:szCs w:val="24"/>
              </w:rPr>
              <w:t>本项目生产所需原料主要为不饱和聚酯树脂、玻璃纤维、固化剂、促进剂等，主要原辅材料及能源消耗情况见下表。</w:t>
            </w:r>
          </w:p>
          <w:p>
            <w:pPr>
              <w:adjustRightInd w:val="0"/>
              <w:snapToGrid w:val="0"/>
              <w:spacing w:line="360" w:lineRule="auto"/>
              <w:jc w:val="center"/>
              <w:rPr>
                <w:b/>
                <w:bCs/>
                <w:kern w:val="0"/>
                <w:szCs w:val="24"/>
              </w:rPr>
            </w:pPr>
            <w:r>
              <w:rPr>
                <w:rFonts w:hint="eastAsia" w:cs="宋体"/>
                <w:b/>
                <w:bCs/>
                <w:szCs w:val="24"/>
              </w:rPr>
              <w:t>表</w:t>
            </w:r>
            <w:r>
              <w:rPr>
                <w:b/>
                <w:bCs/>
                <w:szCs w:val="24"/>
              </w:rPr>
              <w:t>2-</w:t>
            </w:r>
            <w:r>
              <w:rPr>
                <w:rFonts w:hint="eastAsia"/>
                <w:b/>
                <w:bCs/>
                <w:szCs w:val="24"/>
              </w:rPr>
              <w:t xml:space="preserve">3 </w:t>
            </w:r>
            <w:r>
              <w:rPr>
                <w:rFonts w:hint="eastAsia"/>
                <w:b/>
                <w:bCs/>
              </w:rPr>
              <w:t>本</w:t>
            </w:r>
            <w:r>
              <w:rPr>
                <w:rFonts w:hint="eastAsia" w:cs="宋体"/>
                <w:b/>
                <w:bCs/>
                <w:kern w:val="0"/>
                <w:szCs w:val="24"/>
              </w:rPr>
              <w:t>项目原、辅材料及能源消耗一览表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910"/>
              <w:gridCol w:w="1295"/>
              <w:gridCol w:w="1784"/>
              <w:gridCol w:w="21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序号</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名称</w:t>
                  </w:r>
                </w:p>
              </w:tc>
              <w:tc>
                <w:tcPr>
                  <w:tcW w:w="8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年用量</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厂区最大暂存量</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1</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不饱和聚酯树脂</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459.36t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25.3t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桶装，1100kg/桶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玻璃纤维</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460.67t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23t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捆装，20kg/捆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促进剂</w:t>
                  </w:r>
                </w:p>
              </w:tc>
              <w:tc>
                <w:tcPr>
                  <w:tcW w:w="8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6.85t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0.6t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桶装，20kg/桶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固化剂</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12.14t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桶装，20kg/桶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聚酯薄膜</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5.15t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0.5t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袋装，25kg/袋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针织毡</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25.08t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2.5t</w:t>
                  </w:r>
                </w:p>
              </w:tc>
              <w:tc>
                <w:tcPr>
                  <w:tcW w:w="1358"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卷装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7</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表面毡</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1.89t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0.1t</w:t>
                  </w:r>
                </w:p>
              </w:tc>
              <w:tc>
                <w:tcPr>
                  <w:tcW w:w="1358"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卷装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8</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网格布</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5.71t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0.5t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袋装，25kg/袋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9</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短切毡</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35.83t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3.0t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箱装，30kg/箱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600布</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105.33t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10.0t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卷装，200m/卷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11</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白炭黑</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3.62t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0.45t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袋装，15kg/袋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12</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润滑油</w:t>
                  </w:r>
                </w:p>
              </w:tc>
              <w:tc>
                <w:tcPr>
                  <w:tcW w:w="833"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0.1t</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0.05t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桶装，25kg/桶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13</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水</w:t>
                  </w:r>
                </w:p>
              </w:tc>
              <w:tc>
                <w:tcPr>
                  <w:tcW w:w="8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1498</w:t>
                  </w:r>
                  <w:r>
                    <w:t>m</w:t>
                  </w:r>
                  <w:r>
                    <w:rPr>
                      <w:vertAlign w:val="superscript"/>
                    </w:rPr>
                    <w:t>3</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园区管网供给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3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14</w:t>
                  </w:r>
                </w:p>
              </w:tc>
              <w:tc>
                <w:tcPr>
                  <w:tcW w:w="122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电</w:t>
                  </w:r>
                </w:p>
              </w:tc>
              <w:tc>
                <w:tcPr>
                  <w:tcW w:w="83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bCs/>
                    </w:rPr>
                    <w:t>50万kW</w:t>
                  </w:r>
                  <w:r>
                    <w:rPr>
                      <w:bCs/>
                    </w:rPr>
                    <w:t>·h</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w:t>
                  </w:r>
                </w:p>
              </w:tc>
              <w:tc>
                <w:tcPr>
                  <w:tcW w:w="135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园区电网供给</w:t>
                  </w:r>
                </w:p>
              </w:tc>
            </w:tr>
          </w:tbl>
          <w:p>
            <w:pPr>
              <w:adjustRightInd w:val="0"/>
              <w:snapToGrid w:val="0"/>
              <w:spacing w:line="360" w:lineRule="auto"/>
              <w:jc w:val="center"/>
              <w:rPr>
                <w:rFonts w:cs="宋体"/>
                <w:b/>
                <w:bCs/>
                <w:szCs w:val="24"/>
              </w:rPr>
            </w:pPr>
            <w:r>
              <w:rPr>
                <w:rFonts w:hint="eastAsia" w:cs="宋体"/>
                <w:b/>
                <w:bCs/>
                <w:szCs w:val="24"/>
              </w:rPr>
              <w:t>表2-4  项目主要原辅材料理化性质一览表</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6"/>
              <w:gridCol w:w="1026"/>
              <w:gridCol w:w="6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序号</w:t>
                  </w:r>
                </w:p>
              </w:tc>
              <w:tc>
                <w:tcPr>
                  <w:tcW w:w="660" w:type="pct"/>
                  <w:vAlign w:val="center"/>
                </w:tcPr>
                <w:p>
                  <w:pPr>
                    <w:adjustRightInd w:val="0"/>
                    <w:snapToGrid w:val="0"/>
                    <w:jc w:val="center"/>
                    <w:rPr>
                      <w:rFonts w:cs="宋体"/>
                      <w:bCs/>
                    </w:rPr>
                  </w:pPr>
                  <w:r>
                    <w:rPr>
                      <w:rFonts w:hint="eastAsia" w:cs="宋体"/>
                      <w:bCs/>
                    </w:rPr>
                    <w:t>名称</w:t>
                  </w:r>
                </w:p>
              </w:tc>
              <w:tc>
                <w:tcPr>
                  <w:tcW w:w="3899" w:type="pct"/>
                  <w:vAlign w:val="center"/>
                </w:tcPr>
                <w:p>
                  <w:pPr>
                    <w:adjustRightInd w:val="0"/>
                    <w:snapToGrid w:val="0"/>
                    <w:jc w:val="center"/>
                    <w:rPr>
                      <w:rFonts w:cs="宋体"/>
                      <w:bCs/>
                    </w:rPr>
                  </w:pPr>
                  <w:r>
                    <w:rPr>
                      <w:rFonts w:hint="eastAsia" w:cs="宋体"/>
                      <w:bCs/>
                    </w:rPr>
                    <w:t>理化性质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1</w:t>
                  </w:r>
                </w:p>
              </w:tc>
              <w:tc>
                <w:tcPr>
                  <w:tcW w:w="660" w:type="pct"/>
                  <w:vAlign w:val="center"/>
                </w:tcPr>
                <w:p>
                  <w:pPr>
                    <w:adjustRightInd w:val="0"/>
                    <w:snapToGrid w:val="0"/>
                    <w:jc w:val="center"/>
                    <w:rPr>
                      <w:rFonts w:cs="宋体"/>
                      <w:bCs/>
                    </w:rPr>
                  </w:pPr>
                  <w:r>
                    <w:rPr>
                      <w:rFonts w:hint="eastAsia" w:cs="宋体"/>
                      <w:bCs/>
                    </w:rPr>
                    <w:t>不饱和聚酯树脂</w:t>
                  </w:r>
                </w:p>
              </w:tc>
              <w:tc>
                <w:tcPr>
                  <w:tcW w:w="3899" w:type="pct"/>
                  <w:vAlign w:val="center"/>
                </w:tcPr>
                <w:p>
                  <w:pPr>
                    <w:adjustRightInd w:val="0"/>
                    <w:snapToGrid w:val="0"/>
                    <w:rPr>
                      <w:rFonts w:cs="宋体"/>
                      <w:bCs/>
                    </w:rPr>
                  </w:pPr>
                  <w:r>
                    <w:rPr>
                      <w:rFonts w:hint="eastAsia" w:cs="宋体"/>
                      <w:bCs/>
                    </w:rPr>
                    <w:t>淡黄色透明粘稠液体，不饱和聚酯树脂是二元酸和二元醇经缩聚反应而生成的含有不饱和双键的高分子化合物，是一种热固性树脂，当其在热或引发剂的作用下，可固化成为一种不溶不融的高分子网状聚合物。但这种聚合物机械强度很低，不能满足大部分使用的要求，当用玻璃纤维增强时可成为一种复合材料，俗称“玻璃钢”。</w:t>
                  </w:r>
                  <w:r>
                    <w:rPr>
                      <w:rFonts w:hint="eastAsia" w:cs="宋体"/>
                    </w:rPr>
                    <w:t>不饱和聚酯树脂</w:t>
                  </w:r>
                  <w:r>
                    <w:rPr>
                      <w:rFonts w:hint="eastAsia" w:cs="宋体"/>
                      <w:bCs/>
                    </w:rPr>
                    <w:t>的成分检测报告详见附件9。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2</w:t>
                  </w:r>
                </w:p>
              </w:tc>
              <w:tc>
                <w:tcPr>
                  <w:tcW w:w="660" w:type="pct"/>
                  <w:vAlign w:val="center"/>
                </w:tcPr>
                <w:p>
                  <w:pPr>
                    <w:adjustRightInd w:val="0"/>
                    <w:snapToGrid w:val="0"/>
                    <w:jc w:val="center"/>
                    <w:rPr>
                      <w:rFonts w:cs="宋体"/>
                      <w:bCs/>
                    </w:rPr>
                  </w:pPr>
                  <w:r>
                    <w:rPr>
                      <w:rFonts w:hint="eastAsia" w:cs="宋体"/>
                      <w:bCs/>
                    </w:rPr>
                    <w:t>玻璃纤维</w:t>
                  </w:r>
                </w:p>
              </w:tc>
              <w:tc>
                <w:tcPr>
                  <w:tcW w:w="3899" w:type="pct"/>
                  <w:vAlign w:val="center"/>
                </w:tcPr>
                <w:p>
                  <w:pPr>
                    <w:adjustRightInd w:val="0"/>
                    <w:snapToGrid w:val="0"/>
                    <w:rPr>
                      <w:rFonts w:cs="宋体"/>
                      <w:bCs/>
                    </w:rPr>
                  </w:pPr>
                  <w:r>
                    <w:rPr>
                      <w:rFonts w:hint="eastAsia" w:cs="宋体"/>
                      <w:bCs/>
                    </w:rPr>
                    <w:t>是一种性能优异的无机非金属材料。玻璃纤维作为强化塑料的补强材料应用时，最大的特征是抗拉强度大。主要成分为铝硼硅酸盐玻璃，使用工艺性能优良，毛羽少；能够与多种树脂相容，浸润快速而完全。形成的制品机械性能好，并有优异的耐腐蚀性能。适用于增强不饱和聚酯树脂、环氧树脂、可用于缠绕、拉挤、编织等应用工序。主要用于制造玻璃钢管道、压力容器、化工贮罐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3</w:t>
                  </w:r>
                </w:p>
              </w:tc>
              <w:tc>
                <w:tcPr>
                  <w:tcW w:w="660" w:type="pct"/>
                  <w:vAlign w:val="center"/>
                </w:tcPr>
                <w:p>
                  <w:pPr>
                    <w:adjustRightInd w:val="0"/>
                    <w:snapToGrid w:val="0"/>
                    <w:jc w:val="center"/>
                    <w:rPr>
                      <w:rFonts w:cs="宋体"/>
                      <w:bCs/>
                    </w:rPr>
                  </w:pPr>
                  <w:r>
                    <w:rPr>
                      <w:rFonts w:hint="eastAsia" w:cs="宋体"/>
                      <w:bCs/>
                    </w:rPr>
                    <w:t>固化剂</w:t>
                  </w:r>
                </w:p>
              </w:tc>
              <w:tc>
                <w:tcPr>
                  <w:tcW w:w="3899" w:type="pct"/>
                  <w:vAlign w:val="center"/>
                </w:tcPr>
                <w:p>
                  <w:pPr>
                    <w:adjustRightInd w:val="0"/>
                    <w:snapToGrid w:val="0"/>
                    <w:rPr>
                      <w:rFonts w:cs="宋体"/>
                      <w:bCs/>
                    </w:rPr>
                  </w:pPr>
                  <w:r>
                    <w:rPr>
                      <w:rFonts w:hint="eastAsia" w:cs="宋体"/>
                      <w:bCs/>
                    </w:rPr>
                    <w:t>本项目使用的固化剂为过氧化甲乙酮，又称MEKP，分子式是 C</w:t>
                  </w:r>
                  <w:r>
                    <w:rPr>
                      <w:rFonts w:hint="eastAsia" w:cs="宋体"/>
                      <w:bCs/>
                      <w:vertAlign w:val="subscript"/>
                    </w:rPr>
                    <w:t>8</w:t>
                  </w:r>
                  <w:r>
                    <w:rPr>
                      <w:rFonts w:hint="eastAsia" w:cs="宋体"/>
                      <w:bCs/>
                    </w:rPr>
                    <w:t>H</w:t>
                  </w:r>
                  <w:r>
                    <w:rPr>
                      <w:rFonts w:hint="eastAsia" w:cs="宋体"/>
                      <w:bCs/>
                      <w:vertAlign w:val="subscript"/>
                    </w:rPr>
                    <w:t>18</w:t>
                  </w:r>
                  <w:r>
                    <w:rPr>
                      <w:rFonts w:hint="eastAsia" w:cs="宋体"/>
                      <w:bCs/>
                    </w:rPr>
                    <w:t>O</w:t>
                  </w:r>
                  <w:r>
                    <w:rPr>
                      <w:rFonts w:hint="eastAsia" w:cs="宋体"/>
                      <w:bCs/>
                      <w:vertAlign w:val="subscript"/>
                    </w:rPr>
                    <w:t>6</w:t>
                  </w:r>
                  <w:r>
                    <w:rPr>
                      <w:rFonts w:hint="eastAsia" w:cs="宋体"/>
                      <w:bCs/>
                    </w:rPr>
                    <w:t>，无色透明粘性液体，易挥发。相对密度1.053g/cm</w:t>
                  </w:r>
                  <w:r>
                    <w:rPr>
                      <w:rFonts w:hint="eastAsia" w:cs="宋体"/>
                      <w:bCs/>
                      <w:vertAlign w:val="superscript"/>
                    </w:rPr>
                    <w:t>3</w:t>
                  </w:r>
                  <w:r>
                    <w:rPr>
                      <w:rFonts w:hint="eastAsia" w:cs="宋体"/>
                      <w:bCs/>
                    </w:rPr>
                    <w:t>，凝固点-20℃。不溶于水，溶于苯、醇、醚和酯，在130℃分解。凝胶时间：20℃，5~7min，闪点≥90℃。用作不饱和聚酯树脂的常温固化剂、有机合成的引发剂、漂白剂、杀菌剂。通常过氧化甲乙酮不超过9%，以避免爆炸危险。室温下稳定，温度高于 100℃时发生爆炸。固化剂的检测报告详见附件10。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4</w:t>
                  </w:r>
                </w:p>
              </w:tc>
              <w:tc>
                <w:tcPr>
                  <w:tcW w:w="660" w:type="pct"/>
                  <w:vAlign w:val="center"/>
                </w:tcPr>
                <w:p>
                  <w:pPr>
                    <w:adjustRightInd w:val="0"/>
                    <w:snapToGrid w:val="0"/>
                    <w:jc w:val="center"/>
                    <w:rPr>
                      <w:rFonts w:cs="宋体"/>
                      <w:bCs/>
                    </w:rPr>
                  </w:pPr>
                  <w:r>
                    <w:rPr>
                      <w:rFonts w:hint="eastAsia" w:cs="宋体"/>
                      <w:bCs/>
                    </w:rPr>
                    <w:t>促进剂</w:t>
                  </w:r>
                </w:p>
              </w:tc>
              <w:tc>
                <w:tcPr>
                  <w:tcW w:w="3899" w:type="pct"/>
                  <w:vAlign w:val="center"/>
                </w:tcPr>
                <w:p>
                  <w:pPr>
                    <w:adjustRightInd w:val="0"/>
                    <w:snapToGrid w:val="0"/>
                    <w:rPr>
                      <w:rFonts w:cs="宋体"/>
                      <w:bCs/>
                    </w:rPr>
                  </w:pPr>
                  <w:r>
                    <w:rPr>
                      <w:rFonts w:hint="eastAsia" w:cs="宋体"/>
                      <w:bCs/>
                    </w:rPr>
                    <w:t>异辛酸钴又称2-乙基己酸钴，紫色液体，化学式：C</w:t>
                  </w:r>
                  <w:r>
                    <w:rPr>
                      <w:rFonts w:hint="eastAsia" w:cs="宋体"/>
                      <w:bCs/>
                      <w:vertAlign w:val="subscript"/>
                    </w:rPr>
                    <w:t>16</w:t>
                  </w:r>
                  <w:r>
                    <w:rPr>
                      <w:rFonts w:hint="eastAsia" w:cs="宋体"/>
                      <w:bCs/>
                    </w:rPr>
                    <w:t>H</w:t>
                  </w:r>
                  <w:r>
                    <w:rPr>
                      <w:rFonts w:hint="eastAsia" w:cs="宋体"/>
                      <w:bCs/>
                      <w:vertAlign w:val="subscript"/>
                    </w:rPr>
                    <w:t>30</w:t>
                  </w:r>
                  <w:r>
                    <w:rPr>
                      <w:rFonts w:hint="eastAsia" w:cs="宋体"/>
                      <w:bCs/>
                    </w:rPr>
                    <w:t>CoO</w:t>
                  </w:r>
                  <w:r>
                    <w:rPr>
                      <w:rFonts w:hint="eastAsia" w:cs="宋体"/>
                      <w:bCs/>
                      <w:vertAlign w:val="subscript"/>
                    </w:rPr>
                    <w:t>4</w:t>
                  </w:r>
                  <w:r>
                    <w:rPr>
                      <w:rFonts w:hint="eastAsia" w:cs="宋体"/>
                      <w:bCs/>
                    </w:rPr>
                    <w:t>，分子量：345.34，相对密度：1.002g/mL，闪点≥30℃。主要用作油漆、油墨的催干剂，不饱和聚酯树脂的固化促进剂，聚氯乙烯稳定剂，聚合反应催化剂等。溶于200号溶剂汽油，可燃，排出含氧化钴辛辣刺激烟雾，有毒；储运时保持库房低温，通风，干燥。起火时可用水，二氧化碳，干粉或砂土扑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trPr>
              <w:tc>
                <w:tcPr>
                  <w:tcW w:w="441" w:type="pct"/>
                  <w:vAlign w:val="center"/>
                </w:tcPr>
                <w:p>
                  <w:pPr>
                    <w:adjustRightInd w:val="0"/>
                    <w:snapToGrid w:val="0"/>
                    <w:jc w:val="center"/>
                    <w:rPr>
                      <w:rFonts w:cs="宋体"/>
                      <w:bCs/>
                    </w:rPr>
                  </w:pPr>
                  <w:r>
                    <w:rPr>
                      <w:rFonts w:hint="eastAsia" w:cs="宋体"/>
                      <w:bCs/>
                    </w:rPr>
                    <w:t>5</w:t>
                  </w:r>
                </w:p>
              </w:tc>
              <w:tc>
                <w:tcPr>
                  <w:tcW w:w="660" w:type="pct"/>
                  <w:vAlign w:val="center"/>
                </w:tcPr>
                <w:p>
                  <w:pPr>
                    <w:adjustRightInd w:val="0"/>
                    <w:snapToGrid w:val="0"/>
                    <w:jc w:val="center"/>
                    <w:rPr>
                      <w:rFonts w:cs="宋体"/>
                      <w:bCs/>
                    </w:rPr>
                  </w:pPr>
                  <w:r>
                    <w:rPr>
                      <w:rFonts w:hint="eastAsia" w:cs="宋体"/>
                      <w:bCs/>
                    </w:rPr>
                    <w:t>聚酯薄膜</w:t>
                  </w:r>
                </w:p>
              </w:tc>
              <w:tc>
                <w:tcPr>
                  <w:tcW w:w="3899" w:type="pct"/>
                  <w:vAlign w:val="center"/>
                </w:tcPr>
                <w:p>
                  <w:pPr>
                    <w:adjustRightInd w:val="0"/>
                    <w:snapToGrid w:val="0"/>
                    <w:rPr>
                      <w:rFonts w:cs="宋体"/>
                      <w:bCs/>
                    </w:rPr>
                  </w:pPr>
                  <w:r>
                    <w:rPr>
                      <w:rFonts w:hint="eastAsia" w:cs="宋体"/>
                      <w:bCs/>
                    </w:rPr>
                    <w:t>聚酯薄膜是一种特殊的树脂，聚酯膜不仅具有良好的耐水、耐化学、耐腐蚀、耐磨、耐冲击等性能外，还有具有机械强度高，韧性和回填性好的特点，是为改善玻璃纤维、增强不饱和聚酯基玻璃钢制品的外观质量，和保护结构层的材质不受外界环境介质侵蚀而研制开发。</w:t>
                  </w:r>
                </w:p>
              </w:tc>
            </w:tr>
          </w:tbl>
          <w:p>
            <w:pPr>
              <w:adjustRightInd w:val="0"/>
              <w:snapToGrid w:val="0"/>
              <w:spacing w:line="360" w:lineRule="auto"/>
              <w:jc w:val="left"/>
              <w:rPr>
                <w:b/>
                <w:bCs/>
                <w:sz w:val="24"/>
                <w:szCs w:val="24"/>
              </w:rPr>
            </w:pPr>
            <w:r>
              <w:rPr>
                <w:rFonts w:hint="eastAsia"/>
                <w:b/>
                <w:bCs/>
                <w:sz w:val="24"/>
                <w:szCs w:val="24"/>
              </w:rPr>
              <w:t>5、</w:t>
            </w:r>
            <w:r>
              <w:rPr>
                <w:rFonts w:hint="eastAsia" w:cs="宋体"/>
                <w:b/>
                <w:bCs/>
                <w:sz w:val="24"/>
                <w:szCs w:val="24"/>
              </w:rPr>
              <w:t>主要生产设备</w:t>
            </w:r>
          </w:p>
          <w:p>
            <w:pPr>
              <w:adjustRightInd w:val="0"/>
              <w:snapToGrid w:val="0"/>
              <w:spacing w:line="360" w:lineRule="auto"/>
              <w:ind w:firstLine="480" w:firstLineChars="200"/>
              <w:jc w:val="left"/>
              <w:rPr>
                <w:rFonts w:cs="宋体"/>
                <w:sz w:val="24"/>
                <w:szCs w:val="24"/>
              </w:rPr>
            </w:pPr>
            <w:r>
              <w:rPr>
                <w:rFonts w:hint="eastAsia" w:cs="宋体"/>
                <w:sz w:val="24"/>
                <w:szCs w:val="24"/>
              </w:rPr>
              <w:t>项目主要设备见下表。</w:t>
            </w:r>
          </w:p>
          <w:p>
            <w:pPr>
              <w:adjustRightInd w:val="0"/>
              <w:snapToGrid w:val="0"/>
              <w:spacing w:line="360" w:lineRule="auto"/>
              <w:jc w:val="center"/>
              <w:rPr>
                <w:b/>
                <w:bCs/>
                <w:szCs w:val="24"/>
              </w:rPr>
            </w:pPr>
            <w:r>
              <w:rPr>
                <w:rFonts w:hint="eastAsia" w:cs="宋体"/>
                <w:b/>
                <w:bCs/>
                <w:szCs w:val="24"/>
              </w:rPr>
              <w:t>表</w:t>
            </w:r>
            <w:r>
              <w:rPr>
                <w:b/>
                <w:bCs/>
                <w:szCs w:val="24"/>
              </w:rPr>
              <w:t>2-</w:t>
            </w:r>
            <w:r>
              <w:rPr>
                <w:rFonts w:hint="eastAsia"/>
                <w:b/>
                <w:bCs/>
                <w:szCs w:val="24"/>
              </w:rPr>
              <w:t xml:space="preserve">5 </w:t>
            </w:r>
            <w:r>
              <w:rPr>
                <w:rFonts w:hint="eastAsia" w:cs="宋体"/>
                <w:b/>
                <w:bCs/>
                <w:szCs w:val="24"/>
              </w:rPr>
              <w:t>主要生产设备一览表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3"/>
              <w:gridCol w:w="1756"/>
              <w:gridCol w:w="1678"/>
              <w:gridCol w:w="1479"/>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序号</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名称</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型号规格</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数量（台/套）</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1</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缠绕机</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rPr>
                    <w:t>7.5kw/5.5kw</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4</w:t>
                  </w:r>
                </w:p>
              </w:tc>
              <w:tc>
                <w:tcPr>
                  <w:tcW w:w="1344" w:type="pct"/>
                  <w:tcBorders>
                    <w:top w:val="single" w:color="auto" w:sz="4" w:space="0"/>
                    <w:left w:val="single" w:color="auto" w:sz="4" w:space="0"/>
                    <w:bottom w:val="single" w:color="auto" w:sz="4" w:space="0"/>
                    <w:right w:val="single" w:color="auto" w:sz="4" w:space="0"/>
                  </w:tcBorders>
                </w:tcPr>
                <w:p>
                  <w:pPr>
                    <w:adjustRightInd w:val="0"/>
                    <w:snapToGrid w:val="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2</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缠绕平台</w:t>
                  </w:r>
                </w:p>
              </w:tc>
              <w:tc>
                <w:tcPr>
                  <w:tcW w:w="1079" w:type="pct"/>
                  <w:tcBorders>
                    <w:top w:val="single" w:color="auto" w:sz="4" w:space="0"/>
                    <w:left w:val="single" w:color="auto" w:sz="4" w:space="0"/>
                    <w:bottom w:val="single" w:color="auto" w:sz="4" w:space="0"/>
                    <w:right w:val="single" w:color="auto" w:sz="4" w:space="0"/>
                  </w:tcBorders>
                  <w:vAlign w:val="center"/>
                </w:tcPr>
                <w:p>
                  <w:pPr>
                    <w:jc w:val="center"/>
                    <w:rPr>
                      <w:bCs/>
                      <w:kern w:val="0"/>
                    </w:rPr>
                  </w:pPr>
                  <w:r>
                    <w:rPr>
                      <w:rFonts w:hint="eastAsia"/>
                      <w:bCs/>
                      <w:kern w:val="0"/>
                    </w:rPr>
                    <w:t>14m</w:t>
                  </w:r>
                </w:p>
              </w:tc>
              <w:tc>
                <w:tcPr>
                  <w:tcW w:w="95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3</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cs="宋体"/>
                    </w:rPr>
                    <w:t>纱架</w:t>
                  </w:r>
                </w:p>
              </w:tc>
              <w:tc>
                <w:tcPr>
                  <w:tcW w:w="1079"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排</w:t>
                  </w:r>
                  <w:r>
                    <w:rPr>
                      <w:rFonts w:cs="宋体"/>
                    </w:rPr>
                    <w:t>纱</w:t>
                  </w:r>
                  <w:r>
                    <w:rPr>
                      <w:rFonts w:hint="eastAsia"/>
                    </w:rPr>
                    <w:t>板40个孔</w:t>
                  </w:r>
                </w:p>
              </w:tc>
              <w:tc>
                <w:tcPr>
                  <w:tcW w:w="95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497" w:type="pct"/>
                  <w:tcBorders>
                    <w:top w:val="single" w:color="auto" w:sz="4" w:space="0"/>
                    <w:left w:val="single" w:color="auto" w:sz="4" w:space="0"/>
                    <w:right w:val="single" w:color="auto" w:sz="4" w:space="0"/>
                  </w:tcBorders>
                  <w:vAlign w:val="center"/>
                </w:tcPr>
                <w:p>
                  <w:pPr>
                    <w:adjustRightInd w:val="0"/>
                    <w:snapToGrid w:val="0"/>
                    <w:jc w:val="center"/>
                  </w:pPr>
                  <w:r>
                    <w:t>4</w:t>
                  </w:r>
                </w:p>
              </w:tc>
              <w:tc>
                <w:tcPr>
                  <w:tcW w:w="1129" w:type="pct"/>
                  <w:tcBorders>
                    <w:top w:val="single" w:color="auto" w:sz="4" w:space="0"/>
                    <w:left w:val="single" w:color="auto" w:sz="4" w:space="0"/>
                    <w:right w:val="single" w:color="auto" w:sz="4" w:space="0"/>
                  </w:tcBorders>
                  <w:vAlign w:val="center"/>
                </w:tcPr>
                <w:p>
                  <w:pPr>
                    <w:adjustRightInd w:val="0"/>
                    <w:snapToGrid w:val="0"/>
                    <w:jc w:val="center"/>
                    <w:rPr>
                      <w:rFonts w:cs="宋体"/>
                    </w:rPr>
                  </w:pPr>
                  <w:r>
                    <w:rPr>
                      <w:rFonts w:hint="eastAsia" w:cs="宋体"/>
                    </w:rPr>
                    <w:t>缠绕小车</w:t>
                  </w:r>
                </w:p>
              </w:tc>
              <w:tc>
                <w:tcPr>
                  <w:tcW w:w="1079" w:type="pct"/>
                  <w:tcBorders>
                    <w:top w:val="single" w:color="auto" w:sz="4" w:space="0"/>
                    <w:left w:val="single" w:color="auto" w:sz="4" w:space="0"/>
                    <w:right w:val="single" w:color="auto" w:sz="4" w:space="0"/>
                  </w:tcBorders>
                  <w:vAlign w:val="center"/>
                </w:tcPr>
                <w:p>
                  <w:pPr>
                    <w:jc w:val="center"/>
                  </w:pPr>
                  <w:r>
                    <w:rPr>
                      <w:rFonts w:hint="eastAsia"/>
                    </w:rPr>
                    <w:t>/</w:t>
                  </w:r>
                </w:p>
              </w:tc>
              <w:tc>
                <w:tcPr>
                  <w:tcW w:w="951" w:type="pct"/>
                  <w:tcBorders>
                    <w:top w:val="single" w:color="auto" w:sz="4" w:space="0"/>
                    <w:left w:val="single" w:color="auto" w:sz="4" w:space="0"/>
                    <w:right w:val="single" w:color="auto" w:sz="4" w:space="0"/>
                  </w:tcBorders>
                  <w:vAlign w:val="center"/>
                </w:tcPr>
                <w:p>
                  <w:pPr>
                    <w:jc w:val="center"/>
                  </w:pPr>
                  <w:r>
                    <w:rPr>
                      <w:rFonts w:hint="eastAsia"/>
                    </w:rPr>
                    <w:t>1</w:t>
                  </w:r>
                </w:p>
              </w:tc>
              <w:tc>
                <w:tcPr>
                  <w:tcW w:w="1344" w:type="pct"/>
                  <w:tcBorders>
                    <w:top w:val="single" w:color="auto" w:sz="4" w:space="0"/>
                    <w:left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搅拌罐</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4.9kw</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配套有树脂输送管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外控箱</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1.5×16芯20米</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7</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固化机</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24</w:t>
                  </w:r>
                  <w:r>
                    <w:rPr>
                      <w:rFonts w:hint="eastAsia"/>
                    </w:rPr>
                    <w:t>kw</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4</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含红外线加热管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8</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脱模机</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1.5kw</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脱模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9</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悬臂梁</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悬臂梁模具直径</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11</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罐修整</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间距2m</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12</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圆型封头</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厚6mm</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13</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A型架</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w:t>
                  </w:r>
                </w:p>
              </w:tc>
              <w:tc>
                <w:tcPr>
                  <w:tcW w:w="1344" w:type="pct"/>
                  <w:vMerge w:val="restart"/>
                  <w:tcBorders>
                    <w:top w:val="single" w:color="auto" w:sz="4" w:space="0"/>
                    <w:left w:val="single" w:color="auto" w:sz="4" w:space="0"/>
                    <w:right w:val="single" w:color="auto" w:sz="4" w:space="0"/>
                  </w:tcBorders>
                  <w:vAlign w:val="center"/>
                </w:tcPr>
                <w:p>
                  <w:pPr>
                    <w:jc w:val="center"/>
                  </w:pPr>
                  <w:r>
                    <w:rPr>
                      <w:rFonts w:hint="eastAsia"/>
                    </w:rPr>
                    <w:t>模具支撑旋转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14</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旋转环</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直径1m</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1344" w:type="pct"/>
                  <w:vMerge w:val="continue"/>
                  <w:tcBorders>
                    <w:left w:val="single" w:color="auto" w:sz="4" w:space="0"/>
                    <w:bottom w:val="single" w:color="auto" w:sz="4" w:space="0"/>
                    <w:right w:val="single" w:color="auto" w:sz="4" w:space="0"/>
                  </w:tcBorders>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角磨机</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16</w:t>
                  </w:r>
                </w:p>
              </w:tc>
              <w:tc>
                <w:tcPr>
                  <w:tcW w:w="1129" w:type="pct"/>
                  <w:tcBorders>
                    <w:top w:val="single" w:color="auto" w:sz="4" w:space="0"/>
                    <w:left w:val="single" w:color="auto" w:sz="4" w:space="0"/>
                    <w:bottom w:val="single" w:color="auto" w:sz="4" w:space="0"/>
                    <w:right w:val="single" w:color="auto" w:sz="4" w:space="0"/>
                  </w:tcBorders>
                </w:tcPr>
                <w:p>
                  <w:pPr>
                    <w:adjustRightInd w:val="0"/>
                    <w:snapToGrid w:val="0"/>
                    <w:jc w:val="center"/>
                    <w:rPr>
                      <w:rFonts w:cs="宋体"/>
                    </w:rPr>
                  </w:pPr>
                  <w:r>
                    <w:rPr>
                      <w:rFonts w:hint="eastAsia" w:cs="宋体"/>
                    </w:rPr>
                    <w:t>打磨机</w:t>
                  </w:r>
                </w:p>
              </w:tc>
              <w:tc>
                <w:tcPr>
                  <w:tcW w:w="107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95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17</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电烤板</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长度10</w:t>
                  </w:r>
                  <w:r>
                    <w:rPr>
                      <w:rFonts w:hint="eastAsia"/>
                    </w:rPr>
                    <w:t>m</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4</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18</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模具</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3</w:t>
                  </w:r>
                </w:p>
              </w:tc>
              <w:tc>
                <w:tcPr>
                  <w:tcW w:w="134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重复使用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19</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活性炭吸附/脱附浓缩+催化燃烧（RCO）装置</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2</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废气处理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20</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滤筒除尘器</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1</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废气处理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4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21</w:t>
                  </w:r>
                </w:p>
              </w:tc>
              <w:tc>
                <w:tcPr>
                  <w:tcW w:w="112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布袋除尘器</w:t>
                  </w:r>
                </w:p>
              </w:tc>
              <w:tc>
                <w:tcPr>
                  <w:tcW w:w="1079"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w:t>
                  </w:r>
                </w:p>
              </w:tc>
              <w:tc>
                <w:tcPr>
                  <w:tcW w:w="951"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1</w:t>
                  </w:r>
                </w:p>
              </w:tc>
              <w:tc>
                <w:tcPr>
                  <w:tcW w:w="134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废气处理</w:t>
                  </w:r>
                </w:p>
              </w:tc>
            </w:tr>
          </w:tbl>
          <w:p>
            <w:pPr>
              <w:adjustRightInd w:val="0"/>
              <w:snapToGrid w:val="0"/>
              <w:spacing w:line="360" w:lineRule="auto"/>
              <w:jc w:val="left"/>
              <w:rPr>
                <w:b/>
                <w:bCs/>
                <w:sz w:val="24"/>
                <w:szCs w:val="24"/>
              </w:rPr>
            </w:pPr>
            <w:r>
              <w:rPr>
                <w:rFonts w:hint="eastAsia"/>
                <w:b/>
                <w:bCs/>
                <w:sz w:val="24"/>
                <w:szCs w:val="24"/>
              </w:rPr>
              <w:t>6、</w:t>
            </w:r>
            <w:r>
              <w:rPr>
                <w:rFonts w:hint="eastAsia" w:cs="宋体"/>
                <w:b/>
                <w:bCs/>
                <w:sz w:val="24"/>
                <w:szCs w:val="24"/>
              </w:rPr>
              <w:t>公用工程</w:t>
            </w:r>
          </w:p>
          <w:p>
            <w:pPr>
              <w:adjustRightInd w:val="0"/>
              <w:snapToGrid w:val="0"/>
              <w:spacing w:line="360" w:lineRule="auto"/>
              <w:jc w:val="left"/>
              <w:rPr>
                <w:sz w:val="24"/>
                <w:szCs w:val="24"/>
              </w:rPr>
            </w:pPr>
            <w:r>
              <w:rPr>
                <w:rFonts w:hint="eastAsia"/>
                <w:sz w:val="24"/>
                <w:szCs w:val="24"/>
              </w:rPr>
              <w:t>（1）</w:t>
            </w:r>
            <w:r>
              <w:rPr>
                <w:rFonts w:hint="eastAsia" w:cs="宋体"/>
                <w:sz w:val="24"/>
                <w:szCs w:val="24"/>
              </w:rPr>
              <w:t>给水</w:t>
            </w:r>
          </w:p>
          <w:p>
            <w:pPr>
              <w:adjustRightInd w:val="0"/>
              <w:snapToGrid w:val="0"/>
              <w:spacing w:line="360" w:lineRule="auto"/>
              <w:ind w:firstLine="480" w:firstLineChars="200"/>
              <w:rPr>
                <w:rFonts w:cs="宋体"/>
                <w:kern w:val="0"/>
                <w:sz w:val="24"/>
                <w:szCs w:val="24"/>
              </w:rPr>
            </w:pPr>
            <w:r>
              <w:rPr>
                <w:rFonts w:hint="eastAsia" w:cs="宋体"/>
                <w:kern w:val="0"/>
                <w:sz w:val="24"/>
                <w:szCs w:val="24"/>
              </w:rPr>
              <w:t>项目用水为生产用水、生活用水、道路扫水和绿化用水，生产用水主要是成品密封性检验用水。用水由园区自来水供水管网供给。</w:t>
            </w:r>
          </w:p>
          <w:p>
            <w:pPr>
              <w:adjustRightInd w:val="0"/>
              <w:snapToGrid w:val="0"/>
              <w:spacing w:line="360" w:lineRule="auto"/>
              <w:ind w:firstLine="480" w:firstLineChars="200"/>
              <w:rPr>
                <w:rFonts w:cs="宋体"/>
                <w:kern w:val="0"/>
                <w:sz w:val="24"/>
                <w:szCs w:val="24"/>
              </w:rPr>
            </w:pPr>
            <w:r>
              <w:rPr>
                <w:rFonts w:cs="宋体"/>
                <w:kern w:val="0"/>
                <w:sz w:val="24"/>
                <w:szCs w:val="24"/>
              </w:rPr>
              <w:fldChar w:fldCharType="begin"/>
            </w:r>
            <w:r>
              <w:rPr>
                <w:rFonts w:hint="eastAsia" w:cs="宋体"/>
                <w:kern w:val="0"/>
                <w:sz w:val="24"/>
                <w:szCs w:val="24"/>
              </w:rPr>
              <w:instrText xml:space="preserve">= 1 \* GB3</w:instrText>
            </w:r>
            <w:r>
              <w:rPr>
                <w:rFonts w:cs="宋体"/>
                <w:kern w:val="0"/>
                <w:sz w:val="24"/>
                <w:szCs w:val="24"/>
              </w:rPr>
              <w:fldChar w:fldCharType="separate"/>
            </w:r>
            <w:r>
              <w:rPr>
                <w:rFonts w:hint="eastAsia" w:cs="宋体"/>
                <w:kern w:val="0"/>
                <w:sz w:val="24"/>
                <w:szCs w:val="24"/>
              </w:rPr>
              <w:t>①</w:t>
            </w:r>
            <w:r>
              <w:rPr>
                <w:rFonts w:cs="宋体"/>
                <w:kern w:val="0"/>
                <w:sz w:val="24"/>
                <w:szCs w:val="24"/>
              </w:rPr>
              <w:fldChar w:fldCharType="end"/>
            </w:r>
            <w:r>
              <w:rPr>
                <w:rFonts w:hint="eastAsia" w:cs="宋体"/>
                <w:kern w:val="0"/>
                <w:sz w:val="24"/>
                <w:szCs w:val="24"/>
              </w:rPr>
              <w:t>生产用水：项目生产用水主要是产品密封性检验用水。根据建设单位提供的资料，产品检验平均每天检验1—2个储罐，用水量约为25m</w:t>
            </w:r>
            <w:r>
              <w:rPr>
                <w:rFonts w:cs="宋体"/>
                <w:kern w:val="0"/>
                <w:sz w:val="24"/>
                <w:szCs w:val="24"/>
                <w:vertAlign w:val="superscript"/>
              </w:rPr>
              <w:t>3</w:t>
            </w:r>
            <w:r>
              <w:rPr>
                <w:rFonts w:hint="eastAsia" w:cs="宋体"/>
                <w:kern w:val="0"/>
                <w:sz w:val="24"/>
                <w:szCs w:val="24"/>
              </w:rPr>
              <w:t>/d。项目产品密封性检验水循环使用，不外排。每日因储罐带走损耗等原因约占储罐用水量的1%，故成品密封性检验用水需定期补充新鲜水量约0.25m</w:t>
            </w:r>
            <w:r>
              <w:rPr>
                <w:rFonts w:cs="宋体"/>
                <w:kern w:val="0"/>
                <w:sz w:val="24"/>
                <w:szCs w:val="24"/>
                <w:vertAlign w:val="superscript"/>
              </w:rPr>
              <w:t>3</w:t>
            </w:r>
            <w:r>
              <w:rPr>
                <w:rFonts w:hint="eastAsia" w:cs="宋体"/>
                <w:kern w:val="0"/>
                <w:sz w:val="24"/>
                <w:szCs w:val="24"/>
              </w:rPr>
              <w:t>/d（即 75m</w:t>
            </w:r>
            <w:r>
              <w:rPr>
                <w:rFonts w:cs="宋体"/>
                <w:kern w:val="0"/>
                <w:sz w:val="24"/>
                <w:szCs w:val="24"/>
                <w:vertAlign w:val="superscript"/>
              </w:rPr>
              <w:t>3</w:t>
            </w:r>
            <w:r>
              <w:rPr>
                <w:rFonts w:hint="eastAsia" w:cs="宋体"/>
                <w:kern w:val="0"/>
                <w:sz w:val="24"/>
                <w:szCs w:val="24"/>
              </w:rPr>
              <w:t>/a）。</w:t>
            </w:r>
          </w:p>
          <w:p>
            <w:pPr>
              <w:adjustRightInd w:val="0"/>
              <w:snapToGrid w:val="0"/>
              <w:spacing w:line="360" w:lineRule="auto"/>
              <w:ind w:firstLine="480" w:firstLineChars="200"/>
              <w:rPr>
                <w:rFonts w:cs="宋体"/>
                <w:kern w:val="0"/>
                <w:sz w:val="24"/>
                <w:szCs w:val="24"/>
              </w:rPr>
            </w:pPr>
            <w:r>
              <w:rPr>
                <w:rFonts w:cs="宋体"/>
                <w:kern w:val="0"/>
                <w:sz w:val="24"/>
                <w:szCs w:val="24"/>
              </w:rPr>
              <w:fldChar w:fldCharType="begin"/>
            </w:r>
            <w:r>
              <w:rPr>
                <w:rFonts w:hint="eastAsia" w:cs="宋体"/>
                <w:kern w:val="0"/>
                <w:sz w:val="24"/>
                <w:szCs w:val="24"/>
              </w:rPr>
              <w:instrText xml:space="preserve">= 2 \* GB3</w:instrText>
            </w:r>
            <w:r>
              <w:rPr>
                <w:rFonts w:cs="宋体"/>
                <w:kern w:val="0"/>
                <w:sz w:val="24"/>
                <w:szCs w:val="24"/>
              </w:rPr>
              <w:fldChar w:fldCharType="separate"/>
            </w:r>
            <w:r>
              <w:rPr>
                <w:rFonts w:hint="eastAsia" w:cs="宋体"/>
                <w:kern w:val="0"/>
                <w:sz w:val="24"/>
                <w:szCs w:val="24"/>
              </w:rPr>
              <w:t>②</w:t>
            </w:r>
            <w:r>
              <w:rPr>
                <w:rFonts w:cs="宋体"/>
                <w:kern w:val="0"/>
                <w:sz w:val="24"/>
                <w:szCs w:val="24"/>
              </w:rPr>
              <w:fldChar w:fldCharType="end"/>
            </w:r>
            <w:r>
              <w:rPr>
                <w:rFonts w:hint="eastAsia" w:cs="宋体"/>
                <w:kern w:val="0"/>
                <w:sz w:val="24"/>
                <w:szCs w:val="24"/>
              </w:rPr>
              <w:t>生活用水：项目建成后劳动定员</w:t>
            </w:r>
            <w:r>
              <w:rPr>
                <w:rFonts w:hint="eastAsia"/>
                <w:kern w:val="0"/>
                <w:sz w:val="24"/>
                <w:szCs w:val="24"/>
              </w:rPr>
              <w:t>31</w:t>
            </w:r>
            <w:r>
              <w:rPr>
                <w:rFonts w:hint="eastAsia" w:cs="宋体"/>
                <w:kern w:val="0"/>
                <w:sz w:val="24"/>
                <w:szCs w:val="24"/>
              </w:rPr>
              <w:t>人，</w:t>
            </w:r>
            <w:r>
              <w:rPr>
                <w:rFonts w:cs="宋体"/>
                <w:kern w:val="0"/>
                <w:sz w:val="24"/>
                <w:szCs w:val="24"/>
              </w:rPr>
              <w:t>年工作时间</w:t>
            </w:r>
            <w:r>
              <w:rPr>
                <w:rFonts w:hint="eastAsia" w:cs="宋体"/>
                <w:kern w:val="0"/>
                <w:sz w:val="24"/>
                <w:szCs w:val="24"/>
              </w:rPr>
              <w:t>30</w:t>
            </w:r>
            <w:r>
              <w:rPr>
                <w:rFonts w:cs="宋体"/>
                <w:kern w:val="0"/>
                <w:sz w:val="24"/>
                <w:szCs w:val="24"/>
              </w:rPr>
              <w:t>0d，</w:t>
            </w:r>
            <w:r>
              <w:rPr>
                <w:rFonts w:hint="eastAsia" w:cs="宋体"/>
                <w:kern w:val="0"/>
                <w:sz w:val="24"/>
                <w:szCs w:val="24"/>
              </w:rPr>
              <w:t>提供食宿。</w:t>
            </w:r>
            <w:r>
              <w:rPr>
                <w:bCs/>
                <w:sz w:val="24"/>
              </w:rPr>
              <w:t>员工办公生活用水量参照《行业用水定额》（DB61/T943-2020），按照</w:t>
            </w:r>
            <w:r>
              <w:rPr>
                <w:rFonts w:hint="eastAsia"/>
                <w:bCs/>
                <w:sz w:val="24"/>
              </w:rPr>
              <w:t>通用值25m</w:t>
            </w:r>
            <w:r>
              <w:rPr>
                <w:bCs/>
                <w:sz w:val="24"/>
                <w:vertAlign w:val="superscript"/>
              </w:rPr>
              <w:t>3</w:t>
            </w:r>
            <w:r>
              <w:rPr>
                <w:bCs/>
                <w:sz w:val="24"/>
              </w:rPr>
              <w:t>/（人·</w:t>
            </w:r>
            <w:r>
              <w:rPr>
                <w:rFonts w:hint="eastAsia"/>
                <w:bCs/>
                <w:sz w:val="24"/>
              </w:rPr>
              <w:t>a</w:t>
            </w:r>
            <w:r>
              <w:rPr>
                <w:bCs/>
                <w:sz w:val="24"/>
              </w:rPr>
              <w:t>）计</w:t>
            </w:r>
            <w:r>
              <w:rPr>
                <w:rFonts w:hint="eastAsia"/>
                <w:bCs/>
                <w:sz w:val="24"/>
              </w:rPr>
              <w:t>，则员工生活用水量约2.58</w:t>
            </w:r>
            <w:r>
              <w:rPr>
                <w:bCs/>
                <w:sz w:val="24"/>
              </w:rPr>
              <w:t>m</w:t>
            </w:r>
            <w:r>
              <w:rPr>
                <w:bCs/>
                <w:sz w:val="24"/>
                <w:vertAlign w:val="superscript"/>
              </w:rPr>
              <w:t>3</w:t>
            </w:r>
            <w:r>
              <w:rPr>
                <w:bCs/>
                <w:sz w:val="24"/>
              </w:rPr>
              <w:t>/d</w:t>
            </w:r>
            <w:r>
              <w:rPr>
                <w:rFonts w:hint="eastAsia"/>
                <w:bCs/>
                <w:sz w:val="24"/>
              </w:rPr>
              <w:t>（即775</w:t>
            </w:r>
            <w:r>
              <w:rPr>
                <w:bCs/>
                <w:sz w:val="24"/>
              </w:rPr>
              <w:t>m</w:t>
            </w:r>
            <w:r>
              <w:rPr>
                <w:bCs/>
                <w:sz w:val="24"/>
                <w:vertAlign w:val="superscript"/>
              </w:rPr>
              <w:t>3</w:t>
            </w:r>
            <w:r>
              <w:rPr>
                <w:bCs/>
                <w:sz w:val="24"/>
              </w:rPr>
              <w:t>/a</w:t>
            </w:r>
            <w:r>
              <w:rPr>
                <w:rFonts w:hint="eastAsia"/>
                <w:bCs/>
                <w:sz w:val="24"/>
              </w:rPr>
              <w:t>）。</w:t>
            </w:r>
          </w:p>
          <w:p>
            <w:pPr>
              <w:adjustRightInd w:val="0"/>
              <w:snapToGrid w:val="0"/>
              <w:spacing w:line="360" w:lineRule="auto"/>
              <w:ind w:firstLine="480" w:firstLineChars="200"/>
              <w:rPr>
                <w:rFonts w:cs="宋体"/>
                <w:kern w:val="0"/>
                <w:sz w:val="24"/>
                <w:szCs w:val="24"/>
              </w:rPr>
            </w:pPr>
            <w:r>
              <w:rPr>
                <w:rFonts w:cs="宋体"/>
                <w:kern w:val="0"/>
                <w:sz w:val="24"/>
                <w:szCs w:val="24"/>
              </w:rPr>
              <w:fldChar w:fldCharType="begin"/>
            </w:r>
            <w:r>
              <w:rPr>
                <w:rFonts w:hint="eastAsia" w:cs="宋体"/>
                <w:kern w:val="0"/>
                <w:sz w:val="24"/>
                <w:szCs w:val="24"/>
              </w:rPr>
              <w:instrText xml:space="preserve">= 3 \* GB3</w:instrText>
            </w:r>
            <w:r>
              <w:rPr>
                <w:rFonts w:cs="宋体"/>
                <w:kern w:val="0"/>
                <w:sz w:val="24"/>
                <w:szCs w:val="24"/>
              </w:rPr>
              <w:fldChar w:fldCharType="separate"/>
            </w:r>
            <w:r>
              <w:rPr>
                <w:rFonts w:hint="eastAsia" w:cs="宋体"/>
                <w:kern w:val="0"/>
                <w:sz w:val="24"/>
                <w:szCs w:val="24"/>
              </w:rPr>
              <w:t>③</w:t>
            </w:r>
            <w:r>
              <w:rPr>
                <w:rFonts w:cs="宋体"/>
                <w:kern w:val="0"/>
                <w:sz w:val="24"/>
                <w:szCs w:val="24"/>
              </w:rPr>
              <w:fldChar w:fldCharType="end"/>
            </w:r>
            <w:r>
              <w:rPr>
                <w:rFonts w:hint="eastAsia" w:cs="宋体"/>
                <w:kern w:val="0"/>
                <w:sz w:val="24"/>
                <w:szCs w:val="24"/>
              </w:rPr>
              <w:t>道路洒水：厂区内在干燥或扬尘天气需要进行洒水，根据建设单位提供的厂区总平面布置图可得，项目厂区内运输道路面积约5000m</w:t>
            </w:r>
            <w:r>
              <w:rPr>
                <w:rFonts w:hint="eastAsia" w:cs="宋体"/>
                <w:kern w:val="0"/>
                <w:sz w:val="24"/>
                <w:szCs w:val="24"/>
                <w:vertAlign w:val="superscript"/>
              </w:rPr>
              <w:t>2</w:t>
            </w:r>
            <w:r>
              <w:rPr>
                <w:rFonts w:hint="eastAsia" w:cs="宋体"/>
                <w:kern w:val="0"/>
                <w:sz w:val="24"/>
                <w:szCs w:val="24"/>
              </w:rPr>
              <w:t>，参照DB61/T943-2020，道路用水按照1.5L/（m</w:t>
            </w:r>
            <w:r>
              <w:rPr>
                <w:rFonts w:hint="eastAsia" w:cs="宋体"/>
                <w:kern w:val="0"/>
                <w:sz w:val="24"/>
                <w:szCs w:val="24"/>
                <w:vertAlign w:val="superscript"/>
              </w:rPr>
              <w:t>2</w:t>
            </w:r>
            <w:r>
              <w:rPr>
                <w:rFonts w:hint="eastAsia" w:cs="宋体"/>
                <w:kern w:val="0"/>
                <w:sz w:val="24"/>
                <w:szCs w:val="24"/>
              </w:rPr>
              <w:t>/d），每年道路洒水共80天，则道路洒水所用新鲜水为600m</w:t>
            </w:r>
            <w:r>
              <w:rPr>
                <w:rFonts w:hint="eastAsia" w:cs="宋体"/>
                <w:kern w:val="0"/>
                <w:sz w:val="24"/>
                <w:szCs w:val="24"/>
                <w:vertAlign w:val="superscript"/>
              </w:rPr>
              <w:t>3</w:t>
            </w:r>
            <w:r>
              <w:rPr>
                <w:rFonts w:hint="eastAsia" w:cs="宋体"/>
                <w:kern w:val="0"/>
                <w:sz w:val="24"/>
                <w:szCs w:val="24"/>
              </w:rPr>
              <w:t>/a（即 2.0m</w:t>
            </w:r>
            <w:r>
              <w:rPr>
                <w:rFonts w:cs="宋体"/>
                <w:kern w:val="0"/>
                <w:sz w:val="24"/>
                <w:szCs w:val="24"/>
                <w:vertAlign w:val="superscript"/>
              </w:rPr>
              <w:t>3</w:t>
            </w:r>
            <w:r>
              <w:rPr>
                <w:rFonts w:hint="eastAsia" w:cs="宋体"/>
                <w:kern w:val="0"/>
                <w:sz w:val="24"/>
                <w:szCs w:val="24"/>
              </w:rPr>
              <w:t>/ d）。</w:t>
            </w:r>
          </w:p>
          <w:p>
            <w:pPr>
              <w:pStyle w:val="34"/>
              <w:spacing w:after="0" w:line="360" w:lineRule="auto"/>
              <w:ind w:left="0" w:leftChars="0" w:firstLine="482"/>
              <w:rPr>
                <w:rFonts w:cs="宋体"/>
                <w:kern w:val="0"/>
                <w:sz w:val="24"/>
              </w:rPr>
            </w:pPr>
            <w:r>
              <w:rPr>
                <w:rFonts w:cs="宋体"/>
                <w:kern w:val="0"/>
                <w:sz w:val="24"/>
              </w:rPr>
              <w:fldChar w:fldCharType="begin"/>
            </w:r>
            <w:r>
              <w:rPr>
                <w:rFonts w:hint="eastAsia" w:cs="宋体"/>
                <w:kern w:val="0"/>
                <w:sz w:val="24"/>
              </w:rPr>
              <w:instrText xml:space="preserve">= 4 \* GB3</w:instrText>
            </w:r>
            <w:r>
              <w:rPr>
                <w:rFonts w:cs="宋体"/>
                <w:kern w:val="0"/>
                <w:sz w:val="24"/>
              </w:rPr>
              <w:fldChar w:fldCharType="separate"/>
            </w:r>
            <w:r>
              <w:rPr>
                <w:rFonts w:hint="eastAsia" w:cs="宋体"/>
                <w:kern w:val="0"/>
                <w:sz w:val="24"/>
              </w:rPr>
              <w:t>④</w:t>
            </w:r>
            <w:r>
              <w:rPr>
                <w:rFonts w:cs="宋体"/>
                <w:kern w:val="0"/>
                <w:sz w:val="24"/>
              </w:rPr>
              <w:fldChar w:fldCharType="end"/>
            </w:r>
            <w:r>
              <w:rPr>
                <w:rFonts w:hint="eastAsia" w:cs="宋体"/>
                <w:kern w:val="0"/>
                <w:sz w:val="24"/>
              </w:rPr>
              <w:t>绿化用水：根据建设单位提供的厂区总平面图可得，厂区内绿化面积约500m</w:t>
            </w:r>
            <w:r>
              <w:rPr>
                <w:rFonts w:hint="eastAsia" w:cs="宋体"/>
                <w:kern w:val="0"/>
                <w:sz w:val="24"/>
                <w:vertAlign w:val="superscript"/>
              </w:rPr>
              <w:t>2</w:t>
            </w:r>
            <w:r>
              <w:rPr>
                <w:rFonts w:hint="eastAsia" w:cs="宋体"/>
                <w:kern w:val="0"/>
                <w:sz w:val="24"/>
              </w:rPr>
              <w:t>，预计每年绿化浇水天数约80天。参照DB61/T943-2020，绿化用水采用附属绿地绿化用水中的先进值，按照1.2L/（m</w:t>
            </w:r>
            <w:r>
              <w:rPr>
                <w:rFonts w:hint="eastAsia" w:cs="宋体"/>
                <w:kern w:val="0"/>
                <w:sz w:val="24"/>
                <w:vertAlign w:val="superscript"/>
              </w:rPr>
              <w:t>2</w:t>
            </w:r>
            <w:r>
              <w:rPr>
                <w:rFonts w:hint="eastAsia" w:cs="宋体"/>
                <w:kern w:val="0"/>
                <w:sz w:val="24"/>
              </w:rPr>
              <w:t>/d）计算，则绿化用水所用新鲜水为48m</w:t>
            </w:r>
            <w:r>
              <w:rPr>
                <w:rFonts w:hint="eastAsia" w:cs="宋体"/>
                <w:kern w:val="0"/>
                <w:sz w:val="24"/>
                <w:vertAlign w:val="superscript"/>
              </w:rPr>
              <w:t>3</w:t>
            </w:r>
            <w:r>
              <w:rPr>
                <w:rFonts w:hint="eastAsia" w:cs="宋体"/>
                <w:kern w:val="0"/>
                <w:sz w:val="24"/>
              </w:rPr>
              <w:t>/a（即 0.16m</w:t>
            </w:r>
            <w:r>
              <w:rPr>
                <w:rFonts w:cs="宋体"/>
                <w:kern w:val="0"/>
                <w:sz w:val="24"/>
                <w:vertAlign w:val="superscript"/>
              </w:rPr>
              <w:t>3</w:t>
            </w:r>
            <w:r>
              <w:rPr>
                <w:rFonts w:hint="eastAsia" w:cs="宋体"/>
                <w:kern w:val="0"/>
                <w:sz w:val="24"/>
              </w:rPr>
              <w:t>/</w:t>
            </w:r>
            <w:r>
              <w:rPr>
                <w:kern w:val="0"/>
                <w:sz w:val="24"/>
              </w:rPr>
              <w:t>d</w:t>
            </w:r>
            <w:r>
              <w:rPr>
                <w:rFonts w:hint="eastAsia" w:cs="宋体"/>
                <w:kern w:val="0"/>
                <w:sz w:val="24"/>
              </w:rPr>
              <w:t>）。</w:t>
            </w:r>
          </w:p>
          <w:p>
            <w:pPr>
              <w:adjustRightInd w:val="0"/>
              <w:snapToGrid w:val="0"/>
              <w:spacing w:line="360" w:lineRule="auto"/>
              <w:ind w:firstLine="480" w:firstLineChars="200"/>
              <w:rPr>
                <w:kern w:val="0"/>
                <w:sz w:val="24"/>
                <w:szCs w:val="24"/>
              </w:rPr>
            </w:pPr>
            <w:r>
              <w:rPr>
                <w:rFonts w:hint="eastAsia"/>
                <w:kern w:val="0"/>
                <w:sz w:val="24"/>
                <w:szCs w:val="24"/>
              </w:rPr>
              <w:t>综上：项目新鲜水使用量约4.99</w:t>
            </w:r>
            <w:r>
              <w:rPr>
                <w:kern w:val="0"/>
                <w:sz w:val="24"/>
                <w:szCs w:val="24"/>
              </w:rPr>
              <w:t>m</w:t>
            </w:r>
            <w:r>
              <w:rPr>
                <w:kern w:val="0"/>
                <w:sz w:val="24"/>
                <w:szCs w:val="24"/>
                <w:vertAlign w:val="superscript"/>
              </w:rPr>
              <w:t>3</w:t>
            </w:r>
            <w:r>
              <w:rPr>
                <w:kern w:val="0"/>
                <w:sz w:val="24"/>
                <w:szCs w:val="24"/>
              </w:rPr>
              <w:t>/d</w:t>
            </w:r>
            <w:r>
              <w:rPr>
                <w:rFonts w:hint="eastAsia"/>
                <w:kern w:val="0"/>
                <w:sz w:val="24"/>
                <w:szCs w:val="24"/>
              </w:rPr>
              <w:t>（1498</w:t>
            </w:r>
            <w:r>
              <w:rPr>
                <w:kern w:val="0"/>
                <w:sz w:val="24"/>
                <w:szCs w:val="24"/>
              </w:rPr>
              <w:t>m</w:t>
            </w:r>
            <w:r>
              <w:rPr>
                <w:kern w:val="0"/>
                <w:sz w:val="24"/>
                <w:szCs w:val="24"/>
                <w:vertAlign w:val="superscript"/>
              </w:rPr>
              <w:t>3</w:t>
            </w:r>
            <w:r>
              <w:rPr>
                <w:kern w:val="0"/>
                <w:sz w:val="24"/>
                <w:szCs w:val="24"/>
              </w:rPr>
              <w:t>/a</w:t>
            </w:r>
            <w:r>
              <w:rPr>
                <w:rFonts w:hint="eastAsia"/>
                <w:kern w:val="0"/>
                <w:sz w:val="24"/>
                <w:szCs w:val="24"/>
              </w:rPr>
              <w:t>）。</w:t>
            </w:r>
          </w:p>
          <w:p>
            <w:pPr>
              <w:adjustRightInd w:val="0"/>
              <w:snapToGrid w:val="0"/>
              <w:spacing w:line="360" w:lineRule="auto"/>
              <w:rPr>
                <w:sz w:val="24"/>
                <w:szCs w:val="24"/>
              </w:rPr>
            </w:pPr>
            <w:r>
              <w:rPr>
                <w:rFonts w:hint="eastAsia"/>
                <w:sz w:val="24"/>
                <w:szCs w:val="24"/>
              </w:rPr>
              <w:t>（2）</w:t>
            </w:r>
            <w:r>
              <w:rPr>
                <w:rFonts w:hint="eastAsia" w:cs="宋体"/>
                <w:sz w:val="24"/>
                <w:szCs w:val="24"/>
              </w:rPr>
              <w:t>排水</w:t>
            </w:r>
          </w:p>
          <w:p>
            <w:pPr>
              <w:adjustRightInd w:val="0"/>
              <w:snapToGrid w:val="0"/>
              <w:spacing w:line="360" w:lineRule="auto"/>
              <w:ind w:firstLine="480" w:firstLineChars="200"/>
              <w:rPr>
                <w:rFonts w:cs="宋体"/>
                <w:kern w:val="0"/>
                <w:sz w:val="24"/>
                <w:szCs w:val="24"/>
              </w:rPr>
            </w:pPr>
            <w:r>
              <w:rPr>
                <w:rFonts w:hint="eastAsia" w:cs="宋体"/>
                <w:kern w:val="0"/>
                <w:sz w:val="24"/>
                <w:szCs w:val="24"/>
              </w:rPr>
              <w:t>项目无生产废水排放，排水仅为生活污水。生活污水排放系数按</w:t>
            </w:r>
            <w:r>
              <w:rPr>
                <w:rFonts w:hint="eastAsia"/>
                <w:kern w:val="0"/>
                <w:sz w:val="24"/>
                <w:szCs w:val="24"/>
              </w:rPr>
              <w:t>0.8</w:t>
            </w:r>
            <w:r>
              <w:rPr>
                <w:rFonts w:hint="eastAsia" w:cs="宋体"/>
                <w:kern w:val="0"/>
                <w:sz w:val="24"/>
                <w:szCs w:val="24"/>
              </w:rPr>
              <w:t>计，则生活污水排放量约</w:t>
            </w:r>
            <w:r>
              <w:rPr>
                <w:rFonts w:hint="eastAsia"/>
                <w:kern w:val="0"/>
                <w:sz w:val="24"/>
                <w:szCs w:val="24"/>
              </w:rPr>
              <w:t>2.06</w:t>
            </w:r>
            <w:r>
              <w:rPr>
                <w:kern w:val="0"/>
                <w:sz w:val="24"/>
                <w:szCs w:val="24"/>
              </w:rPr>
              <w:t>m</w:t>
            </w:r>
            <w:r>
              <w:rPr>
                <w:kern w:val="0"/>
                <w:sz w:val="24"/>
                <w:szCs w:val="24"/>
                <w:vertAlign w:val="superscript"/>
              </w:rPr>
              <w:t>3</w:t>
            </w:r>
            <w:r>
              <w:rPr>
                <w:kern w:val="0"/>
                <w:sz w:val="24"/>
                <w:szCs w:val="24"/>
              </w:rPr>
              <w:t>/d</w:t>
            </w:r>
            <w:r>
              <w:rPr>
                <w:rFonts w:hint="eastAsia" w:cs="宋体"/>
                <w:kern w:val="0"/>
                <w:sz w:val="24"/>
                <w:szCs w:val="24"/>
              </w:rPr>
              <w:t>、</w:t>
            </w:r>
            <w:r>
              <w:rPr>
                <w:rFonts w:hint="eastAsia"/>
                <w:kern w:val="0"/>
                <w:sz w:val="24"/>
                <w:szCs w:val="24"/>
              </w:rPr>
              <w:t>620</w:t>
            </w:r>
            <w:r>
              <w:rPr>
                <w:kern w:val="0"/>
                <w:sz w:val="24"/>
                <w:szCs w:val="24"/>
              </w:rPr>
              <w:t>m</w:t>
            </w:r>
            <w:r>
              <w:rPr>
                <w:kern w:val="0"/>
                <w:sz w:val="24"/>
                <w:szCs w:val="24"/>
                <w:vertAlign w:val="superscript"/>
              </w:rPr>
              <w:t>3</w:t>
            </w:r>
            <w:r>
              <w:rPr>
                <w:kern w:val="0"/>
                <w:sz w:val="24"/>
                <w:szCs w:val="24"/>
              </w:rPr>
              <w:t>/a</w:t>
            </w:r>
            <w:r>
              <w:rPr>
                <w:rFonts w:hint="eastAsia" w:cs="宋体"/>
                <w:kern w:val="0"/>
                <w:sz w:val="24"/>
                <w:szCs w:val="24"/>
              </w:rPr>
              <w:t>，员工食堂废水经油水分离器后与</w:t>
            </w:r>
            <w:r>
              <w:rPr>
                <w:rFonts w:hint="eastAsia" w:cs="宋体"/>
                <w:sz w:val="24"/>
                <w:szCs w:val="24"/>
              </w:rPr>
              <w:t>生活污水一同排入化粪池处理，出水经园区污水管网排入</w:t>
            </w:r>
            <w:r>
              <w:rPr>
                <w:rFonts w:hint="eastAsia" w:cs="宋体"/>
                <w:bCs/>
                <w:sz w:val="24"/>
                <w:szCs w:val="24"/>
              </w:rPr>
              <w:t>靖边</w:t>
            </w:r>
            <w:r>
              <w:rPr>
                <w:rFonts w:cs="宋体"/>
                <w:bCs/>
                <w:sz w:val="24"/>
                <w:szCs w:val="24"/>
              </w:rPr>
              <w:t>县</w:t>
            </w:r>
            <w:r>
              <w:rPr>
                <w:rFonts w:hint="eastAsia" w:cs="宋体"/>
                <w:bCs/>
                <w:sz w:val="24"/>
                <w:szCs w:val="24"/>
              </w:rPr>
              <w:t>经济技术开发区</w:t>
            </w:r>
            <w:r>
              <w:rPr>
                <w:rFonts w:cs="宋体"/>
                <w:bCs/>
                <w:sz w:val="24"/>
                <w:szCs w:val="24"/>
              </w:rPr>
              <w:t>杨桥畔镇污水处理厂</w:t>
            </w:r>
            <w:r>
              <w:rPr>
                <w:rFonts w:hint="eastAsia" w:cs="宋体"/>
                <w:sz w:val="24"/>
                <w:szCs w:val="24"/>
              </w:rPr>
              <w:t>集中</w:t>
            </w:r>
            <w:r>
              <w:rPr>
                <w:rFonts w:hint="eastAsia" w:cs="宋体"/>
                <w:bCs/>
                <w:sz w:val="24"/>
                <w:szCs w:val="24"/>
              </w:rPr>
              <w:t>处理</w:t>
            </w:r>
            <w:r>
              <w:rPr>
                <w:rFonts w:hint="eastAsia" w:cs="宋体"/>
                <w:sz w:val="24"/>
                <w:szCs w:val="24"/>
              </w:rPr>
              <w:t>。</w:t>
            </w:r>
          </w:p>
          <w:p>
            <w:pPr>
              <w:adjustRightInd w:val="0"/>
              <w:snapToGrid w:val="0"/>
              <w:spacing w:line="360" w:lineRule="auto"/>
              <w:ind w:firstLine="480" w:firstLineChars="200"/>
              <w:jc w:val="left"/>
              <w:rPr>
                <w:sz w:val="24"/>
                <w:szCs w:val="24"/>
              </w:rPr>
            </w:pPr>
            <w:r>
              <w:rPr>
                <w:rFonts w:hint="eastAsia" w:cs="宋体"/>
                <w:kern w:val="0"/>
                <w:sz w:val="24"/>
                <w:szCs w:val="24"/>
              </w:rPr>
              <w:t>项目用排水情况见下表2-6。</w:t>
            </w:r>
            <w:r>
              <w:rPr>
                <w:rFonts w:hint="eastAsia" w:cs="宋体"/>
                <w:sz w:val="24"/>
                <w:szCs w:val="24"/>
              </w:rPr>
              <w:t>项目水量平衡见图</w:t>
            </w:r>
            <w:r>
              <w:rPr>
                <w:sz w:val="24"/>
                <w:szCs w:val="24"/>
              </w:rPr>
              <w:t>2-1</w:t>
            </w:r>
            <w:r>
              <w:rPr>
                <w:rFonts w:hint="eastAsia"/>
                <w:sz w:val="24"/>
                <w:szCs w:val="24"/>
              </w:rPr>
              <w:t>。</w:t>
            </w:r>
          </w:p>
          <w:p>
            <w:pPr>
              <w:adjustRightInd w:val="0"/>
              <w:snapToGrid w:val="0"/>
              <w:spacing w:line="360" w:lineRule="auto"/>
              <w:jc w:val="center"/>
              <w:rPr>
                <w:b/>
                <w:bCs/>
                <w:szCs w:val="24"/>
              </w:rPr>
            </w:pPr>
            <w:r>
              <w:rPr>
                <w:rFonts w:hint="eastAsia" w:cs="宋体"/>
                <w:b/>
                <w:bCs/>
                <w:szCs w:val="24"/>
              </w:rPr>
              <w:t>表</w:t>
            </w:r>
            <w:r>
              <w:rPr>
                <w:b/>
                <w:bCs/>
                <w:szCs w:val="24"/>
              </w:rPr>
              <w:t>2-</w:t>
            </w:r>
            <w:r>
              <w:rPr>
                <w:rFonts w:hint="eastAsia"/>
                <w:b/>
                <w:bCs/>
                <w:szCs w:val="24"/>
              </w:rPr>
              <w:t xml:space="preserve">6 </w:t>
            </w:r>
            <w:r>
              <w:rPr>
                <w:rFonts w:hint="eastAsia" w:cs="宋体"/>
                <w:b/>
                <w:bCs/>
                <w:szCs w:val="24"/>
              </w:rPr>
              <w:t>项目用排水一览表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9"/>
              <w:gridCol w:w="1342"/>
              <w:gridCol w:w="1183"/>
              <w:gridCol w:w="1073"/>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用水项目</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用水量（</w:t>
                  </w:r>
                  <w:r>
                    <w:rPr>
                      <w:kern w:val="0"/>
                    </w:rPr>
                    <w:t>m</w:t>
                  </w:r>
                  <w:r>
                    <w:rPr>
                      <w:kern w:val="0"/>
                      <w:vertAlign w:val="superscript"/>
                    </w:rPr>
                    <w:t>3</w:t>
                  </w:r>
                  <w:r>
                    <w:rPr>
                      <w:kern w:val="0"/>
                    </w:rPr>
                    <w:t>/d</w:t>
                  </w:r>
                  <w:r>
                    <w:rPr>
                      <w:rFonts w:hint="eastAsia" w:cs="宋体"/>
                      <w:kern w:val="0"/>
                    </w:rPr>
                    <w:t>）</w:t>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消耗量（</w:t>
                  </w:r>
                  <w:r>
                    <w:rPr>
                      <w:kern w:val="0"/>
                    </w:rPr>
                    <w:t>m</w:t>
                  </w:r>
                  <w:r>
                    <w:rPr>
                      <w:kern w:val="0"/>
                      <w:vertAlign w:val="superscript"/>
                    </w:rPr>
                    <w:t>3</w:t>
                  </w:r>
                  <w:r>
                    <w:rPr>
                      <w:kern w:val="0"/>
                    </w:rPr>
                    <w:t>/d</w:t>
                  </w:r>
                  <w:r>
                    <w:rPr>
                      <w:rFonts w:hint="eastAsia" w:cs="宋体"/>
                      <w:kern w:val="0"/>
                    </w:rPr>
                    <w:t>）</w:t>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废水量（</w:t>
                  </w:r>
                  <w:r>
                    <w:rPr>
                      <w:kern w:val="0"/>
                    </w:rPr>
                    <w:t>m</w:t>
                  </w:r>
                  <w:r>
                    <w:rPr>
                      <w:kern w:val="0"/>
                      <w:vertAlign w:val="superscript"/>
                    </w:rPr>
                    <w:t>3</w:t>
                  </w:r>
                  <w:r>
                    <w:rPr>
                      <w:kern w:val="0"/>
                    </w:rPr>
                    <w:t>/d</w:t>
                  </w:r>
                  <w:r>
                    <w:rPr>
                      <w:rFonts w:hint="eastAsia" w:cs="宋体"/>
                      <w:kern w:val="0"/>
                    </w:rPr>
                    <w:t>）</w:t>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成品密封性检验补充用水</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0.25</w:t>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0.25</w:t>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w:t>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生活用水</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2.58</w:t>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0.52</w:t>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2.06</w:t>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排入园区污水处理站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道路扫水</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2.0</w:t>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2.0</w:t>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w:t>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绿化用水</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0.16</w:t>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0.16</w:t>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kern w:val="0"/>
                    </w:rPr>
                    <w:t>0</w:t>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kern w:val="0"/>
                    </w:rPr>
                  </w:pPr>
                  <w:r>
                    <w:rPr>
                      <w:rFonts w:hint="eastAsia" w:cs="宋体"/>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93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kern w:val="0"/>
                    </w:rPr>
                    <w:t>合计</w:t>
                  </w:r>
                </w:p>
              </w:tc>
              <w:tc>
                <w:tcPr>
                  <w:tcW w:w="132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kern w:val="0"/>
                    </w:rPr>
                    <w:fldChar w:fldCharType="begin"/>
                  </w:r>
                  <w:r>
                    <w:rPr>
                      <w:kern w:val="0"/>
                    </w:rPr>
                    <w:instrText xml:space="preserve"> =SUM(ABOVE) </w:instrText>
                  </w:r>
                  <w:r>
                    <w:rPr>
                      <w:kern w:val="0"/>
                    </w:rPr>
                    <w:fldChar w:fldCharType="separate"/>
                  </w:r>
                  <w:r>
                    <w:rPr>
                      <w:kern w:val="0"/>
                    </w:rPr>
                    <w:t>4.99</w:t>
                  </w:r>
                  <w:r>
                    <w:rPr>
                      <w:kern w:val="0"/>
                    </w:rPr>
                    <w:fldChar w:fldCharType="end"/>
                  </w:r>
                </w:p>
              </w:tc>
              <w:tc>
                <w:tcPr>
                  <w:tcW w:w="116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kern w:val="0"/>
                    </w:rPr>
                    <w:fldChar w:fldCharType="begin"/>
                  </w:r>
                  <w:r>
                    <w:rPr>
                      <w:kern w:val="0"/>
                    </w:rPr>
                    <w:instrText xml:space="preserve"> =SUM(ABOVE) </w:instrText>
                  </w:r>
                  <w:r>
                    <w:rPr>
                      <w:kern w:val="0"/>
                    </w:rPr>
                    <w:fldChar w:fldCharType="separate"/>
                  </w:r>
                  <w:r>
                    <w:rPr>
                      <w:kern w:val="0"/>
                    </w:rPr>
                    <w:t>2.93</w:t>
                  </w:r>
                  <w:r>
                    <w:rPr>
                      <w:kern w:val="0"/>
                    </w:rPr>
                    <w:fldChar w:fldCharType="end"/>
                  </w:r>
                </w:p>
              </w:tc>
              <w:tc>
                <w:tcPr>
                  <w:tcW w:w="105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kern w:val="0"/>
                    </w:rPr>
                    <w:fldChar w:fldCharType="begin"/>
                  </w:r>
                  <w:r>
                    <w:rPr>
                      <w:kern w:val="0"/>
                    </w:rPr>
                    <w:instrText xml:space="preserve"> =SUM(ABOVE) </w:instrText>
                  </w:r>
                  <w:r>
                    <w:rPr>
                      <w:kern w:val="0"/>
                    </w:rPr>
                    <w:fldChar w:fldCharType="separate"/>
                  </w:r>
                  <w:r>
                    <w:rPr>
                      <w:kern w:val="0"/>
                    </w:rPr>
                    <w:t>2.06</w:t>
                  </w:r>
                  <w:r>
                    <w:rPr>
                      <w:kern w:val="0"/>
                    </w:rPr>
                    <w:fldChar w:fldCharType="end"/>
                  </w:r>
                </w:p>
              </w:tc>
              <w:tc>
                <w:tcPr>
                  <w:tcW w:w="21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kern w:val="0"/>
                    </w:rPr>
                    <w:t>/</w:t>
                  </w:r>
                </w:p>
              </w:tc>
            </w:tr>
          </w:tbl>
          <w:p>
            <w:pPr>
              <w:jc w:val="center"/>
            </w:pPr>
            <w:r>
              <w:drawing>
                <wp:inline distT="0" distB="0" distL="0" distR="0">
                  <wp:extent cx="3863975" cy="3089910"/>
                  <wp:effectExtent l="19050" t="0" r="2951" b="0"/>
                  <wp:docPr id="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pic:cNvPicPr>
                            <a:picLocks noChangeAspect="1" noChangeArrowheads="1"/>
                          </pic:cNvPicPr>
                        </pic:nvPicPr>
                        <pic:blipFill>
                          <a:blip r:embed="rId10"/>
                          <a:srcRect/>
                          <a:stretch>
                            <a:fillRect/>
                          </a:stretch>
                        </pic:blipFill>
                        <pic:spPr>
                          <a:xfrm>
                            <a:off x="0" y="0"/>
                            <a:ext cx="3866966" cy="3092213"/>
                          </a:xfrm>
                          <a:prstGeom prst="rect">
                            <a:avLst/>
                          </a:prstGeom>
                          <a:noFill/>
                          <a:ln w="9525">
                            <a:noFill/>
                            <a:miter lim="800000"/>
                            <a:headEnd/>
                            <a:tailEnd/>
                          </a:ln>
                        </pic:spPr>
                      </pic:pic>
                    </a:graphicData>
                  </a:graphic>
                </wp:inline>
              </w:drawing>
            </w:r>
          </w:p>
          <w:p>
            <w:pPr>
              <w:pStyle w:val="34"/>
              <w:adjustRightInd w:val="0"/>
              <w:snapToGrid w:val="0"/>
              <w:spacing w:after="0" w:line="480" w:lineRule="exact"/>
              <w:ind w:left="0" w:leftChars="0" w:firstLine="0"/>
              <w:jc w:val="center"/>
              <w:rPr>
                <w:rFonts w:cs="宋体"/>
                <w:b/>
                <w:bCs/>
              </w:rPr>
            </w:pPr>
            <w:r>
              <w:rPr>
                <w:rFonts w:hint="eastAsia" w:cs="宋体"/>
                <w:b/>
                <w:bCs/>
              </w:rPr>
              <w:t>图</w:t>
            </w:r>
            <w:r>
              <w:rPr>
                <w:rFonts w:hint="eastAsia"/>
                <w:b/>
                <w:bCs/>
              </w:rPr>
              <w:t>2</w:t>
            </w:r>
            <w:r>
              <w:rPr>
                <w:b/>
                <w:bCs/>
              </w:rPr>
              <w:t xml:space="preserve">-1  </w:t>
            </w:r>
            <w:r>
              <w:rPr>
                <w:rFonts w:hint="eastAsia" w:cs="宋体"/>
                <w:b/>
                <w:bCs/>
              </w:rPr>
              <w:t>建设项目水量平衡图（单位：</w:t>
            </w:r>
            <w:r>
              <w:rPr>
                <w:b/>
                <w:bCs/>
              </w:rPr>
              <w:t>m</w:t>
            </w:r>
            <w:r>
              <w:rPr>
                <w:b/>
                <w:bCs/>
                <w:vertAlign w:val="superscript"/>
              </w:rPr>
              <w:t>3</w:t>
            </w:r>
            <w:r>
              <w:rPr>
                <w:b/>
                <w:bCs/>
              </w:rPr>
              <w:t>/d</w:t>
            </w:r>
            <w:r>
              <w:rPr>
                <w:rFonts w:hint="eastAsia" w:cs="宋体"/>
                <w:b/>
                <w:bCs/>
              </w:rPr>
              <w:t>）</w:t>
            </w:r>
          </w:p>
          <w:p>
            <w:pPr>
              <w:adjustRightInd w:val="0"/>
              <w:snapToGrid w:val="0"/>
              <w:spacing w:line="360" w:lineRule="auto"/>
              <w:ind w:firstLine="480" w:firstLineChars="200"/>
              <w:jc w:val="left"/>
              <w:rPr>
                <w:sz w:val="24"/>
                <w:szCs w:val="24"/>
              </w:rPr>
            </w:pPr>
            <w:r>
              <w:rPr>
                <w:rFonts w:hint="eastAsia" w:cs="宋体"/>
                <w:kern w:val="0"/>
                <w:sz w:val="24"/>
                <w:szCs w:val="24"/>
              </w:rPr>
              <w:t>（</w:t>
            </w:r>
            <w:r>
              <w:rPr>
                <w:kern w:val="0"/>
                <w:sz w:val="24"/>
                <w:szCs w:val="24"/>
              </w:rPr>
              <w:t>3</w:t>
            </w:r>
            <w:r>
              <w:rPr>
                <w:rFonts w:hint="eastAsia" w:cs="宋体"/>
                <w:kern w:val="0"/>
                <w:sz w:val="24"/>
                <w:szCs w:val="24"/>
              </w:rPr>
              <w:t>）供电</w:t>
            </w:r>
          </w:p>
          <w:p>
            <w:pPr>
              <w:adjustRightInd w:val="0"/>
              <w:snapToGrid w:val="0"/>
              <w:spacing w:line="360" w:lineRule="auto"/>
              <w:ind w:firstLine="480" w:firstLineChars="200"/>
              <w:jc w:val="left"/>
              <w:rPr>
                <w:sz w:val="24"/>
                <w:szCs w:val="24"/>
              </w:rPr>
            </w:pPr>
            <w:r>
              <w:rPr>
                <w:rFonts w:hint="eastAsia" w:cs="宋体"/>
                <w:kern w:val="0"/>
                <w:sz w:val="24"/>
                <w:szCs w:val="24"/>
              </w:rPr>
              <w:t>项目供电利用原有配电设施。</w:t>
            </w:r>
          </w:p>
          <w:p>
            <w:pPr>
              <w:adjustRightInd w:val="0"/>
              <w:snapToGrid w:val="0"/>
              <w:spacing w:line="360" w:lineRule="auto"/>
              <w:ind w:firstLine="480" w:firstLineChars="200"/>
              <w:jc w:val="left"/>
              <w:rPr>
                <w:kern w:val="0"/>
                <w:sz w:val="24"/>
                <w:szCs w:val="24"/>
              </w:rPr>
            </w:pPr>
            <w:r>
              <w:rPr>
                <w:rFonts w:hint="eastAsia" w:cs="宋体"/>
                <w:kern w:val="0"/>
                <w:sz w:val="24"/>
                <w:szCs w:val="24"/>
              </w:rPr>
              <w:t>（</w:t>
            </w:r>
            <w:r>
              <w:rPr>
                <w:kern w:val="0"/>
                <w:sz w:val="24"/>
                <w:szCs w:val="24"/>
              </w:rPr>
              <w:t>4</w:t>
            </w:r>
            <w:r>
              <w:rPr>
                <w:rFonts w:hint="eastAsia" w:cs="宋体"/>
                <w:kern w:val="0"/>
                <w:sz w:val="24"/>
                <w:szCs w:val="24"/>
              </w:rPr>
              <w:t>）制冷供暖</w:t>
            </w:r>
          </w:p>
          <w:p>
            <w:pPr>
              <w:adjustRightInd w:val="0"/>
              <w:snapToGrid w:val="0"/>
              <w:spacing w:line="360" w:lineRule="auto"/>
              <w:ind w:firstLine="480" w:firstLineChars="200"/>
              <w:jc w:val="left"/>
              <w:rPr>
                <w:rFonts w:cs="宋体"/>
                <w:kern w:val="0"/>
                <w:sz w:val="24"/>
                <w:szCs w:val="24"/>
              </w:rPr>
            </w:pPr>
            <w:r>
              <w:rPr>
                <w:rFonts w:hint="eastAsia" w:cs="宋体"/>
                <w:kern w:val="0"/>
                <w:sz w:val="24"/>
                <w:szCs w:val="24"/>
              </w:rPr>
              <w:t>项目办公室采用分体式空调供暖、制冷。</w:t>
            </w:r>
          </w:p>
          <w:p>
            <w:pPr>
              <w:adjustRightInd w:val="0"/>
              <w:snapToGrid w:val="0"/>
              <w:spacing w:line="360" w:lineRule="auto"/>
              <w:jc w:val="left"/>
              <w:rPr>
                <w:b/>
                <w:bCs/>
                <w:sz w:val="24"/>
                <w:szCs w:val="24"/>
              </w:rPr>
            </w:pPr>
            <w:r>
              <w:rPr>
                <w:rFonts w:hint="eastAsia"/>
                <w:b/>
                <w:bCs/>
                <w:sz w:val="24"/>
                <w:szCs w:val="24"/>
              </w:rPr>
              <w:t>7、</w:t>
            </w:r>
            <w:r>
              <w:rPr>
                <w:rFonts w:hint="eastAsia" w:cs="宋体"/>
                <w:b/>
                <w:bCs/>
                <w:sz w:val="24"/>
                <w:szCs w:val="24"/>
              </w:rPr>
              <w:t>劳动定员与工作制度</w:t>
            </w:r>
          </w:p>
          <w:p>
            <w:pPr>
              <w:adjustRightInd w:val="0"/>
              <w:snapToGrid w:val="0"/>
              <w:spacing w:line="360" w:lineRule="auto"/>
              <w:ind w:firstLine="480" w:firstLineChars="200"/>
              <w:rPr>
                <w:rFonts w:cs="宋体"/>
                <w:kern w:val="0"/>
                <w:sz w:val="24"/>
                <w:szCs w:val="24"/>
              </w:rPr>
            </w:pPr>
            <w:r>
              <w:rPr>
                <w:rFonts w:hint="eastAsia" w:cs="宋体"/>
                <w:kern w:val="0"/>
                <w:sz w:val="24"/>
                <w:szCs w:val="24"/>
              </w:rPr>
              <w:t>项目劳动定员</w:t>
            </w:r>
            <w:r>
              <w:rPr>
                <w:rFonts w:hint="eastAsia"/>
                <w:kern w:val="0"/>
                <w:sz w:val="24"/>
                <w:szCs w:val="24"/>
              </w:rPr>
              <w:t>31</w:t>
            </w:r>
            <w:r>
              <w:rPr>
                <w:rFonts w:hint="eastAsia" w:cs="宋体"/>
                <w:kern w:val="0"/>
                <w:sz w:val="24"/>
                <w:szCs w:val="24"/>
              </w:rPr>
              <w:t>人，项目实行1班制</w:t>
            </w:r>
            <w:r>
              <w:rPr>
                <w:rFonts w:hint="eastAsia"/>
                <w:kern w:val="0"/>
                <w:sz w:val="24"/>
                <w:szCs w:val="24"/>
              </w:rPr>
              <w:t>8</w:t>
            </w:r>
            <w:r>
              <w:rPr>
                <w:rFonts w:hint="eastAsia" w:cs="宋体"/>
                <w:kern w:val="0"/>
                <w:sz w:val="24"/>
                <w:szCs w:val="24"/>
              </w:rPr>
              <w:t>小时工作制度，夜间不生产，全年生产</w:t>
            </w:r>
            <w:r>
              <w:rPr>
                <w:rFonts w:hint="eastAsia"/>
                <w:kern w:val="0"/>
                <w:sz w:val="24"/>
                <w:szCs w:val="24"/>
              </w:rPr>
              <w:t>300</w:t>
            </w:r>
            <w:r>
              <w:rPr>
                <w:rFonts w:hint="eastAsia" w:cs="宋体"/>
                <w:kern w:val="0"/>
                <w:sz w:val="24"/>
                <w:szCs w:val="24"/>
              </w:rPr>
              <w:t>天。</w:t>
            </w:r>
          </w:p>
          <w:p>
            <w:pPr>
              <w:adjustRightInd w:val="0"/>
              <w:snapToGrid w:val="0"/>
              <w:spacing w:line="360" w:lineRule="auto"/>
              <w:jc w:val="left"/>
              <w:rPr>
                <w:rFonts w:cs="宋体"/>
                <w:b/>
                <w:bCs/>
                <w:sz w:val="24"/>
                <w:szCs w:val="24"/>
              </w:rPr>
            </w:pPr>
            <w:r>
              <w:rPr>
                <w:rFonts w:hint="eastAsia" w:cs="宋体"/>
                <w:b/>
                <w:bCs/>
                <w:sz w:val="24"/>
                <w:szCs w:val="24"/>
              </w:rPr>
              <w:t>8、厂区平面布局</w:t>
            </w:r>
          </w:p>
          <w:p>
            <w:pPr>
              <w:adjustRightInd w:val="0"/>
              <w:snapToGrid w:val="0"/>
              <w:spacing w:line="360" w:lineRule="auto"/>
              <w:ind w:firstLine="480" w:firstLineChars="200"/>
              <w:rPr>
                <w:rFonts w:cs="宋体"/>
                <w:kern w:val="0"/>
                <w:sz w:val="24"/>
                <w:szCs w:val="24"/>
              </w:rPr>
            </w:pPr>
            <w:r>
              <w:rPr>
                <w:rFonts w:hint="eastAsia" w:cs="宋体"/>
                <w:kern w:val="0"/>
                <w:sz w:val="24"/>
                <w:szCs w:val="24"/>
              </w:rPr>
              <w:t>项目厂区总平面布置分为生产区、产品暂存区及办公区。生产区位于厂区的西北侧，主要设置有缠绕固化区、脱模区、打磨室及封头制作区等。产品暂存区位于厂区南侧，办公区位于厂区的东北侧。项目分区合理，生产对办公的影响较小。项目平面布置图见附图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33" w:type="dxa"/>
            <w:vAlign w:val="center"/>
          </w:tcPr>
          <w:p>
            <w:pPr>
              <w:pStyle w:val="30"/>
              <w:adjustRightInd w:val="0"/>
              <w:snapToGrid w:val="0"/>
              <w:spacing w:before="0" w:beforeAutospacing="0" w:after="0" w:afterAutospacing="0"/>
              <w:jc w:val="center"/>
              <w:rPr>
                <w:rFonts w:ascii="Times New Roman" w:hAnsi="Times New Roman"/>
              </w:rPr>
            </w:pPr>
            <w:r>
              <w:rPr>
                <w:rFonts w:hint="eastAsia" w:ascii="Times New Roman" w:hAnsi="Times New Roman" w:cs="宋体"/>
              </w:rPr>
              <w:t>工艺流程和产排污环节</w:t>
            </w:r>
          </w:p>
        </w:tc>
        <w:tc>
          <w:tcPr>
            <w:tcW w:w="8161" w:type="dxa"/>
          </w:tcPr>
          <w:p>
            <w:pPr>
              <w:tabs>
                <w:tab w:val="left" w:pos="851"/>
                <w:tab w:val="left" w:pos="1134"/>
                <w:tab w:val="left" w:pos="1276"/>
              </w:tabs>
              <w:adjustRightInd w:val="0"/>
              <w:snapToGrid w:val="0"/>
              <w:spacing w:line="360" w:lineRule="auto"/>
              <w:jc w:val="left"/>
              <w:rPr>
                <w:b/>
                <w:bCs/>
              </w:rPr>
            </w:pPr>
            <w:r>
              <w:rPr>
                <w:rFonts w:hint="eastAsia"/>
                <w:b/>
                <w:bCs/>
                <w:sz w:val="24"/>
                <w:szCs w:val="24"/>
              </w:rPr>
              <w:t>9、</w:t>
            </w:r>
            <w:r>
              <w:rPr>
                <w:rFonts w:hint="eastAsia" w:cs="宋体"/>
                <w:b/>
                <w:bCs/>
                <w:sz w:val="24"/>
                <w:szCs w:val="24"/>
              </w:rPr>
              <w:t>运营期生产工艺流程</w:t>
            </w:r>
          </w:p>
          <w:p>
            <w:pPr>
              <w:tabs>
                <w:tab w:val="left" w:pos="851"/>
                <w:tab w:val="left" w:pos="1134"/>
                <w:tab w:val="left" w:pos="1276"/>
              </w:tabs>
              <w:adjustRightInd w:val="0"/>
              <w:snapToGrid w:val="0"/>
              <w:spacing w:line="360" w:lineRule="auto"/>
              <w:ind w:firstLine="480" w:firstLineChars="200"/>
              <w:jc w:val="left"/>
              <w:rPr>
                <w:rFonts w:cs="宋体"/>
                <w:sz w:val="24"/>
                <w:szCs w:val="24"/>
              </w:rPr>
            </w:pPr>
            <w:r>
              <w:rPr>
                <w:rFonts w:hint="eastAsia" w:cs="宋体"/>
                <w:sz w:val="24"/>
                <w:szCs w:val="24"/>
              </w:rPr>
              <w:t>项目产品主要为玻璃钢类制品，主要是将罐体和封头独立加工成型后组装成成品。</w:t>
            </w:r>
          </w:p>
          <w:p>
            <w:pPr>
              <w:tabs>
                <w:tab w:val="left" w:pos="851"/>
                <w:tab w:val="left" w:pos="1134"/>
                <w:tab w:val="left" w:pos="1276"/>
              </w:tabs>
              <w:adjustRightInd w:val="0"/>
              <w:snapToGrid w:val="0"/>
              <w:spacing w:line="360" w:lineRule="auto"/>
              <w:jc w:val="left"/>
              <w:rPr>
                <w:sz w:val="24"/>
                <w:szCs w:val="24"/>
              </w:rPr>
            </w:pPr>
            <w:r>
              <w:rPr>
                <w:rFonts w:hint="eastAsia" w:cs="宋体"/>
                <w:sz w:val="24"/>
                <w:szCs w:val="24"/>
              </w:rPr>
              <w:t>（1）项目生产工艺流程描述见下，工艺流程图及产污环节见图</w:t>
            </w:r>
            <w:r>
              <w:rPr>
                <w:sz w:val="24"/>
                <w:szCs w:val="24"/>
              </w:rPr>
              <w:t>2-</w:t>
            </w:r>
            <w:r>
              <w:rPr>
                <w:rFonts w:hint="eastAsia"/>
                <w:sz w:val="24"/>
                <w:szCs w:val="24"/>
              </w:rPr>
              <w:t>2。</w:t>
            </w:r>
          </w:p>
          <w:p>
            <w:pPr>
              <w:pStyle w:val="2"/>
              <w:rPr>
                <w:rFonts w:ascii="Times New Roman" w:hAnsi="Times New Roman"/>
              </w:rPr>
            </w:pPr>
            <w:r>
              <w:rPr>
                <w:rFonts w:ascii="Times New Roman" w:hAnsi="Times New Roman"/>
              </w:rPr>
              <w:drawing>
                <wp:inline distT="0" distB="0" distL="0" distR="0">
                  <wp:extent cx="4495800" cy="43338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1"/>
                          <a:srcRect/>
                          <a:stretch>
                            <a:fillRect/>
                          </a:stretch>
                        </pic:blipFill>
                        <pic:spPr>
                          <a:xfrm>
                            <a:off x="0" y="0"/>
                            <a:ext cx="4498474" cy="4336453"/>
                          </a:xfrm>
                          <a:prstGeom prst="rect">
                            <a:avLst/>
                          </a:prstGeom>
                          <a:noFill/>
                          <a:ln w="9525">
                            <a:noFill/>
                            <a:miter lim="800000"/>
                            <a:headEnd/>
                            <a:tailEnd/>
                          </a:ln>
                        </pic:spPr>
                      </pic:pic>
                    </a:graphicData>
                  </a:graphic>
                </wp:inline>
              </w:drawing>
            </w:r>
          </w:p>
          <w:p>
            <w:pPr>
              <w:tabs>
                <w:tab w:val="left" w:pos="851"/>
                <w:tab w:val="left" w:pos="1134"/>
                <w:tab w:val="left" w:pos="1276"/>
              </w:tabs>
              <w:adjustRightInd w:val="0"/>
              <w:snapToGrid w:val="0"/>
              <w:spacing w:afterLines="50" w:line="480" w:lineRule="exact"/>
              <w:jc w:val="center"/>
              <w:rPr>
                <w:b/>
                <w:szCs w:val="24"/>
              </w:rPr>
            </w:pPr>
            <w:r>
              <w:rPr>
                <w:rFonts w:hint="eastAsia"/>
                <w:b/>
                <w:szCs w:val="24"/>
              </w:rPr>
              <w:t>图</w:t>
            </w:r>
            <w:r>
              <w:rPr>
                <w:b/>
                <w:szCs w:val="24"/>
              </w:rPr>
              <w:t>2-</w:t>
            </w:r>
            <w:r>
              <w:rPr>
                <w:rFonts w:hint="eastAsia"/>
                <w:b/>
                <w:szCs w:val="24"/>
              </w:rPr>
              <w:t>2  项目生产工艺流程及产污环节图</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1 \* GB3</w:instrText>
            </w:r>
            <w:r>
              <w:rPr>
                <w:rFonts w:cs="宋体"/>
                <w:sz w:val="24"/>
                <w:szCs w:val="24"/>
              </w:rPr>
              <w:fldChar w:fldCharType="separate"/>
            </w:r>
            <w:r>
              <w:rPr>
                <w:rFonts w:hint="eastAsia" w:cs="宋体"/>
                <w:sz w:val="24"/>
                <w:szCs w:val="24"/>
              </w:rPr>
              <w:t>①</w:t>
            </w:r>
            <w:r>
              <w:rPr>
                <w:rFonts w:cs="宋体"/>
                <w:sz w:val="24"/>
                <w:szCs w:val="24"/>
              </w:rPr>
              <w:fldChar w:fldCharType="end"/>
            </w:r>
            <w:r>
              <w:rPr>
                <w:rFonts w:hint="eastAsia" w:cs="宋体"/>
                <w:sz w:val="24"/>
                <w:szCs w:val="24"/>
              </w:rPr>
              <w:t>配料（胶液配制）：按照要求将不饱和聚酯树脂、促进剂等按比例通过阀门控制加入密闭搅拌罐/桶中搅拌均匀后储存于搅拌罐/桶中，待使用时再加入固化剂。罐体制作是将配制好的胶液通过密闭管道输送至缠绕机组的浸胶槽中。封头配料（胶液配制）在封头制作区进行，将配制好的胶液暂存于搅拌桶中待用。该过程会产生罐封头配料有机废气</w:t>
            </w:r>
            <w:r>
              <w:rPr>
                <w:sz w:val="24"/>
                <w:szCs w:val="24"/>
              </w:rPr>
              <w:t>（G</w:t>
            </w:r>
            <w:r>
              <w:rPr>
                <w:sz w:val="24"/>
                <w:szCs w:val="24"/>
                <w:vertAlign w:val="subscript"/>
              </w:rPr>
              <w:t>1</w:t>
            </w:r>
            <w:r>
              <w:rPr>
                <w:sz w:val="24"/>
                <w:szCs w:val="24"/>
              </w:rPr>
              <w:t>）、</w:t>
            </w:r>
            <w:r>
              <w:rPr>
                <w:rFonts w:hint="eastAsia" w:cs="宋体"/>
                <w:sz w:val="24"/>
                <w:szCs w:val="24"/>
              </w:rPr>
              <w:t>噪声</w:t>
            </w:r>
            <w:r>
              <w:rPr>
                <w:sz w:val="24"/>
                <w:szCs w:val="24"/>
              </w:rPr>
              <w:t>（N）</w:t>
            </w:r>
            <w:r>
              <w:rPr>
                <w:rFonts w:hint="eastAsia" w:cs="宋体"/>
                <w:sz w:val="24"/>
                <w:szCs w:val="24"/>
              </w:rPr>
              <w:t>及废包装桶</w:t>
            </w:r>
            <w:r>
              <w:rPr>
                <w:sz w:val="24"/>
                <w:szCs w:val="24"/>
              </w:rPr>
              <w:t>（S</w:t>
            </w:r>
            <w:r>
              <w:rPr>
                <w:sz w:val="24"/>
                <w:szCs w:val="24"/>
                <w:vertAlign w:val="subscript"/>
              </w:rPr>
              <w:t>1</w:t>
            </w:r>
            <w:r>
              <w:rPr>
                <w:sz w:val="24"/>
                <w:szCs w:val="24"/>
              </w:rPr>
              <w:t>）</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2 \* GB3</w:instrText>
            </w:r>
            <w:r>
              <w:rPr>
                <w:rFonts w:cs="宋体"/>
                <w:sz w:val="24"/>
                <w:szCs w:val="24"/>
              </w:rPr>
              <w:fldChar w:fldCharType="separate"/>
            </w:r>
            <w:r>
              <w:rPr>
                <w:rFonts w:hint="eastAsia" w:cs="宋体"/>
                <w:sz w:val="24"/>
                <w:szCs w:val="24"/>
              </w:rPr>
              <w:t>②</w:t>
            </w:r>
            <w:r>
              <w:rPr>
                <w:rFonts w:cs="宋体"/>
                <w:sz w:val="24"/>
                <w:szCs w:val="24"/>
              </w:rPr>
              <w:fldChar w:fldCharType="end"/>
            </w:r>
            <w:r>
              <w:rPr>
                <w:rFonts w:hint="eastAsia" w:cs="宋体"/>
                <w:sz w:val="24"/>
                <w:szCs w:val="24"/>
              </w:rPr>
              <w:t>模具准备：为了提高管道内表面光洁度，后期方便脱模，需在模具表面缠绕一层聚酯膜，本项目模具可重复使用。</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3 \* GB3</w:instrText>
            </w:r>
            <w:r>
              <w:rPr>
                <w:rFonts w:cs="宋体"/>
                <w:sz w:val="24"/>
                <w:szCs w:val="24"/>
              </w:rPr>
              <w:fldChar w:fldCharType="separate"/>
            </w:r>
            <w:r>
              <w:rPr>
                <w:rFonts w:hint="eastAsia" w:cs="宋体"/>
                <w:sz w:val="24"/>
                <w:szCs w:val="24"/>
              </w:rPr>
              <w:t>③</w:t>
            </w:r>
            <w:r>
              <w:rPr>
                <w:rFonts w:cs="宋体"/>
                <w:sz w:val="24"/>
                <w:szCs w:val="24"/>
              </w:rPr>
              <w:fldChar w:fldCharType="end"/>
            </w:r>
            <w:r>
              <w:rPr>
                <w:rFonts w:hint="eastAsia" w:cs="宋体"/>
                <w:sz w:val="24"/>
                <w:szCs w:val="24"/>
              </w:rPr>
              <w:t>内衬层制作：在模具表面喷淋一层胶液喷淋后依次缠绕表面毡、针织毡和网格布，缠绕过程要求表面无异状突起等现象。该过程会产生缠绕有机废气</w:t>
            </w:r>
            <w:r>
              <w:rPr>
                <w:sz w:val="24"/>
                <w:szCs w:val="24"/>
              </w:rPr>
              <w:t>（G</w:t>
            </w:r>
            <w:r>
              <w:rPr>
                <w:sz w:val="24"/>
                <w:szCs w:val="24"/>
                <w:vertAlign w:val="subscript"/>
              </w:rPr>
              <w:t>2</w:t>
            </w:r>
            <w:r>
              <w:rPr>
                <w:sz w:val="24"/>
                <w:szCs w:val="24"/>
              </w:rPr>
              <w:t>）</w:t>
            </w:r>
            <w:r>
              <w:rPr>
                <w:rFonts w:hint="eastAsia" w:cs="宋体"/>
                <w:sz w:val="24"/>
                <w:szCs w:val="24"/>
              </w:rPr>
              <w:t>和噪声</w:t>
            </w:r>
            <w:r>
              <w:rPr>
                <w:sz w:val="24"/>
                <w:szCs w:val="24"/>
              </w:rPr>
              <w:t>（N）</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4 \* GB3</w:instrText>
            </w:r>
            <w:r>
              <w:rPr>
                <w:rFonts w:cs="宋体"/>
                <w:sz w:val="24"/>
                <w:szCs w:val="24"/>
              </w:rPr>
              <w:fldChar w:fldCharType="separate"/>
            </w:r>
            <w:r>
              <w:rPr>
                <w:rFonts w:hint="eastAsia" w:cs="宋体"/>
                <w:sz w:val="24"/>
                <w:szCs w:val="24"/>
              </w:rPr>
              <w:t>④</w:t>
            </w:r>
            <w:r>
              <w:rPr>
                <w:rFonts w:cs="宋体"/>
                <w:sz w:val="24"/>
                <w:szCs w:val="24"/>
              </w:rPr>
              <w:fldChar w:fldCharType="end"/>
            </w:r>
            <w:r>
              <w:rPr>
                <w:rFonts w:hint="eastAsia" w:cs="宋体"/>
                <w:sz w:val="24"/>
                <w:szCs w:val="24"/>
              </w:rPr>
              <w:t>内衬层固化：由于结构层缠绕纱的缠绕张力较大，防止内衬层树脂被挤出，要求内衬层在电加热固化约半个小时后进行缠绕。该过程会产生固化有机废气</w:t>
            </w:r>
            <w:r>
              <w:rPr>
                <w:sz w:val="24"/>
                <w:szCs w:val="24"/>
              </w:rPr>
              <w:t>（G</w:t>
            </w:r>
            <w:r>
              <w:rPr>
                <w:rFonts w:hint="eastAsia"/>
                <w:sz w:val="24"/>
                <w:szCs w:val="24"/>
                <w:vertAlign w:val="subscript"/>
              </w:rPr>
              <w:t>3</w:t>
            </w:r>
            <w:r>
              <w:rPr>
                <w:sz w:val="24"/>
                <w:szCs w:val="24"/>
              </w:rPr>
              <w:t>）</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5 \* GB3</w:instrText>
            </w:r>
            <w:r>
              <w:rPr>
                <w:rFonts w:cs="宋体"/>
                <w:sz w:val="24"/>
                <w:szCs w:val="24"/>
              </w:rPr>
              <w:fldChar w:fldCharType="separate"/>
            </w:r>
            <w:r>
              <w:rPr>
                <w:rFonts w:hint="eastAsia" w:cs="宋体"/>
                <w:sz w:val="24"/>
                <w:szCs w:val="24"/>
              </w:rPr>
              <w:t>⑤</w:t>
            </w:r>
            <w:r>
              <w:rPr>
                <w:rFonts w:cs="宋体"/>
                <w:sz w:val="24"/>
                <w:szCs w:val="24"/>
              </w:rPr>
              <w:fldChar w:fldCharType="end"/>
            </w:r>
            <w:r>
              <w:rPr>
                <w:rFonts w:hint="eastAsia" w:cs="宋体"/>
                <w:sz w:val="24"/>
                <w:szCs w:val="24"/>
              </w:rPr>
              <w:t>结构层制作：按照工艺设计要求，配制好的胶液通过管道密闭输送至缠绕机组的浸胶槽中，启动缠绕程序。玻璃纤维经过浸胶槽开始结构层的缠绕。该过程会产生缠绕有机废气</w:t>
            </w:r>
            <w:r>
              <w:rPr>
                <w:sz w:val="24"/>
                <w:szCs w:val="24"/>
              </w:rPr>
              <w:t>（G</w:t>
            </w:r>
            <w:r>
              <w:rPr>
                <w:rFonts w:hint="eastAsia"/>
                <w:sz w:val="24"/>
                <w:szCs w:val="24"/>
                <w:vertAlign w:val="subscript"/>
              </w:rPr>
              <w:t>4</w:t>
            </w:r>
            <w:r>
              <w:rPr>
                <w:sz w:val="24"/>
                <w:szCs w:val="24"/>
              </w:rPr>
              <w:t>）</w:t>
            </w:r>
            <w:r>
              <w:rPr>
                <w:rFonts w:hint="eastAsia" w:cs="宋体"/>
                <w:sz w:val="24"/>
                <w:szCs w:val="24"/>
              </w:rPr>
              <w:t>和噪声</w:t>
            </w:r>
            <w:r>
              <w:rPr>
                <w:sz w:val="24"/>
                <w:szCs w:val="24"/>
              </w:rPr>
              <w:t>（N）</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6 \* GB3</w:instrText>
            </w:r>
            <w:r>
              <w:rPr>
                <w:rFonts w:cs="宋体"/>
                <w:sz w:val="24"/>
                <w:szCs w:val="24"/>
              </w:rPr>
              <w:fldChar w:fldCharType="separate"/>
            </w:r>
            <w:r>
              <w:rPr>
                <w:rFonts w:hint="eastAsia" w:cs="宋体"/>
                <w:sz w:val="24"/>
                <w:szCs w:val="24"/>
              </w:rPr>
              <w:t>⑥</w:t>
            </w:r>
            <w:r>
              <w:rPr>
                <w:rFonts w:cs="宋体"/>
                <w:sz w:val="24"/>
                <w:szCs w:val="24"/>
              </w:rPr>
              <w:fldChar w:fldCharType="end"/>
            </w:r>
            <w:r>
              <w:rPr>
                <w:rFonts w:hint="eastAsia" w:cs="宋体"/>
                <w:sz w:val="24"/>
                <w:szCs w:val="24"/>
              </w:rPr>
              <w:t>固化：管道缠绕结束后，树脂没有完全发生交联，树脂处于液体状态，需要进行固化转化，固化过程不另外添加固化剂，在浸胶缠绕前固化剂已加入配置好的胶液中，只采用远红外线电加热固化成型即可。该过程会产生固化有机废气</w:t>
            </w:r>
            <w:r>
              <w:rPr>
                <w:sz w:val="24"/>
                <w:szCs w:val="24"/>
              </w:rPr>
              <w:t>（G</w:t>
            </w:r>
            <w:r>
              <w:rPr>
                <w:rFonts w:hint="eastAsia"/>
                <w:sz w:val="24"/>
                <w:szCs w:val="24"/>
                <w:vertAlign w:val="subscript"/>
              </w:rPr>
              <w:t>5</w:t>
            </w:r>
            <w:r>
              <w:rPr>
                <w:sz w:val="24"/>
                <w:szCs w:val="24"/>
              </w:rPr>
              <w:t>）</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7 \* GB3</w:instrText>
            </w:r>
            <w:r>
              <w:rPr>
                <w:rFonts w:cs="宋体"/>
                <w:sz w:val="24"/>
                <w:szCs w:val="24"/>
              </w:rPr>
              <w:fldChar w:fldCharType="separate"/>
            </w:r>
            <w:r>
              <w:rPr>
                <w:rFonts w:hint="eastAsia" w:cs="宋体"/>
                <w:sz w:val="24"/>
                <w:szCs w:val="24"/>
              </w:rPr>
              <w:t>⑦</w:t>
            </w:r>
            <w:r>
              <w:rPr>
                <w:rFonts w:cs="宋体"/>
                <w:sz w:val="24"/>
                <w:szCs w:val="24"/>
              </w:rPr>
              <w:fldChar w:fldCharType="end"/>
            </w:r>
            <w:r>
              <w:rPr>
                <w:rFonts w:hint="eastAsia" w:cs="宋体"/>
                <w:sz w:val="24"/>
                <w:szCs w:val="24"/>
              </w:rPr>
              <w:t>脱模：玻璃钢管成型后采用脱模机将钢管从模具上脱下，模具可重复使用。该过程会产生废聚酯膜</w:t>
            </w:r>
            <w:r>
              <w:rPr>
                <w:sz w:val="24"/>
                <w:szCs w:val="24"/>
              </w:rPr>
              <w:t>（S</w:t>
            </w:r>
            <w:r>
              <w:rPr>
                <w:rFonts w:hint="eastAsia"/>
                <w:sz w:val="24"/>
                <w:szCs w:val="24"/>
                <w:vertAlign w:val="subscript"/>
              </w:rPr>
              <w:t>2</w:t>
            </w:r>
            <w:r>
              <w:rPr>
                <w:sz w:val="24"/>
                <w:szCs w:val="24"/>
              </w:rPr>
              <w:t>）</w:t>
            </w:r>
            <w:r>
              <w:rPr>
                <w:rFonts w:hint="eastAsia" w:cs="宋体"/>
                <w:sz w:val="24"/>
                <w:szCs w:val="24"/>
              </w:rPr>
              <w:t>和噪声</w:t>
            </w:r>
            <w:r>
              <w:rPr>
                <w:sz w:val="24"/>
                <w:szCs w:val="24"/>
              </w:rPr>
              <w:t>（N）</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8 \* GB3</w:instrText>
            </w:r>
            <w:r>
              <w:rPr>
                <w:rFonts w:cs="宋体"/>
                <w:sz w:val="24"/>
                <w:szCs w:val="24"/>
              </w:rPr>
              <w:fldChar w:fldCharType="separate"/>
            </w:r>
            <w:r>
              <w:rPr>
                <w:rFonts w:hint="eastAsia" w:cs="宋体"/>
                <w:sz w:val="24"/>
                <w:szCs w:val="24"/>
              </w:rPr>
              <w:t>⑧</w:t>
            </w:r>
            <w:r>
              <w:rPr>
                <w:rFonts w:cs="宋体"/>
                <w:sz w:val="24"/>
                <w:szCs w:val="24"/>
              </w:rPr>
              <w:fldChar w:fldCharType="end"/>
            </w:r>
            <w:r>
              <w:rPr>
                <w:rFonts w:cs="宋体"/>
                <w:sz w:val="24"/>
                <w:szCs w:val="24"/>
              </w:rPr>
              <w:t>封头</w:t>
            </w:r>
            <w:r>
              <w:rPr>
                <w:rFonts w:hint="eastAsia" w:cs="宋体"/>
                <w:sz w:val="24"/>
                <w:szCs w:val="24"/>
              </w:rPr>
              <w:t>制作：按照产品要求采用人工</w:t>
            </w:r>
            <w:r>
              <w:rPr>
                <w:rFonts w:cs="宋体"/>
                <w:sz w:val="24"/>
                <w:szCs w:val="24"/>
              </w:rPr>
              <w:t>涂抹由不饱和聚酯树脂、促进剂、固化剂混合成的</w:t>
            </w:r>
            <w:r>
              <w:rPr>
                <w:rFonts w:hint="eastAsia" w:cs="宋体"/>
                <w:sz w:val="24"/>
                <w:szCs w:val="24"/>
              </w:rPr>
              <w:t>胶液，</w:t>
            </w:r>
            <w:r>
              <w:rPr>
                <w:rFonts w:cs="宋体"/>
                <w:sz w:val="24"/>
                <w:szCs w:val="24"/>
              </w:rPr>
              <w:t>铺设</w:t>
            </w:r>
            <w:r>
              <w:rPr>
                <w:rFonts w:hint="eastAsia" w:cs="宋体"/>
                <w:sz w:val="24"/>
                <w:szCs w:val="24"/>
              </w:rPr>
              <w:t>布体，自然常温固化</w:t>
            </w:r>
            <w:r>
              <w:rPr>
                <w:rFonts w:cs="宋体"/>
                <w:sz w:val="24"/>
                <w:szCs w:val="24"/>
              </w:rPr>
              <w:t>后取下封头模具。</w:t>
            </w:r>
            <w:r>
              <w:rPr>
                <w:rFonts w:hint="eastAsia" w:cs="宋体"/>
                <w:sz w:val="24"/>
                <w:szCs w:val="24"/>
              </w:rPr>
              <w:t>该过程会产生</w:t>
            </w:r>
            <w:r>
              <w:rPr>
                <w:rFonts w:cs="宋体"/>
                <w:sz w:val="24"/>
                <w:szCs w:val="24"/>
              </w:rPr>
              <w:t>涂胶</w:t>
            </w:r>
            <w:r>
              <w:rPr>
                <w:rFonts w:hint="eastAsia" w:cs="宋体"/>
                <w:sz w:val="24"/>
                <w:szCs w:val="24"/>
              </w:rPr>
              <w:t>有机废气</w:t>
            </w:r>
            <w:r>
              <w:rPr>
                <w:sz w:val="24"/>
                <w:szCs w:val="24"/>
              </w:rPr>
              <w:t>（G</w:t>
            </w:r>
            <w:r>
              <w:rPr>
                <w:rFonts w:hint="eastAsia"/>
                <w:sz w:val="24"/>
                <w:szCs w:val="24"/>
                <w:vertAlign w:val="subscript"/>
              </w:rPr>
              <w:t>6</w:t>
            </w:r>
            <w:r>
              <w:rPr>
                <w:sz w:val="24"/>
                <w:szCs w:val="24"/>
              </w:rPr>
              <w:t>）</w:t>
            </w:r>
            <w:r>
              <w:rPr>
                <w:rFonts w:hint="eastAsia" w:cs="宋体"/>
                <w:sz w:val="24"/>
                <w:szCs w:val="24"/>
              </w:rPr>
              <w:t>、固化有机废气</w:t>
            </w:r>
            <w:r>
              <w:rPr>
                <w:sz w:val="24"/>
                <w:szCs w:val="24"/>
              </w:rPr>
              <w:t>（G</w:t>
            </w:r>
            <w:r>
              <w:rPr>
                <w:rFonts w:hint="eastAsia"/>
                <w:sz w:val="24"/>
                <w:szCs w:val="24"/>
                <w:vertAlign w:val="subscript"/>
              </w:rPr>
              <w:t>7</w:t>
            </w:r>
            <w:r>
              <w:rPr>
                <w:sz w:val="24"/>
                <w:szCs w:val="24"/>
              </w:rPr>
              <w:t>）</w:t>
            </w:r>
            <w:r>
              <w:rPr>
                <w:rFonts w:cs="宋体"/>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9 \* GB3</w:instrText>
            </w:r>
            <w:r>
              <w:rPr>
                <w:rFonts w:cs="宋体"/>
                <w:sz w:val="24"/>
                <w:szCs w:val="24"/>
              </w:rPr>
              <w:fldChar w:fldCharType="separate"/>
            </w:r>
            <w:r>
              <w:rPr>
                <w:rFonts w:hint="eastAsia" w:cs="宋体"/>
                <w:sz w:val="24"/>
                <w:szCs w:val="24"/>
              </w:rPr>
              <w:t>⑨</w:t>
            </w:r>
            <w:r>
              <w:rPr>
                <w:rFonts w:cs="宋体"/>
                <w:sz w:val="24"/>
                <w:szCs w:val="24"/>
              </w:rPr>
              <w:fldChar w:fldCharType="end"/>
            </w:r>
            <w:r>
              <w:rPr>
                <w:rFonts w:hint="eastAsia" w:cs="宋体"/>
                <w:sz w:val="24"/>
                <w:szCs w:val="24"/>
              </w:rPr>
              <w:t>打磨修整：项目封头和玻璃钢体封头连接处需进行打磨修整，封头切割打磨修整在封闭打磨室进行；</w:t>
            </w:r>
            <w:r>
              <w:rPr>
                <w:rFonts w:cs="宋体"/>
                <w:sz w:val="24"/>
                <w:szCs w:val="24"/>
              </w:rPr>
              <w:t>玻璃钢体</w:t>
            </w:r>
            <w:r>
              <w:rPr>
                <w:rFonts w:hint="eastAsia" w:cs="宋体"/>
                <w:sz w:val="24"/>
                <w:szCs w:val="24"/>
              </w:rPr>
              <w:t>由于体积较大，玻璃钢体</w:t>
            </w:r>
            <w:r>
              <w:rPr>
                <w:rFonts w:cs="宋体"/>
                <w:sz w:val="24"/>
                <w:szCs w:val="24"/>
              </w:rPr>
              <w:t>打磨</w:t>
            </w:r>
            <w:r>
              <w:rPr>
                <w:rFonts w:hint="eastAsia" w:cs="宋体"/>
                <w:sz w:val="24"/>
                <w:szCs w:val="24"/>
              </w:rPr>
              <w:t>修整在封闭车间内进行。该</w:t>
            </w:r>
            <w:r>
              <w:rPr>
                <w:rFonts w:cs="宋体"/>
                <w:sz w:val="24"/>
                <w:szCs w:val="24"/>
              </w:rPr>
              <w:t>过程会产生</w:t>
            </w:r>
            <w:r>
              <w:rPr>
                <w:rFonts w:hint="eastAsia" w:cs="宋体"/>
                <w:sz w:val="24"/>
                <w:szCs w:val="24"/>
              </w:rPr>
              <w:t>封头</w:t>
            </w:r>
            <w:r>
              <w:rPr>
                <w:rFonts w:cs="宋体"/>
                <w:sz w:val="24"/>
                <w:szCs w:val="24"/>
              </w:rPr>
              <w:t>打磨粉尘</w:t>
            </w:r>
            <w:r>
              <w:rPr>
                <w:sz w:val="24"/>
                <w:szCs w:val="24"/>
              </w:rPr>
              <w:t>（G</w:t>
            </w:r>
            <w:r>
              <w:rPr>
                <w:sz w:val="24"/>
                <w:szCs w:val="24"/>
                <w:vertAlign w:val="subscript"/>
              </w:rPr>
              <w:t>8</w:t>
            </w:r>
            <w:r>
              <w:rPr>
                <w:sz w:val="24"/>
                <w:szCs w:val="24"/>
              </w:rPr>
              <w:t>）</w:t>
            </w:r>
            <w:r>
              <w:rPr>
                <w:rFonts w:hint="eastAsia" w:cs="宋体"/>
                <w:sz w:val="24"/>
                <w:szCs w:val="24"/>
              </w:rPr>
              <w:t>、罐体</w:t>
            </w:r>
            <w:r>
              <w:rPr>
                <w:rFonts w:cs="宋体"/>
                <w:sz w:val="24"/>
                <w:szCs w:val="24"/>
              </w:rPr>
              <w:t>打磨粉尘</w:t>
            </w:r>
            <w:r>
              <w:rPr>
                <w:rFonts w:hint="eastAsia" w:cs="宋体"/>
                <w:sz w:val="24"/>
                <w:szCs w:val="24"/>
              </w:rPr>
              <w:t>（G</w:t>
            </w:r>
            <w:r>
              <w:rPr>
                <w:rFonts w:hint="eastAsia" w:cs="宋体"/>
                <w:sz w:val="24"/>
                <w:szCs w:val="24"/>
                <w:vertAlign w:val="subscript"/>
              </w:rPr>
              <w:t>9</w:t>
            </w:r>
            <w:r>
              <w:rPr>
                <w:rFonts w:hint="eastAsia" w:cs="宋体"/>
                <w:sz w:val="24"/>
                <w:szCs w:val="24"/>
              </w:rPr>
              <w:t>）、废边角料（S</w:t>
            </w:r>
            <w:r>
              <w:rPr>
                <w:rFonts w:hint="eastAsia" w:cs="宋体"/>
                <w:sz w:val="24"/>
                <w:szCs w:val="24"/>
                <w:vertAlign w:val="subscript"/>
              </w:rPr>
              <w:t>3</w:t>
            </w:r>
            <w:r>
              <w:rPr>
                <w:rFonts w:hint="eastAsia" w:cs="宋体"/>
                <w:sz w:val="24"/>
                <w:szCs w:val="24"/>
              </w:rPr>
              <w:t>）和</w:t>
            </w:r>
            <w:r>
              <w:rPr>
                <w:rFonts w:cs="宋体"/>
                <w:sz w:val="24"/>
                <w:szCs w:val="24"/>
              </w:rPr>
              <w:t>噪声</w:t>
            </w:r>
            <w:r>
              <w:rPr>
                <w:rFonts w:hint="eastAsia" w:cs="宋体"/>
                <w:sz w:val="24"/>
                <w:szCs w:val="24"/>
              </w:rPr>
              <w:t>（N）</w:t>
            </w:r>
            <w:r>
              <w:rPr>
                <w:rFonts w:cs="宋体"/>
                <w:sz w:val="24"/>
                <w:szCs w:val="24"/>
              </w:rPr>
              <w:t xml:space="preserve">。 </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10 \* GB3</w:instrText>
            </w:r>
            <w:r>
              <w:rPr>
                <w:rFonts w:cs="宋体"/>
                <w:sz w:val="24"/>
                <w:szCs w:val="24"/>
              </w:rPr>
              <w:fldChar w:fldCharType="separate"/>
            </w:r>
            <w:r>
              <w:rPr>
                <w:rFonts w:hint="eastAsia" w:cs="宋体"/>
                <w:sz w:val="24"/>
                <w:szCs w:val="24"/>
              </w:rPr>
              <w:t>⑩</w:t>
            </w:r>
            <w:r>
              <w:rPr>
                <w:rFonts w:cs="宋体"/>
                <w:sz w:val="24"/>
                <w:szCs w:val="24"/>
              </w:rPr>
              <w:fldChar w:fldCharType="end"/>
            </w:r>
            <w:r>
              <w:rPr>
                <w:rFonts w:cs="宋体"/>
                <w:sz w:val="24"/>
                <w:szCs w:val="24"/>
              </w:rPr>
              <w:t>组装</w:t>
            </w:r>
            <w:r>
              <w:rPr>
                <w:rFonts w:hint="eastAsia" w:cs="宋体"/>
                <w:sz w:val="24"/>
                <w:szCs w:val="24"/>
              </w:rPr>
              <w:t>：由于罐体体积较大，成品组装位于罐体制作区，</w:t>
            </w:r>
            <w:r>
              <w:rPr>
                <w:rFonts w:cs="宋体"/>
                <w:sz w:val="24"/>
                <w:szCs w:val="24"/>
              </w:rPr>
              <w:t>人工将</w:t>
            </w:r>
            <w:r>
              <w:rPr>
                <w:rFonts w:hint="eastAsia" w:cs="宋体"/>
                <w:sz w:val="24"/>
                <w:szCs w:val="24"/>
              </w:rPr>
              <w:t>制作完成的</w:t>
            </w:r>
            <w:r>
              <w:rPr>
                <w:rFonts w:cs="宋体"/>
                <w:sz w:val="24"/>
                <w:szCs w:val="24"/>
              </w:rPr>
              <w:t>封头</w:t>
            </w:r>
            <w:r>
              <w:rPr>
                <w:rFonts w:hint="eastAsia" w:cs="宋体"/>
                <w:sz w:val="24"/>
                <w:szCs w:val="24"/>
              </w:rPr>
              <w:t>和罐体采用白炭黑和配置好的胶液进行组装，完成成品。该过程会产生少量的有机废气</w:t>
            </w:r>
            <w:r>
              <w:rPr>
                <w:sz w:val="24"/>
                <w:szCs w:val="24"/>
              </w:rPr>
              <w:t>（G</w:t>
            </w:r>
            <w:r>
              <w:rPr>
                <w:sz w:val="24"/>
                <w:szCs w:val="24"/>
                <w:vertAlign w:val="subscript"/>
              </w:rPr>
              <w:t>10</w:t>
            </w:r>
            <w:r>
              <w:rPr>
                <w:sz w:val="24"/>
                <w:szCs w:val="24"/>
              </w:rPr>
              <w:t>）</w:t>
            </w:r>
            <w:r>
              <w:rPr>
                <w:rFonts w:hint="eastAsia" w:cs="宋体"/>
                <w:sz w:val="24"/>
                <w:szCs w:val="24"/>
              </w:rPr>
              <w:t>。</w:t>
            </w:r>
          </w:p>
          <w:p>
            <w:pPr>
              <w:tabs>
                <w:tab w:val="left" w:pos="851"/>
                <w:tab w:val="left" w:pos="1134"/>
                <w:tab w:val="left" w:pos="1276"/>
              </w:tabs>
              <w:adjustRightInd w:val="0"/>
              <w:snapToGrid w:val="0"/>
              <w:spacing w:line="360" w:lineRule="auto"/>
              <w:ind w:firstLine="480" w:firstLineChars="200"/>
              <w:rPr>
                <w:rFonts w:cs="宋体"/>
                <w:kern w:val="0"/>
                <w:sz w:val="24"/>
                <w:szCs w:val="24"/>
              </w:rPr>
            </w:pPr>
            <w:r>
              <w:rPr>
                <w:rFonts w:cs="宋体"/>
                <w:sz w:val="24"/>
                <w:szCs w:val="24"/>
              </w:rPr>
              <w:fldChar w:fldCharType="begin"/>
            </w:r>
            <w:r>
              <w:rPr>
                <w:rFonts w:hint="eastAsia" w:cs="宋体"/>
                <w:sz w:val="24"/>
                <w:szCs w:val="24"/>
              </w:rPr>
              <w:instrText xml:space="preserve">eq \o\ac(○,</w:instrText>
            </w:r>
            <w:r>
              <w:rPr>
                <w:rFonts w:hint="eastAsia" w:cs="宋体"/>
                <w:position w:val="3"/>
                <w:sz w:val="16"/>
                <w:szCs w:val="24"/>
              </w:rPr>
              <w:instrText xml:space="preserve">11</w:instrText>
            </w:r>
            <w:r>
              <w:rPr>
                <w:rFonts w:hint="eastAsia" w:cs="宋体"/>
                <w:sz w:val="24"/>
                <w:szCs w:val="24"/>
              </w:rPr>
              <w:instrText xml:space="preserve">)</w:instrText>
            </w:r>
            <w:r>
              <w:rPr>
                <w:rFonts w:cs="宋体"/>
                <w:sz w:val="24"/>
                <w:szCs w:val="24"/>
              </w:rPr>
              <w:fldChar w:fldCharType="end"/>
            </w:r>
            <w:r>
              <w:rPr>
                <w:rFonts w:hint="eastAsia" w:cs="宋体"/>
                <w:sz w:val="24"/>
                <w:szCs w:val="24"/>
              </w:rPr>
              <w:t>检验：</w:t>
            </w:r>
            <w:r>
              <w:rPr>
                <w:rFonts w:hint="eastAsia" w:cs="宋体"/>
                <w:kern w:val="0"/>
                <w:sz w:val="24"/>
                <w:szCs w:val="24"/>
              </w:rPr>
              <w:t>为保证产品质量，平均每天会抽取1—2储罐采用自来水进行灌注密封性检验，产品密封性检验水循环使用，不外排。</w:t>
            </w:r>
          </w:p>
          <w:p>
            <w:pPr>
              <w:tabs>
                <w:tab w:val="left" w:pos="851"/>
                <w:tab w:val="left" w:pos="1134"/>
                <w:tab w:val="left" w:pos="1276"/>
              </w:tabs>
              <w:adjustRightInd w:val="0"/>
              <w:snapToGrid w:val="0"/>
              <w:spacing w:line="360" w:lineRule="auto"/>
              <w:jc w:val="left"/>
              <w:rPr>
                <w:sz w:val="24"/>
                <w:szCs w:val="24"/>
              </w:rPr>
            </w:pPr>
            <w:r>
              <w:rPr>
                <w:rFonts w:hint="eastAsia" w:cs="宋体"/>
                <w:sz w:val="24"/>
                <w:szCs w:val="24"/>
              </w:rPr>
              <w:t>（2）项目</w:t>
            </w:r>
            <w:r>
              <w:rPr>
                <w:rFonts w:cs="宋体"/>
                <w:sz w:val="24"/>
                <w:szCs w:val="24"/>
              </w:rPr>
              <w:t>物料平衡</w:t>
            </w:r>
            <w:r>
              <w:rPr>
                <w:rFonts w:hint="eastAsia"/>
                <w:sz w:val="24"/>
                <w:szCs w:val="24"/>
              </w:rPr>
              <w:t>。</w:t>
            </w:r>
          </w:p>
          <w:p>
            <w:pPr>
              <w:adjustRightInd w:val="0"/>
              <w:snapToGrid w:val="0"/>
              <w:spacing w:line="360" w:lineRule="auto"/>
              <w:ind w:firstLine="480" w:firstLineChars="200"/>
              <w:rPr>
                <w:bCs/>
                <w:sz w:val="24"/>
              </w:rPr>
            </w:pPr>
            <w:r>
              <w:rPr>
                <w:bCs/>
                <w:sz w:val="24"/>
              </w:rPr>
              <w:t>本项目平衡情况见下表。</w:t>
            </w:r>
          </w:p>
          <w:p>
            <w:pPr>
              <w:pStyle w:val="2"/>
              <w:jc w:val="center"/>
              <w:rPr>
                <w:rFonts w:ascii="Times New Roman" w:hAnsi="Times New Roman"/>
                <w:b/>
                <w:sz w:val="21"/>
              </w:rPr>
            </w:pPr>
            <w:r>
              <w:rPr>
                <w:rFonts w:ascii="Times New Roman" w:hAnsi="Times New Roman"/>
                <w:b/>
                <w:sz w:val="21"/>
              </w:rPr>
              <w:t>表2-</w:t>
            </w:r>
            <w:r>
              <w:rPr>
                <w:rFonts w:hint="eastAsia" w:ascii="Times New Roman" w:hAnsi="Times New Roman"/>
                <w:b/>
                <w:sz w:val="21"/>
              </w:rPr>
              <w:t>7  复合玻璃纤维储罐物</w:t>
            </w:r>
            <w:r>
              <w:rPr>
                <w:rFonts w:ascii="Times New Roman" w:hAnsi="Times New Roman"/>
                <w:b/>
                <w:sz w:val="21"/>
              </w:rPr>
              <w:t>料平衡表</w:t>
            </w:r>
            <w:r>
              <w:rPr>
                <w:rFonts w:hint="eastAsia" w:ascii="Times New Roman" w:hAnsi="Times New Roman"/>
                <w:b/>
                <w:sz w:val="21"/>
              </w:rPr>
              <w:t xml:space="preserve">  </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69"/>
              <w:gridCol w:w="1537"/>
              <w:gridCol w:w="1011"/>
              <w:gridCol w:w="1573"/>
              <w:gridCol w:w="176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196" w:type="pct"/>
                  <w:gridSpan w:val="2"/>
                  <w:tcBorders>
                    <w:top w:val="single" w:color="auto" w:sz="6" w:space="0"/>
                    <w:left w:val="single" w:color="auto" w:sz="4" w:space="0"/>
                    <w:bottom w:val="single" w:color="auto" w:sz="4" w:space="0"/>
                    <w:right w:val="single" w:color="auto" w:sz="4" w:space="0"/>
                  </w:tcBorders>
                  <w:vAlign w:val="center"/>
                </w:tcPr>
                <w:p>
                  <w:pPr>
                    <w:adjustRightInd w:val="0"/>
                    <w:snapToGrid w:val="0"/>
                    <w:jc w:val="center"/>
                    <w:rPr>
                      <w:b/>
                      <w:kern w:val="0"/>
                    </w:rPr>
                  </w:pPr>
                  <w:r>
                    <w:rPr>
                      <w:b/>
                      <w:kern w:val="0"/>
                    </w:rPr>
                    <w:t>投入</w:t>
                  </w:r>
                </w:p>
              </w:tc>
              <w:tc>
                <w:tcPr>
                  <w:tcW w:w="2804" w:type="pct"/>
                  <w:gridSpan w:val="3"/>
                  <w:tcBorders>
                    <w:top w:val="single" w:color="auto" w:sz="6" w:space="0"/>
                    <w:left w:val="single" w:color="auto" w:sz="4" w:space="0"/>
                    <w:bottom w:val="single" w:color="auto" w:sz="4" w:space="0"/>
                    <w:right w:val="single" w:color="auto" w:sz="6" w:space="0"/>
                  </w:tcBorders>
                  <w:vAlign w:val="center"/>
                </w:tcPr>
                <w:p>
                  <w:pPr>
                    <w:widowControl/>
                    <w:adjustRightInd w:val="0"/>
                    <w:snapToGrid w:val="0"/>
                    <w:jc w:val="center"/>
                    <w:rPr>
                      <w:b/>
                      <w:kern w:val="0"/>
                    </w:rPr>
                  </w:pPr>
                  <w:r>
                    <w:rPr>
                      <w:b/>
                      <w:kern w:val="0"/>
                    </w:rPr>
                    <w:t>产出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 w:hRule="atLeast"/>
                <w:jc w:val="center"/>
              </w:trPr>
              <w:tc>
                <w:tcPr>
                  <w:tcW w:w="1205" w:type="pct"/>
                  <w:tcBorders>
                    <w:top w:val="single" w:color="auto" w:sz="4" w:space="0"/>
                    <w:left w:val="single" w:color="auto" w:sz="4" w:space="0"/>
                    <w:right w:val="single" w:color="auto" w:sz="4" w:space="0"/>
                  </w:tcBorders>
                  <w:vAlign w:val="center"/>
                </w:tcPr>
                <w:p>
                  <w:pPr>
                    <w:widowControl/>
                    <w:jc w:val="center"/>
                    <w:rPr>
                      <w:b/>
                      <w:kern w:val="0"/>
                    </w:rPr>
                  </w:pPr>
                  <w:r>
                    <w:rPr>
                      <w:rFonts w:hint="eastAsia"/>
                      <w:b/>
                      <w:kern w:val="0"/>
                    </w:rPr>
                    <w:t>名称</w:t>
                  </w:r>
                </w:p>
              </w:tc>
              <w:tc>
                <w:tcPr>
                  <w:tcW w:w="991" w:type="pct"/>
                  <w:tcBorders>
                    <w:top w:val="single" w:color="auto" w:sz="4" w:space="0"/>
                    <w:left w:val="single" w:color="auto" w:sz="4" w:space="0"/>
                    <w:right w:val="single" w:color="auto" w:sz="4" w:space="0"/>
                  </w:tcBorders>
                  <w:vAlign w:val="center"/>
                </w:tcPr>
                <w:p>
                  <w:pPr>
                    <w:widowControl/>
                    <w:jc w:val="center"/>
                    <w:rPr>
                      <w:b/>
                      <w:kern w:val="0"/>
                    </w:rPr>
                  </w:pPr>
                  <w:r>
                    <w:rPr>
                      <w:rFonts w:hint="eastAsia"/>
                      <w:b/>
                      <w:kern w:val="0"/>
                    </w:rPr>
                    <w:t>数量（t/a）</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b/>
                      <w:kern w:val="0"/>
                    </w:rPr>
                  </w:pPr>
                  <w:r>
                    <w:rPr>
                      <w:rFonts w:hint="eastAsia"/>
                      <w:b/>
                      <w:kern w:val="0"/>
                    </w:rPr>
                    <w:t>名称</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b/>
                      <w:kern w:val="0"/>
                    </w:rPr>
                  </w:pPr>
                  <w:r>
                    <w:rPr>
                      <w:rFonts w:hint="eastAsia"/>
                      <w:b/>
                      <w:kern w:val="0"/>
                    </w:rPr>
                    <w:t>数量（t/a）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rPr>
                    <w:t>不饱和聚酯树脂</w:t>
                  </w:r>
                </w:p>
              </w:tc>
              <w:tc>
                <w:tcPr>
                  <w:tcW w:w="991" w:type="pct"/>
                  <w:tcBorders>
                    <w:top w:val="single" w:color="auto" w:sz="4" w:space="0"/>
                    <w:left w:val="single" w:color="auto" w:sz="4" w:space="0"/>
                    <w:right w:val="single" w:color="auto" w:sz="4" w:space="0"/>
                  </w:tcBorders>
                  <w:vAlign w:val="center"/>
                </w:tcPr>
                <w:p>
                  <w:pPr>
                    <w:jc w:val="center"/>
                  </w:pPr>
                  <w:r>
                    <w:rPr>
                      <w:rFonts w:hint="eastAsia"/>
                    </w:rPr>
                    <w:t>459.36</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r>
                    <w:rPr>
                      <w:rFonts w:hint="eastAsia"/>
                      <w:kern w:val="0"/>
                    </w:rPr>
                    <w:t>复合玻璃纤维储罐</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1100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玻璃纤维</w:t>
                  </w:r>
                </w:p>
              </w:tc>
              <w:tc>
                <w:tcPr>
                  <w:tcW w:w="991" w:type="pct"/>
                  <w:vMerge w:val="restart"/>
                  <w:tcBorders>
                    <w:top w:val="single" w:color="auto" w:sz="4" w:space="0"/>
                    <w:left w:val="single" w:color="auto" w:sz="4" w:space="0"/>
                    <w:right w:val="single" w:color="auto" w:sz="4" w:space="0"/>
                  </w:tcBorders>
                  <w:vAlign w:val="center"/>
                </w:tcPr>
                <w:p>
                  <w:pPr>
                    <w:jc w:val="center"/>
                  </w:pPr>
                  <w:r>
                    <w:rPr>
                      <w:rFonts w:hint="eastAsia"/>
                    </w:rPr>
                    <w:t>460.67</w:t>
                  </w:r>
                </w:p>
              </w:tc>
              <w:tc>
                <w:tcPr>
                  <w:tcW w:w="652" w:type="pct"/>
                  <w:vMerge w:val="restart"/>
                  <w:tcBorders>
                    <w:top w:val="single" w:color="auto" w:sz="4" w:space="0"/>
                    <w:left w:val="single" w:color="auto" w:sz="4" w:space="0"/>
                    <w:right w:val="single" w:color="auto" w:sz="4" w:space="0"/>
                  </w:tcBorders>
                  <w:vAlign w:val="center"/>
                </w:tcPr>
                <w:p>
                  <w:pPr>
                    <w:widowControl/>
                    <w:jc w:val="center"/>
                    <w:rPr>
                      <w:kern w:val="0"/>
                    </w:rPr>
                  </w:pPr>
                  <w:r>
                    <w:rPr>
                      <w:rFonts w:hint="eastAsia"/>
                      <w:kern w:val="0"/>
                    </w:rPr>
                    <w:t>有机废气</w:t>
                  </w:r>
                </w:p>
              </w:tc>
              <w:tc>
                <w:tcPr>
                  <w:tcW w:w="1014" w:type="pct"/>
                  <w:tcBorders>
                    <w:top w:val="single" w:color="auto" w:sz="4" w:space="0"/>
                    <w:left w:val="single" w:color="auto" w:sz="4" w:space="0"/>
                    <w:right w:val="single" w:color="auto" w:sz="4" w:space="0"/>
                  </w:tcBorders>
                  <w:vAlign w:val="center"/>
                </w:tcPr>
                <w:p>
                  <w:pPr>
                    <w:widowControl/>
                    <w:jc w:val="center"/>
                    <w:rPr>
                      <w:kern w:val="0"/>
                    </w:rPr>
                  </w:pPr>
                  <w:r>
                    <w:rPr>
                      <w:rFonts w:hint="eastAsia"/>
                      <w:kern w:val="0"/>
                    </w:rPr>
                    <w:t>有组织产生量</w:t>
                  </w:r>
                </w:p>
              </w:tc>
              <w:tc>
                <w:tcPr>
                  <w:tcW w:w="1138" w:type="pct"/>
                  <w:tcBorders>
                    <w:top w:val="single" w:color="auto" w:sz="4" w:space="0"/>
                    <w:left w:val="single" w:color="auto" w:sz="4" w:space="0"/>
                    <w:right w:val="single" w:color="auto" w:sz="6" w:space="0"/>
                  </w:tcBorders>
                  <w:vAlign w:val="center"/>
                </w:tcPr>
                <w:p>
                  <w:pPr>
                    <w:widowControl/>
                    <w:jc w:val="center"/>
                    <w:rPr>
                      <w:kern w:val="0"/>
                    </w:rPr>
                  </w:pPr>
                  <w:r>
                    <w:rPr>
                      <w:rFonts w:hint="eastAsia"/>
                      <w:kern w:val="0"/>
                    </w:rPr>
                    <w:t>6.35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vMerge w:val="continue"/>
                  <w:tcBorders>
                    <w:left w:val="single" w:color="auto" w:sz="4" w:space="0"/>
                    <w:right w:val="single" w:color="auto" w:sz="4" w:space="0"/>
                  </w:tcBorders>
                  <w:vAlign w:val="center"/>
                </w:tcPr>
                <w:p>
                  <w:pPr>
                    <w:adjustRightInd w:val="0"/>
                    <w:snapToGrid w:val="0"/>
                    <w:jc w:val="center"/>
                  </w:pPr>
                </w:p>
              </w:tc>
              <w:tc>
                <w:tcPr>
                  <w:tcW w:w="991" w:type="pct"/>
                  <w:vMerge w:val="continue"/>
                  <w:tcBorders>
                    <w:left w:val="single" w:color="auto" w:sz="4" w:space="0"/>
                    <w:right w:val="single" w:color="auto" w:sz="4" w:space="0"/>
                  </w:tcBorders>
                  <w:vAlign w:val="center"/>
                </w:tcPr>
                <w:p>
                  <w:pPr>
                    <w:adjustRightInd w:val="0"/>
                    <w:snapToGrid w:val="0"/>
                    <w:jc w:val="center"/>
                  </w:pPr>
                </w:p>
              </w:tc>
              <w:tc>
                <w:tcPr>
                  <w:tcW w:w="652" w:type="pct"/>
                  <w:vMerge w:val="continue"/>
                  <w:tcBorders>
                    <w:left w:val="single" w:color="auto" w:sz="4" w:space="0"/>
                    <w:right w:val="single" w:color="auto" w:sz="4" w:space="0"/>
                  </w:tcBorders>
                  <w:vAlign w:val="center"/>
                </w:tcPr>
                <w:p>
                  <w:pPr>
                    <w:widowControl/>
                    <w:jc w:val="center"/>
                    <w:rPr>
                      <w:kern w:val="0"/>
                    </w:rPr>
                  </w:pPr>
                </w:p>
              </w:tc>
              <w:tc>
                <w:tcPr>
                  <w:tcW w:w="1014" w:type="pct"/>
                  <w:tcBorders>
                    <w:top w:val="single" w:color="auto" w:sz="4" w:space="0"/>
                    <w:left w:val="single" w:color="auto" w:sz="4" w:space="0"/>
                    <w:right w:val="single" w:color="auto" w:sz="4" w:space="0"/>
                  </w:tcBorders>
                  <w:vAlign w:val="center"/>
                </w:tcPr>
                <w:p>
                  <w:pPr>
                    <w:widowControl/>
                    <w:jc w:val="center"/>
                    <w:rPr>
                      <w:kern w:val="0"/>
                    </w:rPr>
                  </w:pPr>
                  <w:r>
                    <w:rPr>
                      <w:rFonts w:hint="eastAsia"/>
                      <w:kern w:val="0"/>
                    </w:rPr>
                    <w:t>无组织产生量</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0.72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vMerge w:val="restart"/>
                  <w:tcBorders>
                    <w:top w:val="single" w:color="auto" w:sz="4" w:space="0"/>
                    <w:left w:val="single" w:color="auto" w:sz="4" w:space="0"/>
                    <w:right w:val="single" w:color="auto" w:sz="4" w:space="0"/>
                  </w:tcBorders>
                  <w:vAlign w:val="center"/>
                </w:tcPr>
                <w:p>
                  <w:pPr>
                    <w:adjustRightInd w:val="0"/>
                    <w:snapToGrid w:val="0"/>
                    <w:jc w:val="center"/>
                    <w:rPr>
                      <w:rFonts w:cs="宋体"/>
                    </w:rPr>
                  </w:pPr>
                  <w:r>
                    <w:rPr>
                      <w:rFonts w:hint="eastAsia"/>
                    </w:rPr>
                    <w:t>促进剂</w:t>
                  </w:r>
                </w:p>
              </w:tc>
              <w:tc>
                <w:tcPr>
                  <w:tcW w:w="991" w:type="pct"/>
                  <w:vMerge w:val="restart"/>
                  <w:tcBorders>
                    <w:top w:val="single" w:color="auto" w:sz="4" w:space="0"/>
                    <w:left w:val="single" w:color="auto" w:sz="4" w:space="0"/>
                    <w:right w:val="single" w:color="auto" w:sz="4" w:space="0"/>
                  </w:tcBorders>
                  <w:vAlign w:val="center"/>
                </w:tcPr>
                <w:p>
                  <w:pPr>
                    <w:jc w:val="center"/>
                  </w:pPr>
                  <w:r>
                    <w:rPr>
                      <w:rFonts w:hint="eastAsia"/>
                    </w:rPr>
                    <w:t>6.85</w:t>
                  </w:r>
                </w:p>
              </w:tc>
              <w:tc>
                <w:tcPr>
                  <w:tcW w:w="652" w:type="pct"/>
                  <w:vMerge w:val="restart"/>
                  <w:tcBorders>
                    <w:top w:val="single" w:color="auto" w:sz="4" w:space="0"/>
                    <w:left w:val="single" w:color="auto" w:sz="4" w:space="0"/>
                    <w:right w:val="single" w:color="auto" w:sz="4" w:space="0"/>
                  </w:tcBorders>
                  <w:vAlign w:val="center"/>
                </w:tcPr>
                <w:p>
                  <w:pPr>
                    <w:jc w:val="center"/>
                    <w:rPr>
                      <w:kern w:val="0"/>
                    </w:rPr>
                  </w:pPr>
                  <w:r>
                    <w:rPr>
                      <w:rFonts w:hint="eastAsia" w:cs="宋体"/>
                    </w:rPr>
                    <w:t>粉尘</w:t>
                  </w:r>
                </w:p>
              </w:tc>
              <w:tc>
                <w:tcPr>
                  <w:tcW w:w="1014" w:type="pct"/>
                  <w:tcBorders>
                    <w:top w:val="single" w:color="auto" w:sz="4" w:space="0"/>
                    <w:left w:val="single" w:color="auto" w:sz="4" w:space="0"/>
                    <w:right w:val="single" w:color="auto" w:sz="4" w:space="0"/>
                  </w:tcBorders>
                  <w:vAlign w:val="center"/>
                </w:tcPr>
                <w:p>
                  <w:pPr>
                    <w:widowControl/>
                    <w:jc w:val="center"/>
                    <w:rPr>
                      <w:kern w:val="0"/>
                    </w:rPr>
                  </w:pPr>
                  <w:r>
                    <w:rPr>
                      <w:rFonts w:hint="eastAsia"/>
                      <w:kern w:val="0"/>
                    </w:rPr>
                    <w:t>有组织产生量</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0.46</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vMerge w:val="continue"/>
                  <w:tcBorders>
                    <w:left w:val="single" w:color="auto" w:sz="4" w:space="0"/>
                    <w:right w:val="single" w:color="auto" w:sz="4" w:space="0"/>
                  </w:tcBorders>
                  <w:vAlign w:val="center"/>
                </w:tcPr>
                <w:p>
                  <w:pPr>
                    <w:adjustRightInd w:val="0"/>
                    <w:snapToGrid w:val="0"/>
                    <w:jc w:val="center"/>
                    <w:rPr>
                      <w:rFonts w:cs="宋体"/>
                    </w:rPr>
                  </w:pPr>
                </w:p>
              </w:tc>
              <w:tc>
                <w:tcPr>
                  <w:tcW w:w="991" w:type="pct"/>
                  <w:vMerge w:val="continue"/>
                  <w:tcBorders>
                    <w:left w:val="single" w:color="auto" w:sz="4" w:space="0"/>
                    <w:right w:val="single" w:color="auto" w:sz="4" w:space="0"/>
                  </w:tcBorders>
                  <w:vAlign w:val="center"/>
                </w:tcPr>
                <w:p>
                  <w:pPr>
                    <w:jc w:val="center"/>
                  </w:pPr>
                </w:p>
              </w:tc>
              <w:tc>
                <w:tcPr>
                  <w:tcW w:w="652" w:type="pct"/>
                  <w:vMerge w:val="continue"/>
                  <w:tcBorders>
                    <w:left w:val="single" w:color="auto" w:sz="4" w:space="0"/>
                    <w:right w:val="single" w:color="auto" w:sz="4" w:space="0"/>
                  </w:tcBorders>
                  <w:vAlign w:val="center"/>
                </w:tcPr>
                <w:p>
                  <w:pPr>
                    <w:widowControl/>
                    <w:jc w:val="center"/>
                    <w:rPr>
                      <w:kern w:val="0"/>
                    </w:rPr>
                  </w:pPr>
                </w:p>
              </w:tc>
              <w:tc>
                <w:tcPr>
                  <w:tcW w:w="1014" w:type="pct"/>
                  <w:tcBorders>
                    <w:top w:val="single" w:color="auto" w:sz="4" w:space="0"/>
                    <w:left w:val="single" w:color="auto" w:sz="4" w:space="0"/>
                    <w:right w:val="single" w:color="auto" w:sz="4" w:space="0"/>
                  </w:tcBorders>
                  <w:vAlign w:val="center"/>
                </w:tcPr>
                <w:p>
                  <w:pPr>
                    <w:widowControl/>
                    <w:jc w:val="center"/>
                    <w:rPr>
                      <w:kern w:val="0"/>
                    </w:rPr>
                  </w:pPr>
                  <w:r>
                    <w:rPr>
                      <w:rFonts w:hint="eastAsia"/>
                      <w:kern w:val="0"/>
                    </w:rPr>
                    <w:t>无组织产生量</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3.39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right w:val="single" w:color="auto" w:sz="4" w:space="0"/>
                  </w:tcBorders>
                  <w:vAlign w:val="center"/>
                </w:tcPr>
                <w:p>
                  <w:pPr>
                    <w:adjustRightInd w:val="0"/>
                    <w:snapToGrid w:val="0"/>
                    <w:jc w:val="center"/>
                    <w:rPr>
                      <w:rFonts w:cs="宋体"/>
                    </w:rPr>
                  </w:pPr>
                  <w:r>
                    <w:rPr>
                      <w:rFonts w:hint="eastAsia" w:cs="宋体"/>
                    </w:rPr>
                    <w:t>固化剂</w:t>
                  </w:r>
                </w:p>
              </w:tc>
              <w:tc>
                <w:tcPr>
                  <w:tcW w:w="991" w:type="pct"/>
                  <w:tcBorders>
                    <w:top w:val="single" w:color="auto" w:sz="4" w:space="0"/>
                    <w:left w:val="single" w:color="auto" w:sz="4" w:space="0"/>
                    <w:right w:val="single" w:color="auto" w:sz="4" w:space="0"/>
                  </w:tcBorders>
                  <w:vAlign w:val="center"/>
                </w:tcPr>
                <w:p>
                  <w:pPr>
                    <w:jc w:val="center"/>
                  </w:pPr>
                  <w:r>
                    <w:rPr>
                      <w:rFonts w:hint="eastAsia"/>
                    </w:rPr>
                    <w:t>12.14</w:t>
                  </w:r>
                </w:p>
              </w:tc>
              <w:tc>
                <w:tcPr>
                  <w:tcW w:w="1666" w:type="pct"/>
                  <w:gridSpan w:val="2"/>
                  <w:tcBorders>
                    <w:top w:val="single" w:color="auto" w:sz="4" w:space="0"/>
                    <w:left w:val="single" w:color="auto" w:sz="4" w:space="0"/>
                    <w:right w:val="single" w:color="auto" w:sz="4" w:space="0"/>
                  </w:tcBorders>
                  <w:vAlign w:val="center"/>
                </w:tcPr>
                <w:p>
                  <w:pPr>
                    <w:widowControl/>
                    <w:jc w:val="center"/>
                    <w:rPr>
                      <w:kern w:val="0"/>
                    </w:rPr>
                  </w:pPr>
                  <w:r>
                    <w:rPr>
                      <w:rFonts w:hint="eastAsia" w:cs="宋体"/>
                    </w:rPr>
                    <w:t>废聚酯膜</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聚酯薄膜</w:t>
                  </w:r>
                </w:p>
              </w:tc>
              <w:tc>
                <w:tcPr>
                  <w:tcW w:w="991" w:type="pct"/>
                  <w:tcBorders>
                    <w:left w:val="single" w:color="auto" w:sz="4" w:space="0"/>
                    <w:bottom w:val="single" w:color="auto" w:sz="4" w:space="0"/>
                    <w:right w:val="single" w:color="auto" w:sz="4" w:space="0"/>
                  </w:tcBorders>
                  <w:vAlign w:val="center"/>
                </w:tcPr>
                <w:p>
                  <w:pPr>
                    <w:jc w:val="center"/>
                  </w:pPr>
                  <w:r>
                    <w:rPr>
                      <w:rFonts w:hint="eastAsia"/>
                    </w:rPr>
                    <w:t>5.15</w:t>
                  </w:r>
                </w:p>
              </w:tc>
              <w:tc>
                <w:tcPr>
                  <w:tcW w:w="1666" w:type="pct"/>
                  <w:gridSpan w:val="2"/>
                  <w:tcBorders>
                    <w:left w:val="single" w:color="auto" w:sz="4" w:space="0"/>
                    <w:bottom w:val="single" w:color="auto" w:sz="4" w:space="0"/>
                    <w:right w:val="single" w:color="auto" w:sz="4" w:space="0"/>
                  </w:tcBorders>
                  <w:vAlign w:val="center"/>
                </w:tcPr>
                <w:p>
                  <w:pPr>
                    <w:widowControl/>
                    <w:jc w:val="center"/>
                    <w:rPr>
                      <w:kern w:val="0"/>
                    </w:rPr>
                  </w:pPr>
                  <w:r>
                    <w:rPr>
                      <w:rFonts w:hint="eastAsia" w:cs="宋体"/>
                    </w:rPr>
                    <w:t>废边角料</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r>
                    <w:rPr>
                      <w:rFonts w:hint="eastAsia"/>
                      <w:kern w:val="0"/>
                    </w:rPr>
                    <w:t>10.21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针织毡</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25.08</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表面毡</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1.89</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网格布</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5.71</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短切毡</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35.83</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600布</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105.33</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白炭黑</w:t>
                  </w:r>
                </w:p>
              </w:tc>
              <w:tc>
                <w:tcPr>
                  <w:tcW w:w="991"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3.62</w:t>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rPr>
                  </w:pP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kern w:val="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20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b/>
                    </w:rPr>
                  </w:pPr>
                  <w:r>
                    <w:rPr>
                      <w:b/>
                      <w:kern w:val="0"/>
                    </w:rPr>
                    <w:t>合计</w:t>
                  </w:r>
                </w:p>
              </w:tc>
              <w:tc>
                <w:tcPr>
                  <w:tcW w:w="991" w:type="pct"/>
                  <w:tcBorders>
                    <w:top w:val="single" w:color="auto" w:sz="4" w:space="0"/>
                    <w:left w:val="single" w:color="auto" w:sz="4" w:space="0"/>
                    <w:bottom w:val="single" w:color="auto" w:sz="4" w:space="0"/>
                    <w:right w:val="single" w:color="auto" w:sz="4" w:space="0"/>
                  </w:tcBorders>
                  <w:vAlign w:val="center"/>
                </w:tcPr>
                <w:p>
                  <w:pPr>
                    <w:widowControl/>
                    <w:jc w:val="center"/>
                    <w:rPr>
                      <w:b/>
                      <w:kern w:val="0"/>
                    </w:rPr>
                  </w:pPr>
                  <w:r>
                    <w:rPr>
                      <w:b/>
                      <w:kern w:val="0"/>
                    </w:rPr>
                    <w:fldChar w:fldCharType="begin"/>
                  </w:r>
                  <w:r>
                    <w:rPr>
                      <w:b/>
                      <w:kern w:val="0"/>
                    </w:rPr>
                    <w:instrText xml:space="preserve"> =SUM(ABOVE) </w:instrText>
                  </w:r>
                  <w:r>
                    <w:rPr>
                      <w:b/>
                      <w:kern w:val="0"/>
                    </w:rPr>
                    <w:fldChar w:fldCharType="separate"/>
                  </w:r>
                  <w:r>
                    <w:rPr>
                      <w:b/>
                      <w:kern w:val="0"/>
                    </w:rPr>
                    <w:t>1121.6</w:t>
                  </w:r>
                  <w:r>
                    <w:rPr>
                      <w:rFonts w:hint="eastAsia"/>
                      <w:b/>
                      <w:kern w:val="0"/>
                    </w:rPr>
                    <w:t>3</w:t>
                  </w:r>
                  <w:r>
                    <w:rPr>
                      <w:b/>
                      <w:kern w:val="0"/>
                    </w:rPr>
                    <w:fldChar w:fldCharType="end"/>
                  </w:r>
                </w:p>
              </w:tc>
              <w:tc>
                <w:tcPr>
                  <w:tcW w:w="1666" w:type="pct"/>
                  <w:gridSpan w:val="2"/>
                  <w:tcBorders>
                    <w:top w:val="single" w:color="auto" w:sz="4" w:space="0"/>
                    <w:left w:val="single" w:color="auto" w:sz="4" w:space="0"/>
                    <w:bottom w:val="single" w:color="auto" w:sz="4" w:space="0"/>
                    <w:right w:val="single" w:color="auto" w:sz="4" w:space="0"/>
                  </w:tcBorders>
                  <w:vAlign w:val="center"/>
                </w:tcPr>
                <w:p>
                  <w:pPr>
                    <w:widowControl/>
                    <w:jc w:val="center"/>
                    <w:rPr>
                      <w:b/>
                      <w:kern w:val="0"/>
                    </w:rPr>
                  </w:pPr>
                  <w:r>
                    <w:rPr>
                      <w:b/>
                      <w:kern w:val="0"/>
                    </w:rPr>
                    <w:t>合计</w:t>
                  </w:r>
                </w:p>
              </w:tc>
              <w:tc>
                <w:tcPr>
                  <w:tcW w:w="1138" w:type="pct"/>
                  <w:tcBorders>
                    <w:top w:val="single" w:color="auto" w:sz="4" w:space="0"/>
                    <w:left w:val="single" w:color="auto" w:sz="4" w:space="0"/>
                    <w:bottom w:val="single" w:color="auto" w:sz="4" w:space="0"/>
                    <w:right w:val="single" w:color="auto" w:sz="6" w:space="0"/>
                  </w:tcBorders>
                  <w:vAlign w:val="center"/>
                </w:tcPr>
                <w:p>
                  <w:pPr>
                    <w:widowControl/>
                    <w:jc w:val="center"/>
                    <w:rPr>
                      <w:b/>
                      <w:kern w:val="0"/>
                    </w:rPr>
                  </w:pPr>
                  <w:r>
                    <w:rPr>
                      <w:b/>
                      <w:kern w:val="0"/>
                    </w:rPr>
                    <w:fldChar w:fldCharType="begin"/>
                  </w:r>
                  <w:r>
                    <w:rPr>
                      <w:b/>
                      <w:kern w:val="0"/>
                    </w:rPr>
                    <w:instrText xml:space="preserve"> =SUM(ABOVE) </w:instrText>
                  </w:r>
                  <w:r>
                    <w:rPr>
                      <w:b/>
                      <w:kern w:val="0"/>
                    </w:rPr>
                    <w:fldChar w:fldCharType="separate"/>
                  </w:r>
                  <w:r>
                    <w:rPr>
                      <w:b/>
                      <w:kern w:val="0"/>
                    </w:rPr>
                    <w:t>1121.63</w:t>
                  </w:r>
                  <w:r>
                    <w:rPr>
                      <w:b/>
                      <w:kern w:val="0"/>
                    </w:rPr>
                    <w:fldChar w:fldCharType="end"/>
                  </w:r>
                </w:p>
              </w:tc>
            </w:tr>
          </w:tbl>
          <w:p>
            <w:pPr>
              <w:tabs>
                <w:tab w:val="left" w:pos="851"/>
                <w:tab w:val="left" w:pos="1134"/>
                <w:tab w:val="left" w:pos="1276"/>
              </w:tabs>
              <w:adjustRightInd w:val="0"/>
              <w:snapToGrid w:val="0"/>
              <w:spacing w:line="360" w:lineRule="auto"/>
              <w:jc w:val="left"/>
              <w:rPr>
                <w:sz w:val="24"/>
                <w:szCs w:val="24"/>
              </w:rPr>
            </w:pPr>
            <w:r>
              <w:rPr>
                <w:rFonts w:hint="eastAsia" w:cs="宋体"/>
                <w:sz w:val="24"/>
                <w:szCs w:val="24"/>
              </w:rPr>
              <w:t>（3）项目污染物类别及产污工序情况</w:t>
            </w:r>
            <w:r>
              <w:rPr>
                <w:rFonts w:hint="eastAsia"/>
                <w:sz w:val="24"/>
                <w:szCs w:val="24"/>
              </w:rPr>
              <w:t>。</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hint="eastAsia" w:cs="宋体"/>
                <w:sz w:val="24"/>
                <w:szCs w:val="24"/>
              </w:rPr>
              <w:t>项目生产产生的有机废气主要是使用的不饱和聚酯树脂（含</w:t>
            </w:r>
            <w:r>
              <w:rPr>
                <w:rFonts w:hint="eastAsia" w:cs="宋体"/>
                <w:bCs/>
                <w:sz w:val="24"/>
                <w:szCs w:val="24"/>
              </w:rPr>
              <w:t>5%的苯乙烯含量</w:t>
            </w:r>
            <w:r>
              <w:rPr>
                <w:rFonts w:hint="eastAsia" w:cs="宋体"/>
                <w:sz w:val="24"/>
                <w:szCs w:val="24"/>
              </w:rPr>
              <w:t>）、固化剂的溶剂或易挥发成分，主要为苯乙烯和非甲烷总烃。</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hint="eastAsia" w:cs="宋体"/>
                <w:sz w:val="24"/>
                <w:szCs w:val="24"/>
              </w:rPr>
              <w:t>项目生产过程中设备维修会产生废润滑油（S</w:t>
            </w:r>
            <w:r>
              <w:rPr>
                <w:rFonts w:hint="eastAsia" w:cs="宋体"/>
                <w:sz w:val="24"/>
                <w:szCs w:val="24"/>
                <w:vertAlign w:val="subscript"/>
              </w:rPr>
              <w:t>4</w:t>
            </w:r>
            <w:r>
              <w:rPr>
                <w:rFonts w:hint="eastAsia" w:cs="宋体"/>
                <w:sz w:val="24"/>
                <w:szCs w:val="24"/>
              </w:rPr>
              <w:t>）、废气治理会产生除尘器收尘（S</w:t>
            </w:r>
            <w:r>
              <w:rPr>
                <w:rFonts w:hint="eastAsia" w:cs="宋体"/>
                <w:sz w:val="24"/>
                <w:szCs w:val="24"/>
                <w:vertAlign w:val="subscript"/>
              </w:rPr>
              <w:t>5</w:t>
            </w:r>
            <w:r>
              <w:rPr>
                <w:rFonts w:hint="eastAsia" w:cs="宋体"/>
                <w:sz w:val="24"/>
                <w:szCs w:val="24"/>
              </w:rPr>
              <w:t>）、废活性炭（S</w:t>
            </w:r>
            <w:r>
              <w:rPr>
                <w:rFonts w:hint="eastAsia" w:cs="宋体"/>
                <w:sz w:val="24"/>
                <w:szCs w:val="24"/>
                <w:vertAlign w:val="subscript"/>
              </w:rPr>
              <w:t>6</w:t>
            </w:r>
            <w:r>
              <w:rPr>
                <w:rFonts w:hint="eastAsia" w:cs="宋体"/>
                <w:sz w:val="24"/>
                <w:szCs w:val="24"/>
              </w:rPr>
              <w:t>）、废催化剂（S</w:t>
            </w:r>
            <w:r>
              <w:rPr>
                <w:rFonts w:hint="eastAsia" w:cs="宋体"/>
                <w:sz w:val="24"/>
                <w:szCs w:val="24"/>
                <w:vertAlign w:val="subscript"/>
              </w:rPr>
              <w:t>7</w:t>
            </w:r>
            <w:r>
              <w:rPr>
                <w:rFonts w:hint="eastAsia" w:cs="宋体"/>
                <w:sz w:val="24"/>
                <w:szCs w:val="24"/>
              </w:rPr>
              <w:t>），职工日常生活会产生生活垃圾（S</w:t>
            </w:r>
            <w:r>
              <w:rPr>
                <w:rFonts w:hint="eastAsia" w:cs="宋体"/>
                <w:sz w:val="24"/>
                <w:szCs w:val="24"/>
                <w:vertAlign w:val="subscript"/>
              </w:rPr>
              <w:t>8</w:t>
            </w:r>
            <w:r>
              <w:rPr>
                <w:rFonts w:hint="eastAsia" w:cs="宋体"/>
                <w:sz w:val="24"/>
                <w:szCs w:val="24"/>
              </w:rPr>
              <w:t>）、废油脂（S</w:t>
            </w:r>
            <w:r>
              <w:rPr>
                <w:rFonts w:hint="eastAsia" w:cs="宋体"/>
                <w:sz w:val="24"/>
                <w:szCs w:val="24"/>
                <w:vertAlign w:val="subscript"/>
              </w:rPr>
              <w:t>9</w:t>
            </w:r>
            <w:r>
              <w:rPr>
                <w:rFonts w:hint="eastAsia" w:cs="宋体"/>
                <w:sz w:val="24"/>
                <w:szCs w:val="24"/>
              </w:rPr>
              <w:t>）职工生活污水（W</w:t>
            </w:r>
            <w:r>
              <w:rPr>
                <w:rFonts w:hint="eastAsia" w:cs="宋体"/>
                <w:sz w:val="24"/>
                <w:szCs w:val="24"/>
                <w:vertAlign w:val="subscript"/>
              </w:rPr>
              <w:t>2</w:t>
            </w:r>
            <w:r>
              <w:rPr>
                <w:rFonts w:hint="eastAsia" w:cs="宋体"/>
                <w:sz w:val="24"/>
                <w:szCs w:val="24"/>
              </w:rPr>
              <w:t>）。</w:t>
            </w:r>
          </w:p>
          <w:p>
            <w:pPr>
              <w:pStyle w:val="2"/>
              <w:jc w:val="center"/>
              <w:rPr>
                <w:rFonts w:ascii="Times New Roman" w:hAnsi="Times New Roman"/>
                <w:b/>
                <w:sz w:val="21"/>
              </w:rPr>
            </w:pPr>
            <w:r>
              <w:rPr>
                <w:rFonts w:hint="eastAsia" w:ascii="Times New Roman" w:hAnsi="Times New Roman"/>
                <w:b/>
                <w:sz w:val="21"/>
              </w:rPr>
              <w:t>表</w:t>
            </w:r>
            <w:r>
              <w:rPr>
                <w:rFonts w:ascii="Times New Roman" w:hAnsi="Times New Roman"/>
                <w:b/>
                <w:sz w:val="21"/>
              </w:rPr>
              <w:t>2-</w:t>
            </w:r>
            <w:r>
              <w:rPr>
                <w:rFonts w:hint="eastAsia" w:ascii="Times New Roman" w:hAnsi="Times New Roman"/>
                <w:b/>
                <w:sz w:val="21"/>
              </w:rPr>
              <w:t>8</w:t>
            </w:r>
            <w:r>
              <w:rPr>
                <w:rFonts w:ascii="Times New Roman" w:hAnsi="Times New Roman"/>
                <w:b/>
                <w:sz w:val="21"/>
              </w:rPr>
              <w:t xml:space="preserve"> </w:t>
            </w:r>
            <w:r>
              <w:rPr>
                <w:rFonts w:hint="eastAsia" w:ascii="Times New Roman" w:hAnsi="Times New Roman"/>
                <w:b/>
                <w:sz w:val="21"/>
              </w:rPr>
              <w:t>项目主要产污工序及污染物对照表</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1299"/>
              <w:gridCol w:w="1297"/>
              <w:gridCol w:w="1874"/>
              <w:gridCol w:w="2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Align w:val="center"/>
                </w:tcPr>
                <w:p>
                  <w:pPr>
                    <w:adjustRightInd w:val="0"/>
                    <w:snapToGrid w:val="0"/>
                    <w:jc w:val="center"/>
                  </w:pPr>
                  <w:r>
                    <w:rPr>
                      <w:rFonts w:hint="eastAsia"/>
                    </w:rPr>
                    <w:t>污染物类别</w:t>
                  </w:r>
                </w:p>
              </w:tc>
              <w:tc>
                <w:tcPr>
                  <w:tcW w:w="835" w:type="pct"/>
                  <w:vAlign w:val="center"/>
                </w:tcPr>
                <w:p>
                  <w:pPr>
                    <w:adjustRightInd w:val="0"/>
                    <w:snapToGrid w:val="0"/>
                    <w:jc w:val="center"/>
                  </w:pPr>
                  <w:r>
                    <w:rPr>
                      <w:rFonts w:hint="eastAsia"/>
                    </w:rPr>
                    <w:t>污染源</w:t>
                  </w:r>
                </w:p>
              </w:tc>
              <w:tc>
                <w:tcPr>
                  <w:tcW w:w="834" w:type="pct"/>
                  <w:vAlign w:val="center"/>
                </w:tcPr>
                <w:p>
                  <w:pPr>
                    <w:adjustRightInd w:val="0"/>
                    <w:snapToGrid w:val="0"/>
                    <w:jc w:val="center"/>
                  </w:pPr>
                  <w:r>
                    <w:rPr>
                      <w:rFonts w:hint="eastAsia"/>
                    </w:rPr>
                    <w:t>序号</w:t>
                  </w:r>
                </w:p>
              </w:tc>
              <w:tc>
                <w:tcPr>
                  <w:tcW w:w="1205" w:type="pct"/>
                  <w:vAlign w:val="center"/>
                </w:tcPr>
                <w:p>
                  <w:pPr>
                    <w:adjustRightInd w:val="0"/>
                    <w:snapToGrid w:val="0"/>
                    <w:jc w:val="center"/>
                  </w:pPr>
                  <w:r>
                    <w:rPr>
                      <w:rFonts w:hint="eastAsia"/>
                    </w:rPr>
                    <w:t>产污工序</w:t>
                  </w:r>
                </w:p>
              </w:tc>
              <w:tc>
                <w:tcPr>
                  <w:tcW w:w="1514" w:type="pct"/>
                  <w:vAlign w:val="center"/>
                </w:tcPr>
                <w:p>
                  <w:pPr>
                    <w:adjustRightInd w:val="0"/>
                    <w:snapToGrid w:val="0"/>
                    <w:jc w:val="center"/>
                  </w:pPr>
                  <w:r>
                    <w:rPr>
                      <w:rFonts w:hint="eastAsia"/>
                    </w:rPr>
                    <w:t>治理措施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Merge w:val="restart"/>
                  <w:vAlign w:val="center"/>
                </w:tcPr>
                <w:p>
                  <w:pPr>
                    <w:adjustRightInd w:val="0"/>
                    <w:snapToGrid w:val="0"/>
                    <w:jc w:val="center"/>
                  </w:pPr>
                  <w:r>
                    <w:rPr>
                      <w:rFonts w:hint="eastAsia"/>
                    </w:rPr>
                    <w:t>废气</w:t>
                  </w:r>
                </w:p>
              </w:tc>
              <w:tc>
                <w:tcPr>
                  <w:tcW w:w="835" w:type="pct"/>
                  <w:vAlign w:val="center"/>
                </w:tcPr>
                <w:p>
                  <w:pPr>
                    <w:adjustRightInd w:val="0"/>
                    <w:snapToGrid w:val="0"/>
                    <w:jc w:val="center"/>
                  </w:pPr>
                  <w:r>
                    <w:rPr>
                      <w:rFonts w:hint="eastAsia"/>
                    </w:rPr>
                    <w:t>封头制作区有机废气</w:t>
                  </w:r>
                </w:p>
              </w:tc>
              <w:tc>
                <w:tcPr>
                  <w:tcW w:w="834" w:type="pct"/>
                  <w:vAlign w:val="center"/>
                </w:tcPr>
                <w:p>
                  <w:pPr>
                    <w:adjustRightInd w:val="0"/>
                    <w:snapToGrid w:val="0"/>
                    <w:jc w:val="center"/>
                  </w:pPr>
                  <w:r>
                    <w:t>G</w:t>
                  </w:r>
                  <w:r>
                    <w:rPr>
                      <w:vertAlign w:val="subscript"/>
                    </w:rPr>
                    <w:t>1</w:t>
                  </w:r>
                  <w:r>
                    <w:t>、G</w:t>
                  </w:r>
                  <w:r>
                    <w:rPr>
                      <w:vertAlign w:val="subscript"/>
                    </w:rPr>
                    <w:t>6</w:t>
                  </w:r>
                  <w:r>
                    <w:t>、G</w:t>
                  </w:r>
                  <w:r>
                    <w:rPr>
                      <w:vertAlign w:val="subscript"/>
                    </w:rPr>
                    <w:t>7</w:t>
                  </w:r>
                </w:p>
              </w:tc>
              <w:tc>
                <w:tcPr>
                  <w:tcW w:w="1205" w:type="pct"/>
                  <w:vAlign w:val="center"/>
                </w:tcPr>
                <w:p>
                  <w:pPr>
                    <w:adjustRightInd w:val="0"/>
                    <w:snapToGrid w:val="0"/>
                    <w:jc w:val="center"/>
                  </w:pPr>
                  <w:r>
                    <w:rPr>
                      <w:rFonts w:hint="eastAsia"/>
                    </w:rPr>
                    <w:t>封头配料、涂胶、固化</w:t>
                  </w:r>
                </w:p>
              </w:tc>
              <w:tc>
                <w:tcPr>
                  <w:tcW w:w="1514" w:type="pct"/>
                  <w:vAlign w:val="center"/>
                </w:tcPr>
                <w:p>
                  <w:pPr>
                    <w:adjustRightInd w:val="0"/>
                    <w:snapToGrid w:val="0"/>
                    <w:jc w:val="center"/>
                  </w:pPr>
                  <w:r>
                    <w:rPr>
                      <w:rFonts w:hint="eastAsia"/>
                    </w:rPr>
                    <w:t>伸缩式密闭房+活性炭吸附/脱附浓缩+催化燃烧装置（RCO）+18m高排气筒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罐体制作区有机废气</w:t>
                  </w:r>
                </w:p>
              </w:tc>
              <w:tc>
                <w:tcPr>
                  <w:tcW w:w="834" w:type="pct"/>
                  <w:vAlign w:val="center"/>
                </w:tcPr>
                <w:p>
                  <w:pPr>
                    <w:adjustRightInd w:val="0"/>
                    <w:snapToGrid w:val="0"/>
                    <w:jc w:val="center"/>
                  </w:pPr>
                  <w:r>
                    <w:t>G</w:t>
                  </w:r>
                  <w:r>
                    <w:rPr>
                      <w:vertAlign w:val="subscript"/>
                    </w:rPr>
                    <w:t>2</w:t>
                  </w:r>
                  <w:r>
                    <w:t>、G</w:t>
                  </w:r>
                  <w:r>
                    <w:rPr>
                      <w:vertAlign w:val="subscript"/>
                    </w:rPr>
                    <w:t>3</w:t>
                  </w:r>
                  <w:r>
                    <w:t>、G</w:t>
                  </w:r>
                  <w:r>
                    <w:rPr>
                      <w:vertAlign w:val="subscript"/>
                    </w:rPr>
                    <w:t>4</w:t>
                  </w:r>
                  <w:r>
                    <w:t>、G</w:t>
                  </w:r>
                  <w:r>
                    <w:rPr>
                      <w:vertAlign w:val="subscript"/>
                    </w:rPr>
                    <w:t>5</w:t>
                  </w:r>
                  <w:r>
                    <w:t>、G</w:t>
                  </w:r>
                  <w:r>
                    <w:rPr>
                      <w:vertAlign w:val="subscript"/>
                    </w:rPr>
                    <w:t>10</w:t>
                  </w:r>
                </w:p>
              </w:tc>
              <w:tc>
                <w:tcPr>
                  <w:tcW w:w="1205" w:type="pct"/>
                  <w:vAlign w:val="center"/>
                </w:tcPr>
                <w:p>
                  <w:pPr>
                    <w:adjustRightInd w:val="0"/>
                    <w:snapToGrid w:val="0"/>
                    <w:jc w:val="center"/>
                  </w:pPr>
                  <w:r>
                    <w:rPr>
                      <w:rFonts w:hint="eastAsia"/>
                    </w:rPr>
                    <w:t>罐体浸胶缠绕、固化组装</w:t>
                  </w:r>
                </w:p>
              </w:tc>
              <w:tc>
                <w:tcPr>
                  <w:tcW w:w="1514" w:type="pct"/>
                  <w:vAlign w:val="center"/>
                </w:tcPr>
                <w:p>
                  <w:pPr>
                    <w:adjustRightInd w:val="0"/>
                    <w:snapToGrid w:val="0"/>
                    <w:jc w:val="center"/>
                  </w:pPr>
                  <w:r>
                    <w:rPr>
                      <w:rFonts w:hint="eastAsia"/>
                    </w:rPr>
                    <w:t>伸缩式密闭房+活性炭吸附/脱附浓缩+催化燃烧装置（RCO）+18m高排气筒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Merge w:val="restart"/>
                  <w:vAlign w:val="center"/>
                </w:tcPr>
                <w:p>
                  <w:pPr>
                    <w:adjustRightInd w:val="0"/>
                    <w:snapToGrid w:val="0"/>
                    <w:jc w:val="center"/>
                  </w:pPr>
                  <w:r>
                    <w:rPr>
                      <w:rFonts w:hint="eastAsia"/>
                    </w:rPr>
                    <w:t>打磨废气</w:t>
                  </w:r>
                </w:p>
              </w:tc>
              <w:tc>
                <w:tcPr>
                  <w:tcW w:w="834" w:type="pct"/>
                  <w:vAlign w:val="center"/>
                </w:tcPr>
                <w:p>
                  <w:pPr>
                    <w:adjustRightInd w:val="0"/>
                    <w:snapToGrid w:val="0"/>
                    <w:jc w:val="center"/>
                  </w:pPr>
                  <w:r>
                    <w:t>G</w:t>
                  </w:r>
                  <w:r>
                    <w:rPr>
                      <w:vertAlign w:val="subscript"/>
                    </w:rPr>
                    <w:t>8</w:t>
                  </w:r>
                </w:p>
              </w:tc>
              <w:tc>
                <w:tcPr>
                  <w:tcW w:w="1205" w:type="pct"/>
                  <w:vAlign w:val="center"/>
                </w:tcPr>
                <w:p>
                  <w:pPr>
                    <w:adjustRightInd w:val="0"/>
                    <w:snapToGrid w:val="0"/>
                    <w:jc w:val="center"/>
                  </w:pPr>
                  <w:r>
                    <w:rPr>
                      <w:rFonts w:hint="eastAsia"/>
                    </w:rPr>
                    <w:t>打磨室封头打磨</w:t>
                  </w:r>
                </w:p>
              </w:tc>
              <w:tc>
                <w:tcPr>
                  <w:tcW w:w="1514" w:type="pct"/>
                  <w:vAlign w:val="center"/>
                </w:tcPr>
                <w:p>
                  <w:pPr>
                    <w:adjustRightInd w:val="0"/>
                    <w:snapToGrid w:val="0"/>
                    <w:jc w:val="center"/>
                  </w:pPr>
                  <w:r>
                    <w:rPr>
                      <w:rFonts w:hint="eastAsia"/>
                    </w:rPr>
                    <w:t>封闭打磨室+布袋除尘器+18m高排气筒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Merge w:val="continue"/>
                  <w:vAlign w:val="center"/>
                </w:tcPr>
                <w:p>
                  <w:pPr>
                    <w:adjustRightInd w:val="0"/>
                    <w:snapToGrid w:val="0"/>
                    <w:jc w:val="center"/>
                  </w:pPr>
                </w:p>
              </w:tc>
              <w:tc>
                <w:tcPr>
                  <w:tcW w:w="834" w:type="pct"/>
                  <w:vAlign w:val="center"/>
                </w:tcPr>
                <w:p>
                  <w:pPr>
                    <w:adjustRightInd w:val="0"/>
                    <w:snapToGrid w:val="0"/>
                    <w:jc w:val="center"/>
                  </w:pPr>
                  <w:r>
                    <w:rPr>
                      <w:rFonts w:hint="eastAsia"/>
                    </w:rPr>
                    <w:t>G</w:t>
                  </w:r>
                  <w:r>
                    <w:rPr>
                      <w:rFonts w:hint="eastAsia"/>
                      <w:vertAlign w:val="subscript"/>
                    </w:rPr>
                    <w:t>9</w:t>
                  </w:r>
                </w:p>
              </w:tc>
              <w:tc>
                <w:tcPr>
                  <w:tcW w:w="1205" w:type="pct"/>
                  <w:vAlign w:val="center"/>
                </w:tcPr>
                <w:p>
                  <w:pPr>
                    <w:adjustRightInd w:val="0"/>
                    <w:snapToGrid w:val="0"/>
                    <w:jc w:val="center"/>
                  </w:pPr>
                  <w:r>
                    <w:rPr>
                      <w:rFonts w:hint="eastAsia"/>
                    </w:rPr>
                    <w:t>罐体打磨</w:t>
                  </w:r>
                </w:p>
              </w:tc>
              <w:tc>
                <w:tcPr>
                  <w:tcW w:w="1514" w:type="pct"/>
                  <w:vAlign w:val="center"/>
                </w:tcPr>
                <w:p>
                  <w:pPr>
                    <w:adjustRightInd w:val="0"/>
                    <w:snapToGrid w:val="0"/>
                    <w:jc w:val="center"/>
                  </w:pPr>
                  <w:r>
                    <w:rPr>
                      <w:rFonts w:hint="eastAsia"/>
                    </w:rPr>
                    <w:t>移动式滤筒除尘器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油烟</w:t>
                  </w:r>
                </w:p>
              </w:tc>
              <w:tc>
                <w:tcPr>
                  <w:tcW w:w="834" w:type="pct"/>
                  <w:vAlign w:val="center"/>
                </w:tcPr>
                <w:p>
                  <w:pPr>
                    <w:adjustRightInd w:val="0"/>
                    <w:snapToGrid w:val="0"/>
                    <w:jc w:val="center"/>
                  </w:pPr>
                  <w:r>
                    <w:rPr>
                      <w:rFonts w:hint="eastAsia"/>
                    </w:rPr>
                    <w:t>G</w:t>
                  </w:r>
                  <w:r>
                    <w:rPr>
                      <w:rFonts w:hint="eastAsia"/>
                      <w:vertAlign w:val="subscript"/>
                    </w:rPr>
                    <w:t>11</w:t>
                  </w:r>
                </w:p>
              </w:tc>
              <w:tc>
                <w:tcPr>
                  <w:tcW w:w="1205" w:type="pct"/>
                  <w:vAlign w:val="center"/>
                </w:tcPr>
                <w:p>
                  <w:pPr>
                    <w:adjustRightInd w:val="0"/>
                    <w:snapToGrid w:val="0"/>
                    <w:jc w:val="center"/>
                  </w:pPr>
                  <w:r>
                    <w:rPr>
                      <w:rFonts w:hint="eastAsia"/>
                    </w:rPr>
                    <w:t>食堂</w:t>
                  </w:r>
                </w:p>
              </w:tc>
              <w:tc>
                <w:tcPr>
                  <w:tcW w:w="1514" w:type="pct"/>
                  <w:vAlign w:val="center"/>
                </w:tcPr>
                <w:p>
                  <w:pPr>
                    <w:adjustRightInd w:val="0"/>
                    <w:snapToGrid w:val="0"/>
                    <w:jc w:val="center"/>
                  </w:pPr>
                  <w:r>
                    <w:rPr>
                      <w:rFonts w:hint="eastAsia"/>
                    </w:rPr>
                    <w:t>油烟净化器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Merge w:val="restart"/>
                  <w:vAlign w:val="center"/>
                </w:tcPr>
                <w:p>
                  <w:pPr>
                    <w:adjustRightInd w:val="0"/>
                    <w:snapToGrid w:val="0"/>
                    <w:jc w:val="center"/>
                  </w:pPr>
                  <w:r>
                    <w:rPr>
                      <w:rFonts w:hint="eastAsia"/>
                    </w:rPr>
                    <w:t>废水</w:t>
                  </w:r>
                </w:p>
              </w:tc>
              <w:tc>
                <w:tcPr>
                  <w:tcW w:w="835" w:type="pct"/>
                  <w:vAlign w:val="center"/>
                </w:tcPr>
                <w:p>
                  <w:pPr>
                    <w:adjustRightInd w:val="0"/>
                    <w:snapToGrid w:val="0"/>
                    <w:jc w:val="center"/>
                  </w:pPr>
                  <w:r>
                    <w:rPr>
                      <w:rFonts w:hint="eastAsia"/>
                    </w:rPr>
                    <w:t>生产废水</w:t>
                  </w:r>
                </w:p>
              </w:tc>
              <w:tc>
                <w:tcPr>
                  <w:tcW w:w="834" w:type="pct"/>
                  <w:vAlign w:val="center"/>
                </w:tcPr>
                <w:p>
                  <w:pPr>
                    <w:adjustRightInd w:val="0"/>
                    <w:snapToGrid w:val="0"/>
                    <w:jc w:val="center"/>
                  </w:pPr>
                  <w:r>
                    <w:rPr>
                      <w:rFonts w:hint="eastAsia"/>
                    </w:rPr>
                    <w:t>W</w:t>
                  </w:r>
                  <w:r>
                    <w:rPr>
                      <w:rFonts w:hint="eastAsia"/>
                      <w:vertAlign w:val="subscript"/>
                    </w:rPr>
                    <w:t>1</w:t>
                  </w:r>
                </w:p>
              </w:tc>
              <w:tc>
                <w:tcPr>
                  <w:tcW w:w="1205" w:type="pct"/>
                  <w:vAlign w:val="center"/>
                </w:tcPr>
                <w:p>
                  <w:pPr>
                    <w:adjustRightInd w:val="0"/>
                    <w:snapToGrid w:val="0"/>
                    <w:jc w:val="center"/>
                  </w:pPr>
                  <w:r>
                    <w:rPr>
                      <w:rFonts w:hint="eastAsia"/>
                    </w:rPr>
                    <w:t>成品密封性检验</w:t>
                  </w:r>
                </w:p>
              </w:tc>
              <w:tc>
                <w:tcPr>
                  <w:tcW w:w="1514" w:type="pct"/>
                  <w:vAlign w:val="center"/>
                </w:tcPr>
                <w:p>
                  <w:pPr>
                    <w:adjustRightInd w:val="0"/>
                    <w:snapToGrid w:val="0"/>
                    <w:jc w:val="center"/>
                  </w:pPr>
                  <w:r>
                    <w:rPr>
                      <w:rFonts w:hint="eastAsia"/>
                    </w:rPr>
                    <w:t>循环使用，不外排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生活污水</w:t>
                  </w:r>
                </w:p>
              </w:tc>
              <w:tc>
                <w:tcPr>
                  <w:tcW w:w="834" w:type="pct"/>
                  <w:vAlign w:val="center"/>
                </w:tcPr>
                <w:p>
                  <w:pPr>
                    <w:adjustRightInd w:val="0"/>
                    <w:snapToGrid w:val="0"/>
                    <w:jc w:val="center"/>
                  </w:pPr>
                  <w:r>
                    <w:rPr>
                      <w:rFonts w:hint="eastAsia"/>
                    </w:rPr>
                    <w:t>W</w:t>
                  </w:r>
                  <w:r>
                    <w:rPr>
                      <w:rFonts w:hint="eastAsia"/>
                      <w:vertAlign w:val="subscript"/>
                    </w:rPr>
                    <w:t>2</w:t>
                  </w:r>
                </w:p>
              </w:tc>
              <w:tc>
                <w:tcPr>
                  <w:tcW w:w="1205" w:type="pct"/>
                  <w:vAlign w:val="center"/>
                </w:tcPr>
                <w:p>
                  <w:pPr>
                    <w:adjustRightInd w:val="0"/>
                    <w:snapToGrid w:val="0"/>
                    <w:jc w:val="center"/>
                  </w:pPr>
                  <w:r>
                    <w:rPr>
                      <w:rFonts w:hint="eastAsia"/>
                    </w:rPr>
                    <w:t>员工生活</w:t>
                  </w:r>
                </w:p>
              </w:tc>
              <w:tc>
                <w:tcPr>
                  <w:tcW w:w="1514" w:type="pct"/>
                  <w:vAlign w:val="center"/>
                </w:tcPr>
                <w:p>
                  <w:pPr>
                    <w:adjustRightInd w:val="0"/>
                    <w:snapToGrid w:val="0"/>
                    <w:jc w:val="center"/>
                  </w:pPr>
                  <w:r>
                    <w:rPr>
                      <w:rFonts w:hint="eastAsia"/>
                    </w:rPr>
                    <w:t>油水分离器、化粪池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12" w:type="pct"/>
                  <w:vAlign w:val="center"/>
                </w:tcPr>
                <w:p>
                  <w:pPr>
                    <w:adjustRightInd w:val="0"/>
                    <w:snapToGrid w:val="0"/>
                    <w:jc w:val="center"/>
                  </w:pPr>
                  <w:r>
                    <w:rPr>
                      <w:rFonts w:hint="eastAsia"/>
                    </w:rPr>
                    <w:t>噪声</w:t>
                  </w:r>
                </w:p>
              </w:tc>
              <w:tc>
                <w:tcPr>
                  <w:tcW w:w="835" w:type="pct"/>
                  <w:vAlign w:val="center"/>
                </w:tcPr>
                <w:p>
                  <w:pPr>
                    <w:adjustRightInd w:val="0"/>
                    <w:snapToGrid w:val="0"/>
                    <w:jc w:val="center"/>
                  </w:pPr>
                  <w:r>
                    <w:rPr>
                      <w:rFonts w:hint="eastAsia"/>
                    </w:rPr>
                    <w:t>设备噪声</w:t>
                  </w:r>
                </w:p>
              </w:tc>
              <w:tc>
                <w:tcPr>
                  <w:tcW w:w="834" w:type="pct"/>
                  <w:vAlign w:val="center"/>
                </w:tcPr>
                <w:p>
                  <w:pPr>
                    <w:adjustRightInd w:val="0"/>
                    <w:snapToGrid w:val="0"/>
                    <w:jc w:val="center"/>
                  </w:pPr>
                  <w:r>
                    <w:rPr>
                      <w:rFonts w:hint="eastAsia"/>
                    </w:rPr>
                    <w:t>N</w:t>
                  </w:r>
                </w:p>
              </w:tc>
              <w:tc>
                <w:tcPr>
                  <w:tcW w:w="1205" w:type="pct"/>
                  <w:vAlign w:val="center"/>
                </w:tcPr>
                <w:p>
                  <w:pPr>
                    <w:adjustRightInd w:val="0"/>
                    <w:snapToGrid w:val="0"/>
                    <w:jc w:val="center"/>
                  </w:pPr>
                  <w:r>
                    <w:rPr>
                      <w:rFonts w:hint="eastAsia"/>
                    </w:rPr>
                    <w:t>打磨修整</w:t>
                  </w:r>
                </w:p>
              </w:tc>
              <w:tc>
                <w:tcPr>
                  <w:tcW w:w="1514" w:type="pct"/>
                  <w:vAlign w:val="center"/>
                </w:tcPr>
                <w:p>
                  <w:pPr>
                    <w:adjustRightInd w:val="0"/>
                    <w:snapToGrid w:val="0"/>
                    <w:jc w:val="center"/>
                  </w:pPr>
                  <w:r>
                    <w:rPr>
                      <w:rFonts w:hint="eastAsia"/>
                    </w:rPr>
                    <w:t>选用低噪声设备，基础减振等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restart"/>
                  <w:vAlign w:val="center"/>
                </w:tcPr>
                <w:p>
                  <w:pPr>
                    <w:adjustRightInd w:val="0"/>
                    <w:snapToGrid w:val="0"/>
                    <w:jc w:val="center"/>
                  </w:pPr>
                  <w:r>
                    <w:rPr>
                      <w:rFonts w:hint="eastAsia"/>
                    </w:rPr>
                    <w:t>固废</w:t>
                  </w:r>
                </w:p>
              </w:tc>
              <w:tc>
                <w:tcPr>
                  <w:tcW w:w="835" w:type="pct"/>
                  <w:vAlign w:val="center"/>
                </w:tcPr>
                <w:p>
                  <w:pPr>
                    <w:adjustRightInd w:val="0"/>
                    <w:snapToGrid w:val="0"/>
                    <w:jc w:val="center"/>
                  </w:pPr>
                  <w:r>
                    <w:rPr>
                      <w:rFonts w:hint="eastAsia"/>
                    </w:rPr>
                    <w:t>废包装桶</w:t>
                  </w:r>
                </w:p>
              </w:tc>
              <w:tc>
                <w:tcPr>
                  <w:tcW w:w="834" w:type="pct"/>
                  <w:vAlign w:val="center"/>
                </w:tcPr>
                <w:p>
                  <w:pPr>
                    <w:adjustRightInd w:val="0"/>
                    <w:snapToGrid w:val="0"/>
                    <w:jc w:val="center"/>
                  </w:pPr>
                  <w:r>
                    <w:rPr>
                      <w:rFonts w:hint="eastAsia"/>
                    </w:rPr>
                    <w:t>S</w:t>
                  </w:r>
                  <w:r>
                    <w:rPr>
                      <w:rFonts w:hint="eastAsia"/>
                      <w:vertAlign w:val="subscript"/>
                    </w:rPr>
                    <w:t>1</w:t>
                  </w:r>
                </w:p>
              </w:tc>
              <w:tc>
                <w:tcPr>
                  <w:tcW w:w="1205" w:type="pct"/>
                  <w:vAlign w:val="center"/>
                </w:tcPr>
                <w:p>
                  <w:pPr>
                    <w:adjustRightInd w:val="0"/>
                    <w:snapToGrid w:val="0"/>
                    <w:jc w:val="center"/>
                  </w:pPr>
                  <w:r>
                    <w:rPr>
                      <w:rFonts w:hint="eastAsia"/>
                    </w:rPr>
                    <w:t>原料包装</w:t>
                  </w:r>
                </w:p>
              </w:tc>
              <w:tc>
                <w:tcPr>
                  <w:tcW w:w="1514" w:type="pct"/>
                  <w:vAlign w:val="center"/>
                </w:tcPr>
                <w:p>
                  <w:pPr>
                    <w:adjustRightInd w:val="0"/>
                    <w:snapToGrid w:val="0"/>
                    <w:jc w:val="center"/>
                  </w:pPr>
                  <w:r>
                    <w:rPr>
                      <w:rFonts w:hint="eastAsia"/>
                    </w:rPr>
                    <w:t>危废暂存间，交由有资质单位处置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废聚酯膜</w:t>
                  </w:r>
                </w:p>
              </w:tc>
              <w:tc>
                <w:tcPr>
                  <w:tcW w:w="834" w:type="pct"/>
                  <w:vAlign w:val="center"/>
                </w:tcPr>
                <w:p>
                  <w:pPr>
                    <w:adjustRightInd w:val="0"/>
                    <w:snapToGrid w:val="0"/>
                    <w:jc w:val="center"/>
                  </w:pPr>
                  <w:r>
                    <w:rPr>
                      <w:rFonts w:hint="eastAsia"/>
                    </w:rPr>
                    <w:t>S</w:t>
                  </w:r>
                  <w:r>
                    <w:rPr>
                      <w:rFonts w:hint="eastAsia"/>
                      <w:vertAlign w:val="subscript"/>
                    </w:rPr>
                    <w:t>2</w:t>
                  </w:r>
                </w:p>
              </w:tc>
              <w:tc>
                <w:tcPr>
                  <w:tcW w:w="1205" w:type="pct"/>
                  <w:vAlign w:val="center"/>
                </w:tcPr>
                <w:p>
                  <w:pPr>
                    <w:adjustRightInd w:val="0"/>
                    <w:snapToGrid w:val="0"/>
                    <w:jc w:val="center"/>
                  </w:pPr>
                  <w:r>
                    <w:rPr>
                      <w:rFonts w:hint="eastAsia"/>
                    </w:rPr>
                    <w:t>脱模</w:t>
                  </w:r>
                </w:p>
              </w:tc>
              <w:tc>
                <w:tcPr>
                  <w:tcW w:w="1514" w:type="pct"/>
                  <w:vAlign w:val="center"/>
                </w:tcPr>
                <w:p>
                  <w:pPr>
                    <w:adjustRightInd w:val="0"/>
                    <w:snapToGrid w:val="0"/>
                    <w:jc w:val="center"/>
                  </w:pPr>
                  <w:r>
                    <w:rPr>
                      <w:rFonts w:hint="eastAsia"/>
                    </w:rPr>
                    <w:t>集中收集后，定期外售综合利用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边角料</w:t>
                  </w:r>
                </w:p>
              </w:tc>
              <w:tc>
                <w:tcPr>
                  <w:tcW w:w="834" w:type="pct"/>
                  <w:vAlign w:val="center"/>
                </w:tcPr>
                <w:p>
                  <w:pPr>
                    <w:adjustRightInd w:val="0"/>
                    <w:snapToGrid w:val="0"/>
                    <w:jc w:val="center"/>
                  </w:pPr>
                  <w:r>
                    <w:rPr>
                      <w:rFonts w:hint="eastAsia"/>
                    </w:rPr>
                    <w:t>S</w:t>
                  </w:r>
                  <w:r>
                    <w:rPr>
                      <w:rFonts w:hint="eastAsia"/>
                      <w:vertAlign w:val="subscript"/>
                    </w:rPr>
                    <w:t>3</w:t>
                  </w:r>
                </w:p>
              </w:tc>
              <w:tc>
                <w:tcPr>
                  <w:tcW w:w="1205" w:type="pct"/>
                  <w:vAlign w:val="center"/>
                </w:tcPr>
                <w:p>
                  <w:pPr>
                    <w:adjustRightInd w:val="0"/>
                    <w:snapToGrid w:val="0"/>
                    <w:jc w:val="center"/>
                  </w:pPr>
                  <w:r>
                    <w:rPr>
                      <w:rFonts w:hint="eastAsia"/>
                    </w:rPr>
                    <w:t>打磨修整</w:t>
                  </w:r>
                </w:p>
              </w:tc>
              <w:tc>
                <w:tcPr>
                  <w:tcW w:w="1514" w:type="pct"/>
                  <w:vAlign w:val="center"/>
                </w:tcPr>
                <w:p>
                  <w:pPr>
                    <w:adjustRightInd w:val="0"/>
                    <w:snapToGrid w:val="0"/>
                    <w:jc w:val="center"/>
                  </w:pPr>
                  <w:r>
                    <w:rPr>
                      <w:rFonts w:hint="eastAsia"/>
                    </w:rPr>
                    <w:t>集中收集后，定期外售综合利用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废润滑油</w:t>
                  </w:r>
                </w:p>
              </w:tc>
              <w:tc>
                <w:tcPr>
                  <w:tcW w:w="834" w:type="pct"/>
                  <w:vAlign w:val="center"/>
                </w:tcPr>
                <w:p>
                  <w:pPr>
                    <w:adjustRightInd w:val="0"/>
                    <w:snapToGrid w:val="0"/>
                    <w:jc w:val="center"/>
                  </w:pPr>
                  <w:r>
                    <w:rPr>
                      <w:rFonts w:hint="eastAsia"/>
                    </w:rPr>
                    <w:t>S</w:t>
                  </w:r>
                  <w:r>
                    <w:rPr>
                      <w:rFonts w:hint="eastAsia"/>
                      <w:vertAlign w:val="subscript"/>
                    </w:rPr>
                    <w:t>4</w:t>
                  </w:r>
                </w:p>
              </w:tc>
              <w:tc>
                <w:tcPr>
                  <w:tcW w:w="1205" w:type="pct"/>
                  <w:vAlign w:val="center"/>
                </w:tcPr>
                <w:p>
                  <w:pPr>
                    <w:adjustRightInd w:val="0"/>
                    <w:snapToGrid w:val="0"/>
                    <w:jc w:val="center"/>
                  </w:pPr>
                  <w:r>
                    <w:rPr>
                      <w:rFonts w:hint="eastAsia"/>
                    </w:rPr>
                    <w:t>设备维修</w:t>
                  </w:r>
                </w:p>
              </w:tc>
              <w:tc>
                <w:tcPr>
                  <w:tcW w:w="1514" w:type="pct"/>
                  <w:vAlign w:val="center"/>
                </w:tcPr>
                <w:p>
                  <w:pPr>
                    <w:adjustRightInd w:val="0"/>
                    <w:snapToGrid w:val="0"/>
                    <w:jc w:val="center"/>
                  </w:pPr>
                  <w:r>
                    <w:rPr>
                      <w:rFonts w:hint="eastAsia"/>
                    </w:rPr>
                    <w:t>暂存于危废暂存间，定期交由有资质单位处置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除尘器收尘</w:t>
                  </w:r>
                </w:p>
              </w:tc>
              <w:tc>
                <w:tcPr>
                  <w:tcW w:w="834" w:type="pct"/>
                  <w:vAlign w:val="center"/>
                </w:tcPr>
                <w:p>
                  <w:pPr>
                    <w:adjustRightInd w:val="0"/>
                    <w:snapToGrid w:val="0"/>
                    <w:jc w:val="center"/>
                  </w:pPr>
                  <w:r>
                    <w:rPr>
                      <w:rFonts w:hint="eastAsia"/>
                    </w:rPr>
                    <w:t>S</w:t>
                  </w:r>
                  <w:r>
                    <w:rPr>
                      <w:rFonts w:hint="eastAsia"/>
                      <w:vertAlign w:val="subscript"/>
                    </w:rPr>
                    <w:t>5</w:t>
                  </w:r>
                </w:p>
              </w:tc>
              <w:tc>
                <w:tcPr>
                  <w:tcW w:w="1205" w:type="pct"/>
                  <w:vAlign w:val="center"/>
                </w:tcPr>
                <w:p>
                  <w:pPr>
                    <w:adjustRightInd w:val="0"/>
                    <w:snapToGrid w:val="0"/>
                    <w:jc w:val="center"/>
                  </w:pPr>
                  <w:r>
                    <w:rPr>
                      <w:rFonts w:hint="eastAsia"/>
                    </w:rPr>
                    <w:t>废气处理</w:t>
                  </w:r>
                </w:p>
              </w:tc>
              <w:tc>
                <w:tcPr>
                  <w:tcW w:w="1514" w:type="pct"/>
                  <w:vAlign w:val="center"/>
                </w:tcPr>
                <w:p>
                  <w:pPr>
                    <w:adjustRightInd w:val="0"/>
                    <w:snapToGrid w:val="0"/>
                    <w:jc w:val="center"/>
                  </w:pPr>
                  <w:r>
                    <w:rPr>
                      <w:rFonts w:hint="eastAsia"/>
                    </w:rPr>
                    <w:t>集中收集后，定期外售综合利用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废活性炭</w:t>
                  </w:r>
                </w:p>
              </w:tc>
              <w:tc>
                <w:tcPr>
                  <w:tcW w:w="834" w:type="pct"/>
                  <w:vAlign w:val="center"/>
                </w:tcPr>
                <w:p>
                  <w:pPr>
                    <w:adjustRightInd w:val="0"/>
                    <w:snapToGrid w:val="0"/>
                    <w:jc w:val="center"/>
                  </w:pPr>
                  <w:r>
                    <w:rPr>
                      <w:rFonts w:hint="eastAsia"/>
                    </w:rPr>
                    <w:t>S</w:t>
                  </w:r>
                  <w:r>
                    <w:rPr>
                      <w:rFonts w:hint="eastAsia"/>
                      <w:vertAlign w:val="subscript"/>
                    </w:rPr>
                    <w:t>6</w:t>
                  </w:r>
                </w:p>
              </w:tc>
              <w:tc>
                <w:tcPr>
                  <w:tcW w:w="1205" w:type="pct"/>
                  <w:vAlign w:val="center"/>
                </w:tcPr>
                <w:p>
                  <w:pPr>
                    <w:adjustRightInd w:val="0"/>
                    <w:snapToGrid w:val="0"/>
                    <w:jc w:val="center"/>
                  </w:pPr>
                  <w:r>
                    <w:rPr>
                      <w:rFonts w:hint="eastAsia"/>
                    </w:rPr>
                    <w:t>废气处理</w:t>
                  </w:r>
                </w:p>
              </w:tc>
              <w:tc>
                <w:tcPr>
                  <w:tcW w:w="1514" w:type="pct"/>
                  <w:vAlign w:val="center"/>
                </w:tcPr>
                <w:p>
                  <w:pPr>
                    <w:adjustRightInd w:val="0"/>
                    <w:snapToGrid w:val="0"/>
                    <w:jc w:val="center"/>
                  </w:pPr>
                  <w:r>
                    <w:rPr>
                      <w:rFonts w:hint="eastAsia"/>
                    </w:rPr>
                    <w:t>暂存于危废暂存间，定期交由有资质单位处置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废催化剂</w:t>
                  </w:r>
                </w:p>
              </w:tc>
              <w:tc>
                <w:tcPr>
                  <w:tcW w:w="834" w:type="pct"/>
                  <w:vAlign w:val="center"/>
                </w:tcPr>
                <w:p>
                  <w:pPr>
                    <w:adjustRightInd w:val="0"/>
                    <w:snapToGrid w:val="0"/>
                    <w:jc w:val="center"/>
                  </w:pPr>
                  <w:r>
                    <w:rPr>
                      <w:rFonts w:hint="eastAsia"/>
                    </w:rPr>
                    <w:t>S</w:t>
                  </w:r>
                  <w:r>
                    <w:rPr>
                      <w:rFonts w:hint="eastAsia"/>
                      <w:vertAlign w:val="subscript"/>
                    </w:rPr>
                    <w:t>7</w:t>
                  </w:r>
                </w:p>
              </w:tc>
              <w:tc>
                <w:tcPr>
                  <w:tcW w:w="1205" w:type="pct"/>
                  <w:vAlign w:val="center"/>
                </w:tcPr>
                <w:p>
                  <w:pPr>
                    <w:adjustRightInd w:val="0"/>
                    <w:snapToGrid w:val="0"/>
                    <w:jc w:val="center"/>
                  </w:pPr>
                  <w:r>
                    <w:rPr>
                      <w:rFonts w:hint="eastAsia"/>
                    </w:rPr>
                    <w:t>废气处理</w:t>
                  </w:r>
                </w:p>
              </w:tc>
              <w:tc>
                <w:tcPr>
                  <w:tcW w:w="1514" w:type="pct"/>
                  <w:vAlign w:val="center"/>
                </w:tcPr>
                <w:p>
                  <w:pPr>
                    <w:adjustRightInd w:val="0"/>
                    <w:snapToGrid w:val="0"/>
                    <w:jc w:val="center"/>
                  </w:pPr>
                  <w:r>
                    <w:rPr>
                      <w:rFonts w:hint="eastAsia"/>
                    </w:rPr>
                    <w:t>定期由厂家更换回收，不在厂内暂存。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生活垃圾</w:t>
                  </w:r>
                </w:p>
              </w:tc>
              <w:tc>
                <w:tcPr>
                  <w:tcW w:w="834" w:type="pct"/>
                  <w:vAlign w:val="center"/>
                </w:tcPr>
                <w:p>
                  <w:pPr>
                    <w:adjustRightInd w:val="0"/>
                    <w:snapToGrid w:val="0"/>
                    <w:jc w:val="center"/>
                  </w:pPr>
                  <w:r>
                    <w:rPr>
                      <w:rFonts w:hint="eastAsia"/>
                    </w:rPr>
                    <w:t>S</w:t>
                  </w:r>
                  <w:r>
                    <w:rPr>
                      <w:rFonts w:hint="eastAsia"/>
                      <w:vertAlign w:val="subscript"/>
                    </w:rPr>
                    <w:t>8</w:t>
                  </w:r>
                </w:p>
              </w:tc>
              <w:tc>
                <w:tcPr>
                  <w:tcW w:w="1205" w:type="pct"/>
                  <w:vAlign w:val="center"/>
                </w:tcPr>
                <w:p>
                  <w:pPr>
                    <w:adjustRightInd w:val="0"/>
                    <w:snapToGrid w:val="0"/>
                    <w:jc w:val="center"/>
                  </w:pPr>
                  <w:r>
                    <w:rPr>
                      <w:rFonts w:hint="eastAsia"/>
                    </w:rPr>
                    <w:t>职工生活</w:t>
                  </w:r>
                </w:p>
              </w:tc>
              <w:tc>
                <w:tcPr>
                  <w:tcW w:w="1514" w:type="pct"/>
                  <w:vAlign w:val="center"/>
                </w:tcPr>
                <w:p>
                  <w:pPr>
                    <w:adjustRightInd w:val="0"/>
                    <w:snapToGrid w:val="0"/>
                    <w:jc w:val="center"/>
                  </w:pPr>
                  <w:r>
                    <w:rPr>
                      <w:rFonts w:hint="eastAsia"/>
                    </w:rPr>
                    <w:t>分类收集后由环卫部门统一处理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trPr>
              <w:tc>
                <w:tcPr>
                  <w:tcW w:w="612" w:type="pct"/>
                  <w:vMerge w:val="continue"/>
                  <w:vAlign w:val="center"/>
                </w:tcPr>
                <w:p>
                  <w:pPr>
                    <w:adjustRightInd w:val="0"/>
                    <w:snapToGrid w:val="0"/>
                    <w:jc w:val="center"/>
                  </w:pPr>
                </w:p>
              </w:tc>
              <w:tc>
                <w:tcPr>
                  <w:tcW w:w="835" w:type="pct"/>
                  <w:vAlign w:val="center"/>
                </w:tcPr>
                <w:p>
                  <w:pPr>
                    <w:adjustRightInd w:val="0"/>
                    <w:snapToGrid w:val="0"/>
                    <w:jc w:val="center"/>
                  </w:pPr>
                  <w:r>
                    <w:rPr>
                      <w:rFonts w:hint="eastAsia"/>
                    </w:rPr>
                    <w:t>废油脂</w:t>
                  </w:r>
                </w:p>
              </w:tc>
              <w:tc>
                <w:tcPr>
                  <w:tcW w:w="834" w:type="pct"/>
                  <w:vAlign w:val="center"/>
                </w:tcPr>
                <w:p>
                  <w:pPr>
                    <w:adjustRightInd w:val="0"/>
                    <w:snapToGrid w:val="0"/>
                    <w:jc w:val="center"/>
                  </w:pPr>
                  <w:r>
                    <w:rPr>
                      <w:rFonts w:hint="eastAsia"/>
                    </w:rPr>
                    <w:t>S</w:t>
                  </w:r>
                  <w:r>
                    <w:rPr>
                      <w:rFonts w:hint="eastAsia"/>
                      <w:vertAlign w:val="subscript"/>
                    </w:rPr>
                    <w:t>9</w:t>
                  </w:r>
                </w:p>
              </w:tc>
              <w:tc>
                <w:tcPr>
                  <w:tcW w:w="1205" w:type="pct"/>
                  <w:vAlign w:val="center"/>
                </w:tcPr>
                <w:p>
                  <w:pPr>
                    <w:adjustRightInd w:val="0"/>
                    <w:snapToGrid w:val="0"/>
                    <w:jc w:val="center"/>
                  </w:pPr>
                  <w:r>
                    <w:rPr>
                      <w:rFonts w:hint="eastAsia"/>
                    </w:rPr>
                    <w:t>食堂</w:t>
                  </w:r>
                </w:p>
              </w:tc>
              <w:tc>
                <w:tcPr>
                  <w:tcW w:w="1514" w:type="pct"/>
                  <w:vAlign w:val="center"/>
                </w:tcPr>
                <w:p>
                  <w:pPr>
                    <w:adjustRightInd w:val="0"/>
                    <w:snapToGrid w:val="0"/>
                    <w:jc w:val="center"/>
                  </w:pPr>
                  <w:r>
                    <w:rPr>
                      <w:rFonts w:hint="eastAsia"/>
                    </w:rPr>
                    <w:t>专用密闭容器收集后交由有资质单位处置</w:t>
                  </w:r>
                </w:p>
              </w:tc>
            </w:tr>
          </w:tbl>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1433" w:type="dxa"/>
            <w:tcBorders>
              <w:bottom w:val="single" w:color="auto" w:sz="8" w:space="0"/>
            </w:tcBorders>
            <w:vAlign w:val="center"/>
          </w:tcPr>
          <w:p>
            <w:pPr>
              <w:pStyle w:val="30"/>
              <w:adjustRightInd w:val="0"/>
              <w:snapToGrid w:val="0"/>
              <w:spacing w:before="0" w:beforeAutospacing="0" w:after="0" w:afterAutospacing="0"/>
              <w:jc w:val="center"/>
              <w:rPr>
                <w:rFonts w:ascii="Times New Roman" w:hAnsi="Times New Roman"/>
                <w:sz w:val="21"/>
                <w:szCs w:val="21"/>
              </w:rPr>
            </w:pPr>
            <w:r>
              <w:rPr>
                <w:rFonts w:hint="eastAsia" w:ascii="Times New Roman" w:hAnsi="Times New Roman" w:cs="宋体"/>
              </w:rPr>
              <w:t>与项目有关的原有环境污染问题</w:t>
            </w:r>
          </w:p>
        </w:tc>
        <w:tc>
          <w:tcPr>
            <w:tcW w:w="8161" w:type="dxa"/>
            <w:tcBorders>
              <w:bottom w:val="single" w:color="auto" w:sz="8" w:space="0"/>
            </w:tcBorders>
            <w:vAlign w:val="center"/>
          </w:tcPr>
          <w:p>
            <w:pPr>
              <w:tabs>
                <w:tab w:val="left" w:pos="851"/>
                <w:tab w:val="left" w:pos="1134"/>
                <w:tab w:val="left" w:pos="1276"/>
              </w:tabs>
              <w:adjustRightInd w:val="0"/>
              <w:snapToGrid w:val="0"/>
              <w:spacing w:line="360" w:lineRule="auto"/>
              <w:rPr>
                <w:rFonts w:cs="宋体"/>
                <w:sz w:val="24"/>
                <w:szCs w:val="24"/>
              </w:rPr>
            </w:pPr>
            <w:r>
              <w:rPr>
                <w:rFonts w:hint="eastAsia" w:cs="宋体"/>
                <w:sz w:val="24"/>
                <w:szCs w:val="24"/>
              </w:rPr>
              <w:t>1、与项目有关的原有环境污染问题</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hint="eastAsia" w:cs="宋体"/>
                <w:sz w:val="24"/>
                <w:szCs w:val="24"/>
              </w:rPr>
              <w:t>本项目租赁靖边县鸿路工贸有限公司在靖边县经济技术开发区创业创新园科技四路拥有的“工业用地”及闲置“生产厂房、办公及生活用房等”，购置相关生产设备及环保设施，实施“高强度复合纤维复合塑料生产建设项目”。</w:t>
            </w:r>
          </w:p>
          <w:p>
            <w:pPr>
              <w:tabs>
                <w:tab w:val="left" w:pos="851"/>
                <w:tab w:val="left" w:pos="1134"/>
                <w:tab w:val="left" w:pos="1276"/>
              </w:tabs>
              <w:adjustRightInd w:val="0"/>
              <w:snapToGrid w:val="0"/>
              <w:spacing w:line="360" w:lineRule="auto"/>
              <w:ind w:firstLine="480" w:firstLineChars="200"/>
              <w:rPr>
                <w:rFonts w:cs="宋体"/>
                <w:sz w:val="24"/>
                <w:szCs w:val="24"/>
              </w:rPr>
            </w:pPr>
            <w:r>
              <w:rPr>
                <w:rFonts w:cs="宋体"/>
                <w:sz w:val="24"/>
                <w:szCs w:val="24"/>
              </w:rPr>
              <w:t>根据现场调查，</w:t>
            </w:r>
            <w:r>
              <w:rPr>
                <w:rFonts w:hint="eastAsia" w:cs="宋体"/>
                <w:sz w:val="24"/>
                <w:szCs w:val="24"/>
              </w:rPr>
              <w:t>项目租赁的靖边县鸿路工贸有限公司目前厂区现状是空置厂房、办公楼、宿舍及门房等，</w:t>
            </w:r>
            <w:r>
              <w:rPr>
                <w:rFonts w:hint="eastAsia"/>
                <w:kern w:val="0"/>
                <w:sz w:val="24"/>
                <w:szCs w:val="24"/>
              </w:rPr>
              <w:t>未安装相关生产设备及环保设施等，不存在与项目有关的环境污染问题。</w:t>
            </w:r>
          </w:p>
          <w:p>
            <w:pPr>
              <w:pStyle w:val="2"/>
              <w:ind w:firstLine="0"/>
              <w:rPr>
                <w:rFonts w:ascii="Times New Roman" w:hAnsi="Times New Roman"/>
              </w:rPr>
            </w:pPr>
          </w:p>
          <w:p/>
          <w:p>
            <w:pPr>
              <w:pStyle w:val="2"/>
            </w:pPr>
          </w:p>
          <w:p/>
          <w:p>
            <w:pPr>
              <w:pStyle w:val="2"/>
            </w:pPr>
          </w:p>
          <w:p/>
          <w:p>
            <w:pPr>
              <w:pStyle w:val="2"/>
            </w:pPr>
          </w:p>
          <w:p/>
          <w:p>
            <w:pPr>
              <w:pStyle w:val="2"/>
            </w:pPr>
          </w:p>
          <w:p/>
          <w:p>
            <w:pPr>
              <w:pStyle w:val="2"/>
            </w:pPr>
          </w:p>
          <w:p/>
          <w:p>
            <w:pPr>
              <w:pStyle w:val="2"/>
            </w:pPr>
          </w:p>
          <w:p/>
        </w:tc>
      </w:tr>
    </w:tbl>
    <w:p>
      <w:pPr>
        <w:pStyle w:val="30"/>
        <w:jc w:val="center"/>
        <w:rPr>
          <w:rFonts w:ascii="Times New Roman" w:hAnsi="Times New Roman"/>
          <w:snapToGrid w:val="0"/>
          <w:sz w:val="36"/>
          <w:szCs w:val="36"/>
        </w:rPr>
        <w:sectPr>
          <w:pgSz w:w="11906" w:h="16838"/>
          <w:pgMar w:top="1440" w:right="1531" w:bottom="1440" w:left="1531" w:header="851" w:footer="851" w:gutter="0"/>
          <w:cols w:space="720" w:num="1"/>
          <w:docGrid w:linePitch="312" w:charSpace="0"/>
        </w:sectPr>
      </w:pPr>
    </w:p>
    <w:p>
      <w:pPr>
        <w:pStyle w:val="30"/>
        <w:spacing w:before="0" w:beforeAutospacing="0" w:after="0" w:afterAutospacing="0" w:line="360" w:lineRule="auto"/>
        <w:jc w:val="center"/>
        <w:outlineLvl w:val="0"/>
        <w:rPr>
          <w:rFonts w:ascii="Times New Roman" w:hAnsi="Times New Roman"/>
          <w:b/>
          <w:snapToGrid w:val="0"/>
          <w:sz w:val="30"/>
          <w:szCs w:val="30"/>
        </w:rPr>
      </w:pPr>
      <w:r>
        <w:rPr>
          <w:rFonts w:hint="eastAsia" w:ascii="Times New Roman" w:hAnsi="Times New Roman"/>
          <w:b/>
          <w:snapToGrid w:val="0"/>
          <w:sz w:val="30"/>
          <w:szCs w:val="30"/>
        </w:rPr>
        <w:t>三、区域环境质量现状、环境保护目标及评价标准</w:t>
      </w:r>
    </w:p>
    <w:tbl>
      <w:tblPr>
        <w:tblStyle w:val="35"/>
        <w:tblW w:w="95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854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 w:hRule="atLeast"/>
          <w:jc w:val="center"/>
        </w:trPr>
        <w:tc>
          <w:tcPr>
            <w:tcW w:w="1089" w:type="dxa"/>
            <w:tcBorders>
              <w:top w:val="single" w:color="auto" w:sz="8" w:space="0"/>
            </w:tcBorders>
            <w:vAlign w:val="center"/>
          </w:tcPr>
          <w:p>
            <w:pPr>
              <w:adjustRightInd w:val="0"/>
              <w:snapToGrid w:val="0"/>
              <w:spacing w:line="480" w:lineRule="exact"/>
              <w:jc w:val="center"/>
              <w:rPr>
                <w:kern w:val="0"/>
                <w:sz w:val="24"/>
                <w:szCs w:val="24"/>
              </w:rPr>
            </w:pPr>
            <w:r>
              <w:rPr>
                <w:rFonts w:hint="eastAsia" w:cs="宋体"/>
                <w:kern w:val="0"/>
                <w:sz w:val="24"/>
                <w:szCs w:val="24"/>
              </w:rPr>
              <w:t>区域</w:t>
            </w:r>
          </w:p>
          <w:p>
            <w:pPr>
              <w:adjustRightInd w:val="0"/>
              <w:snapToGrid w:val="0"/>
              <w:spacing w:line="480" w:lineRule="exact"/>
              <w:jc w:val="center"/>
              <w:rPr>
                <w:kern w:val="0"/>
                <w:sz w:val="24"/>
                <w:szCs w:val="24"/>
              </w:rPr>
            </w:pPr>
            <w:r>
              <w:rPr>
                <w:rFonts w:hint="eastAsia" w:cs="宋体"/>
                <w:kern w:val="0"/>
                <w:sz w:val="24"/>
                <w:szCs w:val="24"/>
              </w:rPr>
              <w:t>环境</w:t>
            </w:r>
          </w:p>
          <w:p>
            <w:pPr>
              <w:adjustRightInd w:val="0"/>
              <w:snapToGrid w:val="0"/>
              <w:spacing w:line="480" w:lineRule="exact"/>
              <w:jc w:val="center"/>
              <w:rPr>
                <w:kern w:val="0"/>
                <w:sz w:val="24"/>
                <w:szCs w:val="24"/>
              </w:rPr>
            </w:pPr>
            <w:r>
              <w:rPr>
                <w:rFonts w:hint="eastAsia" w:cs="宋体"/>
                <w:kern w:val="0"/>
                <w:sz w:val="24"/>
                <w:szCs w:val="24"/>
              </w:rPr>
              <w:t>质量</w:t>
            </w:r>
          </w:p>
          <w:p>
            <w:pPr>
              <w:adjustRightInd w:val="0"/>
              <w:snapToGrid w:val="0"/>
              <w:spacing w:line="480" w:lineRule="exact"/>
              <w:jc w:val="center"/>
              <w:rPr>
                <w:kern w:val="0"/>
              </w:rPr>
            </w:pPr>
            <w:r>
              <w:rPr>
                <w:rFonts w:hint="eastAsia" w:cs="宋体"/>
                <w:kern w:val="0"/>
                <w:sz w:val="24"/>
                <w:szCs w:val="24"/>
              </w:rPr>
              <w:t>现状</w:t>
            </w:r>
          </w:p>
        </w:tc>
        <w:tc>
          <w:tcPr>
            <w:tcW w:w="8459" w:type="dxa"/>
            <w:tcBorders>
              <w:top w:val="single" w:color="auto" w:sz="8" w:space="0"/>
            </w:tcBorders>
            <w:vAlign w:val="center"/>
          </w:tcPr>
          <w:p>
            <w:pPr>
              <w:adjustRightInd w:val="0"/>
              <w:snapToGrid w:val="0"/>
              <w:spacing w:line="360" w:lineRule="auto"/>
              <w:jc w:val="left"/>
              <w:rPr>
                <w:b/>
                <w:bCs/>
                <w:sz w:val="24"/>
                <w:szCs w:val="24"/>
              </w:rPr>
            </w:pPr>
            <w:r>
              <w:rPr>
                <w:rFonts w:hint="eastAsia"/>
                <w:b/>
                <w:bCs/>
                <w:sz w:val="24"/>
                <w:szCs w:val="24"/>
              </w:rPr>
              <w:t>1、</w:t>
            </w:r>
            <w:r>
              <w:rPr>
                <w:rFonts w:hint="eastAsia" w:cs="宋体"/>
                <w:b/>
                <w:bCs/>
                <w:sz w:val="24"/>
                <w:szCs w:val="24"/>
              </w:rPr>
              <w:t>环境空气质量现状</w:t>
            </w:r>
          </w:p>
          <w:p>
            <w:pPr>
              <w:autoSpaceDE w:val="0"/>
              <w:autoSpaceDN w:val="0"/>
              <w:adjustRightInd w:val="0"/>
              <w:snapToGrid w:val="0"/>
              <w:spacing w:line="360" w:lineRule="auto"/>
              <w:ind w:firstLine="480" w:firstLineChars="200"/>
              <w:rPr>
                <w:sz w:val="24"/>
                <w:szCs w:val="24"/>
              </w:rPr>
            </w:pPr>
            <w:r>
              <w:rPr>
                <w:rFonts w:hint="eastAsia" w:cs="宋体"/>
                <w:sz w:val="24"/>
                <w:szCs w:val="24"/>
              </w:rPr>
              <w:t>（</w:t>
            </w:r>
            <w:r>
              <w:rPr>
                <w:sz w:val="24"/>
                <w:szCs w:val="24"/>
              </w:rPr>
              <w:t>1</w:t>
            </w:r>
            <w:r>
              <w:rPr>
                <w:rFonts w:hint="eastAsia" w:cs="宋体"/>
                <w:sz w:val="24"/>
                <w:szCs w:val="24"/>
              </w:rPr>
              <w:t>）区域环境空气质量达标情况</w:t>
            </w:r>
          </w:p>
          <w:p>
            <w:pPr>
              <w:autoSpaceDE w:val="0"/>
              <w:autoSpaceDN w:val="0"/>
              <w:adjustRightInd w:val="0"/>
              <w:snapToGrid w:val="0"/>
              <w:spacing w:line="360" w:lineRule="auto"/>
              <w:ind w:firstLine="480" w:firstLineChars="200"/>
              <w:rPr>
                <w:sz w:val="24"/>
                <w:szCs w:val="24"/>
              </w:rPr>
            </w:pPr>
            <w:r>
              <w:rPr>
                <w:rFonts w:hint="eastAsia" w:cs="宋体"/>
                <w:sz w:val="24"/>
                <w:szCs w:val="24"/>
              </w:rPr>
              <w:t>根据大气功能区划，本项目地位于二类功能区，环境空气质量标准执行《环境空气质量标准》（</w:t>
            </w:r>
            <w:r>
              <w:rPr>
                <w:sz w:val="24"/>
                <w:szCs w:val="24"/>
              </w:rPr>
              <w:t>GB3095-2012</w:t>
            </w:r>
            <w:r>
              <w:rPr>
                <w:rFonts w:hint="eastAsia" w:cs="宋体"/>
                <w:sz w:val="24"/>
                <w:szCs w:val="24"/>
              </w:rPr>
              <w:t>）及其修改单（生态环境部2018年第29号）二级标准限值。</w:t>
            </w:r>
          </w:p>
          <w:p>
            <w:pPr>
              <w:autoSpaceDE w:val="0"/>
              <w:autoSpaceDN w:val="0"/>
              <w:adjustRightInd w:val="0"/>
              <w:snapToGrid w:val="0"/>
              <w:spacing w:line="360" w:lineRule="auto"/>
              <w:ind w:firstLine="480" w:firstLineChars="200"/>
              <w:rPr>
                <w:rFonts w:cs="宋体"/>
                <w:sz w:val="24"/>
                <w:szCs w:val="24"/>
              </w:rPr>
            </w:pPr>
            <w:r>
              <w:rPr>
                <w:rFonts w:hint="eastAsia" w:cs="宋体"/>
                <w:sz w:val="24"/>
                <w:szCs w:val="24"/>
              </w:rPr>
              <w:t>本项目</w:t>
            </w:r>
            <w:r>
              <w:rPr>
                <w:sz w:val="24"/>
              </w:rPr>
              <w:t>位于</w:t>
            </w:r>
            <w:r>
              <w:rPr>
                <w:rFonts w:hint="eastAsia"/>
                <w:sz w:val="24"/>
              </w:rPr>
              <w:t>陕西省榆林市靖边县经开区创业创新园。</w:t>
            </w:r>
            <w:r>
              <w:rPr>
                <w:rFonts w:hint="eastAsia" w:cs="宋体"/>
                <w:sz w:val="24"/>
                <w:szCs w:val="24"/>
              </w:rPr>
              <w:t>评价基准年为</w:t>
            </w:r>
            <w:r>
              <w:rPr>
                <w:sz w:val="24"/>
                <w:szCs w:val="24"/>
              </w:rPr>
              <w:t>202</w:t>
            </w:r>
            <w:r>
              <w:rPr>
                <w:rFonts w:hint="eastAsia"/>
                <w:sz w:val="24"/>
                <w:szCs w:val="24"/>
              </w:rPr>
              <w:t>2</w:t>
            </w:r>
            <w:r>
              <w:rPr>
                <w:rFonts w:hint="eastAsia" w:cs="宋体"/>
                <w:sz w:val="24"/>
                <w:szCs w:val="24"/>
              </w:rPr>
              <w:t>年，空气环境质量基本污染物</w:t>
            </w:r>
            <w:r>
              <w:rPr>
                <w:sz w:val="24"/>
                <w:szCs w:val="24"/>
              </w:rPr>
              <w:t>SO</w:t>
            </w:r>
            <w:r>
              <w:rPr>
                <w:sz w:val="24"/>
                <w:szCs w:val="24"/>
                <w:vertAlign w:val="subscript"/>
              </w:rPr>
              <w:t>2</w:t>
            </w:r>
            <w:r>
              <w:rPr>
                <w:rFonts w:hint="eastAsia" w:cs="宋体"/>
                <w:sz w:val="24"/>
                <w:szCs w:val="24"/>
              </w:rPr>
              <w:t>、</w:t>
            </w:r>
            <w:r>
              <w:rPr>
                <w:sz w:val="24"/>
                <w:szCs w:val="24"/>
              </w:rPr>
              <w:t>NO</w:t>
            </w:r>
            <w:r>
              <w:rPr>
                <w:sz w:val="24"/>
                <w:szCs w:val="24"/>
                <w:vertAlign w:val="subscript"/>
              </w:rPr>
              <w:t>2</w:t>
            </w:r>
            <w:r>
              <w:rPr>
                <w:rFonts w:hint="eastAsia" w:cs="宋体"/>
                <w:sz w:val="24"/>
                <w:szCs w:val="24"/>
              </w:rPr>
              <w:t>、</w:t>
            </w:r>
            <w:r>
              <w:rPr>
                <w:sz w:val="24"/>
                <w:szCs w:val="24"/>
              </w:rPr>
              <w:t>PM</w:t>
            </w:r>
            <w:r>
              <w:rPr>
                <w:sz w:val="24"/>
                <w:szCs w:val="24"/>
                <w:vertAlign w:val="subscript"/>
              </w:rPr>
              <w:t>2.5</w:t>
            </w:r>
            <w:r>
              <w:rPr>
                <w:rFonts w:hint="eastAsia" w:cs="宋体"/>
                <w:sz w:val="24"/>
                <w:szCs w:val="24"/>
              </w:rPr>
              <w:t>、</w:t>
            </w:r>
            <w:r>
              <w:rPr>
                <w:sz w:val="24"/>
                <w:szCs w:val="24"/>
              </w:rPr>
              <w:t>PM</w:t>
            </w:r>
            <w:r>
              <w:rPr>
                <w:sz w:val="24"/>
                <w:szCs w:val="24"/>
                <w:vertAlign w:val="subscript"/>
              </w:rPr>
              <w:t>10</w:t>
            </w:r>
            <w:r>
              <w:rPr>
                <w:rFonts w:hint="eastAsia" w:cs="宋体"/>
                <w:sz w:val="24"/>
                <w:szCs w:val="24"/>
              </w:rPr>
              <w:t>、</w:t>
            </w:r>
            <w:r>
              <w:rPr>
                <w:sz w:val="24"/>
                <w:szCs w:val="24"/>
              </w:rPr>
              <w:t>CO</w:t>
            </w:r>
            <w:r>
              <w:rPr>
                <w:rFonts w:hint="eastAsia" w:cs="宋体"/>
                <w:sz w:val="24"/>
                <w:szCs w:val="24"/>
              </w:rPr>
              <w:t>、</w:t>
            </w:r>
            <w:r>
              <w:rPr>
                <w:sz w:val="24"/>
                <w:szCs w:val="24"/>
              </w:rPr>
              <w:t>O</w:t>
            </w:r>
            <w:r>
              <w:rPr>
                <w:sz w:val="24"/>
                <w:szCs w:val="24"/>
                <w:vertAlign w:val="subscript"/>
              </w:rPr>
              <w:t>3</w:t>
            </w:r>
            <w:r>
              <w:rPr>
                <w:rFonts w:hint="eastAsia" w:cs="宋体"/>
                <w:sz w:val="24"/>
                <w:szCs w:val="24"/>
              </w:rPr>
              <w:t>监测数据引用</w:t>
            </w:r>
            <w:r>
              <w:rPr>
                <w:rFonts w:cs="宋体"/>
                <w:sz w:val="24"/>
                <w:szCs w:val="24"/>
              </w:rPr>
              <w:t>陕西省生态环境厅办公室</w:t>
            </w:r>
            <w:r>
              <w:rPr>
                <w:rFonts w:hint="eastAsia" w:cs="宋体"/>
                <w:sz w:val="24"/>
                <w:szCs w:val="24"/>
              </w:rPr>
              <w:t>于2023年1月18日</w:t>
            </w:r>
            <w:r>
              <w:rPr>
                <w:rFonts w:cs="宋体"/>
                <w:sz w:val="24"/>
                <w:szCs w:val="24"/>
              </w:rPr>
              <w:t>发布</w:t>
            </w:r>
            <w:r>
              <w:rPr>
                <w:rFonts w:hint="eastAsia" w:cs="宋体"/>
                <w:sz w:val="24"/>
                <w:szCs w:val="24"/>
              </w:rPr>
              <w:t>的</w:t>
            </w:r>
            <w:r>
              <w:rPr>
                <w:rFonts w:cs="宋体"/>
                <w:sz w:val="24"/>
                <w:szCs w:val="24"/>
              </w:rPr>
              <w:t>环保快报</w:t>
            </w:r>
            <w:r>
              <w:rPr>
                <w:rFonts w:hint="eastAsia" w:cs="宋体"/>
                <w:sz w:val="24"/>
                <w:szCs w:val="24"/>
              </w:rPr>
              <w:t>“</w:t>
            </w:r>
            <w:r>
              <w:rPr>
                <w:rFonts w:cs="宋体"/>
                <w:sz w:val="24"/>
                <w:szCs w:val="24"/>
              </w:rPr>
              <w:t>2022年12月及1~12月全省环境空气质量状况</w:t>
            </w:r>
            <w:r>
              <w:rPr>
                <w:rFonts w:hint="eastAsia" w:cs="宋体"/>
                <w:sz w:val="24"/>
                <w:szCs w:val="24"/>
              </w:rPr>
              <w:t>”。</w:t>
            </w:r>
          </w:p>
          <w:p>
            <w:pPr>
              <w:pStyle w:val="34"/>
              <w:adjustRightInd w:val="0"/>
              <w:snapToGrid w:val="0"/>
              <w:spacing w:after="0" w:line="360" w:lineRule="auto"/>
              <w:ind w:left="0" w:leftChars="0" w:firstLine="0"/>
              <w:jc w:val="center"/>
              <w:rPr>
                <w:b/>
                <w:bCs/>
              </w:rPr>
            </w:pPr>
            <w:r>
              <w:rPr>
                <w:rFonts w:hint="eastAsia" w:cs="宋体"/>
                <w:b/>
                <w:bCs/>
              </w:rPr>
              <w:t>表</w:t>
            </w:r>
            <w:r>
              <w:rPr>
                <w:b/>
                <w:bCs/>
              </w:rPr>
              <w:t>3-1  202</w:t>
            </w:r>
            <w:r>
              <w:rPr>
                <w:rFonts w:hint="eastAsia"/>
                <w:b/>
                <w:bCs/>
              </w:rPr>
              <w:t>2</w:t>
            </w:r>
            <w:r>
              <w:rPr>
                <w:rFonts w:hint="eastAsia" w:cs="宋体"/>
                <w:b/>
                <w:bCs/>
              </w:rPr>
              <w:t>年靖边县环境空气质量状况统计结果</w:t>
            </w:r>
          </w:p>
          <w:tbl>
            <w:tblPr>
              <w:tblStyle w:val="3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1918"/>
              <w:gridCol w:w="1243"/>
              <w:gridCol w:w="1383"/>
              <w:gridCol w:w="1244"/>
              <w:gridCol w:w="11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8" w:space="0"/>
                    <w:left w:val="single" w:color="auto" w:sz="8" w:space="0"/>
                    <w:bottom w:val="single" w:color="auto" w:sz="4" w:space="0"/>
                    <w:right w:val="single" w:color="auto" w:sz="4" w:space="0"/>
                  </w:tcBorders>
                  <w:vAlign w:val="center"/>
                </w:tcPr>
                <w:p>
                  <w:pPr>
                    <w:adjustRightInd w:val="0"/>
                    <w:snapToGrid w:val="0"/>
                    <w:jc w:val="center"/>
                  </w:pPr>
                  <w:r>
                    <w:rPr>
                      <w:rFonts w:hint="eastAsia" w:cs="宋体"/>
                    </w:rPr>
                    <w:t>污染物</w:t>
                  </w:r>
                </w:p>
              </w:tc>
              <w:tc>
                <w:tcPr>
                  <w:tcW w:w="1897"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年评价指标</w:t>
                  </w:r>
                </w:p>
              </w:tc>
              <w:tc>
                <w:tcPr>
                  <w:tcW w:w="1230"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现状浓度（</w:t>
                  </w:r>
                  <w:r>
                    <w:t>μg/m³</w:t>
                  </w:r>
                  <w:r>
                    <w:rPr>
                      <w:rFonts w:hint="eastAsia" w:cs="宋体"/>
                    </w:rPr>
                    <w:t>）</w:t>
                  </w:r>
                </w:p>
              </w:tc>
              <w:tc>
                <w:tcPr>
                  <w:tcW w:w="1368"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标准值（</w:t>
                  </w:r>
                  <w:r>
                    <w:t>μg/m³</w:t>
                  </w:r>
                  <w:r>
                    <w:rPr>
                      <w:rFonts w:hint="eastAsia" w:cs="宋体"/>
                    </w:rPr>
                    <w:t>）</w:t>
                  </w:r>
                </w:p>
              </w:tc>
              <w:tc>
                <w:tcPr>
                  <w:tcW w:w="1231"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占标率</w:t>
                  </w:r>
                </w:p>
                <w:p>
                  <w:pPr>
                    <w:adjustRightInd w:val="0"/>
                    <w:snapToGrid w:val="0"/>
                    <w:jc w:val="center"/>
                  </w:pPr>
                  <w:r>
                    <w:rPr>
                      <w:rFonts w:hint="eastAsia" w:cs="宋体"/>
                    </w:rPr>
                    <w:t>（</w:t>
                  </w:r>
                  <w:r>
                    <w:t>%</w:t>
                  </w:r>
                  <w:r>
                    <w:rPr>
                      <w:rFonts w:hint="eastAsia" w:cs="宋体"/>
                    </w:rPr>
                    <w:t>）</w:t>
                  </w:r>
                </w:p>
              </w:tc>
              <w:tc>
                <w:tcPr>
                  <w:tcW w:w="1143" w:type="dxa"/>
                  <w:tcBorders>
                    <w:top w:val="single" w:color="auto" w:sz="8" w:space="0"/>
                    <w:left w:val="single" w:color="auto" w:sz="4" w:space="0"/>
                    <w:bottom w:val="single" w:color="auto" w:sz="4" w:space="0"/>
                    <w:right w:val="single" w:color="auto" w:sz="8" w:space="0"/>
                  </w:tcBorders>
                  <w:vAlign w:val="center"/>
                </w:tcPr>
                <w:p>
                  <w:pPr>
                    <w:adjustRightInd w:val="0"/>
                    <w:snapToGrid w:val="0"/>
                    <w:jc w:val="center"/>
                  </w:pPr>
                  <w:r>
                    <w:rPr>
                      <w:rFonts w:hint="eastAsia" w:cs="宋体"/>
                    </w:rPr>
                    <w:t>达标情况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pPr>
                  <w:r>
                    <w:t>SO</w:t>
                  </w:r>
                  <w:r>
                    <w:rPr>
                      <w:vertAlign w:val="subscript"/>
                    </w:rPr>
                    <w:t>2</w:t>
                  </w:r>
                </w:p>
              </w:tc>
              <w:tc>
                <w:tcPr>
                  <w:tcW w:w="189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年平均质量浓度</w:t>
                  </w: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w:t>
                  </w:r>
                </w:p>
              </w:tc>
              <w:tc>
                <w:tcPr>
                  <w:tcW w:w="1368" w:type="dxa"/>
                  <w:tcBorders>
                    <w:top w:val="single" w:color="auto" w:sz="4" w:space="0"/>
                    <w:left w:val="single" w:color="auto" w:sz="4" w:space="0"/>
                    <w:bottom w:val="single" w:color="auto" w:sz="4" w:space="0"/>
                    <w:right w:val="single" w:color="auto" w:sz="4" w:space="0"/>
                  </w:tcBorders>
                  <w:vAlign w:val="center"/>
                </w:tcPr>
                <w:p>
                  <w:pPr>
                    <w:pStyle w:val="145"/>
                    <w:spacing w:beforeLines="0" w:afterLines="0"/>
                    <w:rPr>
                      <w:b w:val="0"/>
                      <w:bCs/>
                    </w:rPr>
                  </w:pPr>
                  <w:r>
                    <w:rPr>
                      <w:b w:val="0"/>
                      <w:bCs/>
                      <w:kern w:val="0"/>
                    </w:rPr>
                    <w:t>60</w:t>
                  </w:r>
                </w:p>
              </w:tc>
              <w:tc>
                <w:tcPr>
                  <w:tcW w:w="123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rPr>
                    <w:t>16.7</w:t>
                  </w:r>
                </w:p>
              </w:tc>
              <w:tc>
                <w:tcPr>
                  <w:tcW w:w="1143" w:type="dxa"/>
                  <w:tcBorders>
                    <w:top w:val="single" w:color="auto" w:sz="4" w:space="0"/>
                    <w:left w:val="single" w:color="auto" w:sz="4" w:space="0"/>
                    <w:bottom w:val="single" w:color="auto" w:sz="4"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pPr>
                  <w:r>
                    <w:t>NO</w:t>
                  </w:r>
                  <w:r>
                    <w:rPr>
                      <w:vertAlign w:val="subscript"/>
                    </w:rPr>
                    <w:t>2</w:t>
                  </w:r>
                </w:p>
              </w:tc>
              <w:tc>
                <w:tcPr>
                  <w:tcW w:w="189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22</w:t>
                  </w:r>
                </w:p>
              </w:tc>
              <w:tc>
                <w:tcPr>
                  <w:tcW w:w="1368" w:type="dxa"/>
                  <w:tcBorders>
                    <w:top w:val="single" w:color="auto" w:sz="4" w:space="0"/>
                    <w:left w:val="single" w:color="auto" w:sz="4" w:space="0"/>
                    <w:bottom w:val="single" w:color="auto" w:sz="4" w:space="0"/>
                    <w:right w:val="single" w:color="auto" w:sz="4" w:space="0"/>
                  </w:tcBorders>
                  <w:vAlign w:val="center"/>
                </w:tcPr>
                <w:p>
                  <w:pPr>
                    <w:pStyle w:val="145"/>
                    <w:spacing w:beforeLines="0" w:afterLines="0"/>
                    <w:rPr>
                      <w:b w:val="0"/>
                      <w:bCs/>
                    </w:rPr>
                  </w:pPr>
                  <w:r>
                    <w:rPr>
                      <w:b w:val="0"/>
                      <w:bCs/>
                      <w:kern w:val="0"/>
                    </w:rPr>
                    <w:t>40</w:t>
                  </w:r>
                </w:p>
              </w:tc>
              <w:tc>
                <w:tcPr>
                  <w:tcW w:w="123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rPr>
                    <w:t>55.0</w:t>
                  </w:r>
                </w:p>
              </w:tc>
              <w:tc>
                <w:tcPr>
                  <w:tcW w:w="1143" w:type="dxa"/>
                  <w:tcBorders>
                    <w:top w:val="single" w:color="auto" w:sz="4" w:space="0"/>
                    <w:left w:val="single" w:color="auto" w:sz="4" w:space="0"/>
                    <w:bottom w:val="single" w:color="auto" w:sz="4"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pPr>
                  <w:r>
                    <w:t>PM</w:t>
                  </w:r>
                  <w:r>
                    <w:rPr>
                      <w:vertAlign w:val="subscript"/>
                    </w:rPr>
                    <w:t>10</w:t>
                  </w:r>
                </w:p>
              </w:tc>
              <w:tc>
                <w:tcPr>
                  <w:tcW w:w="189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54</w:t>
                  </w:r>
                </w:p>
              </w:tc>
              <w:tc>
                <w:tcPr>
                  <w:tcW w:w="1368" w:type="dxa"/>
                  <w:tcBorders>
                    <w:top w:val="single" w:color="auto" w:sz="4" w:space="0"/>
                    <w:left w:val="single" w:color="auto" w:sz="4" w:space="0"/>
                    <w:bottom w:val="single" w:color="auto" w:sz="4" w:space="0"/>
                    <w:right w:val="single" w:color="auto" w:sz="4" w:space="0"/>
                  </w:tcBorders>
                  <w:vAlign w:val="center"/>
                </w:tcPr>
                <w:p>
                  <w:pPr>
                    <w:pStyle w:val="145"/>
                    <w:spacing w:beforeLines="0" w:afterLines="0"/>
                    <w:rPr>
                      <w:b w:val="0"/>
                      <w:bCs/>
                    </w:rPr>
                  </w:pPr>
                  <w:r>
                    <w:rPr>
                      <w:b w:val="0"/>
                      <w:bCs/>
                      <w:kern w:val="0"/>
                    </w:rPr>
                    <w:t>70</w:t>
                  </w:r>
                </w:p>
              </w:tc>
              <w:tc>
                <w:tcPr>
                  <w:tcW w:w="123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rPr>
                    <w:t>77.1</w:t>
                  </w:r>
                </w:p>
              </w:tc>
              <w:tc>
                <w:tcPr>
                  <w:tcW w:w="1143" w:type="dxa"/>
                  <w:tcBorders>
                    <w:top w:val="single" w:color="auto" w:sz="4" w:space="0"/>
                    <w:left w:val="single" w:color="auto" w:sz="4" w:space="0"/>
                    <w:bottom w:val="single" w:color="auto" w:sz="4"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pPr>
                  <w:r>
                    <w:t>PM</w:t>
                  </w:r>
                  <w:r>
                    <w:rPr>
                      <w:vertAlign w:val="subscript"/>
                    </w:rPr>
                    <w:t>2.5</w:t>
                  </w:r>
                </w:p>
              </w:tc>
              <w:tc>
                <w:tcPr>
                  <w:tcW w:w="189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26</w:t>
                  </w:r>
                </w:p>
              </w:tc>
              <w:tc>
                <w:tcPr>
                  <w:tcW w:w="1368" w:type="dxa"/>
                  <w:tcBorders>
                    <w:top w:val="single" w:color="auto" w:sz="4" w:space="0"/>
                    <w:left w:val="single" w:color="auto" w:sz="4" w:space="0"/>
                    <w:bottom w:val="single" w:color="auto" w:sz="4" w:space="0"/>
                    <w:right w:val="single" w:color="auto" w:sz="4" w:space="0"/>
                  </w:tcBorders>
                  <w:vAlign w:val="center"/>
                </w:tcPr>
                <w:p>
                  <w:pPr>
                    <w:pStyle w:val="145"/>
                    <w:spacing w:beforeLines="0" w:afterLines="0"/>
                    <w:rPr>
                      <w:b w:val="0"/>
                      <w:bCs/>
                    </w:rPr>
                  </w:pPr>
                  <w:r>
                    <w:rPr>
                      <w:b w:val="0"/>
                      <w:bCs/>
                      <w:kern w:val="0"/>
                    </w:rPr>
                    <w:t>35</w:t>
                  </w:r>
                </w:p>
              </w:tc>
              <w:tc>
                <w:tcPr>
                  <w:tcW w:w="1231"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pPr>
                  <w:r>
                    <w:rPr>
                      <w:rFonts w:hint="eastAsia"/>
                    </w:rPr>
                    <w:t>74.3</w:t>
                  </w:r>
                </w:p>
              </w:tc>
              <w:tc>
                <w:tcPr>
                  <w:tcW w:w="1143" w:type="dxa"/>
                  <w:tcBorders>
                    <w:top w:val="single" w:color="auto" w:sz="4" w:space="0"/>
                    <w:left w:val="single" w:color="auto" w:sz="4" w:space="0"/>
                    <w:bottom w:val="single" w:color="auto" w:sz="4"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4" w:space="0"/>
                    <w:right w:val="single" w:color="auto" w:sz="4" w:space="0"/>
                  </w:tcBorders>
                  <w:vAlign w:val="center"/>
                </w:tcPr>
                <w:p>
                  <w:pPr>
                    <w:adjustRightInd w:val="0"/>
                    <w:snapToGrid w:val="0"/>
                    <w:jc w:val="center"/>
                  </w:pPr>
                  <w:r>
                    <w:t>CO</w:t>
                  </w:r>
                  <w:r>
                    <w:rPr>
                      <w:rFonts w:hint="eastAsia" w:cs="宋体"/>
                    </w:rPr>
                    <w:t>第</w:t>
                  </w:r>
                  <w:r>
                    <w:t>95</w:t>
                  </w:r>
                </w:p>
                <w:p>
                  <w:pPr>
                    <w:adjustRightInd w:val="0"/>
                    <w:snapToGrid w:val="0"/>
                    <w:jc w:val="center"/>
                  </w:pPr>
                  <w:r>
                    <w:rPr>
                      <w:rFonts w:hint="eastAsia" w:cs="宋体"/>
                    </w:rPr>
                    <w:t>百分位浓度</w:t>
                  </w:r>
                </w:p>
              </w:tc>
              <w:tc>
                <w:tcPr>
                  <w:tcW w:w="189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24h</w:t>
                  </w:r>
                  <w:r>
                    <w:rPr>
                      <w:rFonts w:hint="eastAsia" w:cs="宋体"/>
                    </w:rPr>
                    <w:t>平均质量浓度</w:t>
                  </w:r>
                </w:p>
              </w:tc>
              <w:tc>
                <w:tcPr>
                  <w:tcW w:w="12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1200</w:t>
                  </w:r>
                </w:p>
              </w:tc>
              <w:tc>
                <w:tcPr>
                  <w:tcW w:w="1368" w:type="dxa"/>
                  <w:tcBorders>
                    <w:top w:val="single" w:color="auto" w:sz="4" w:space="0"/>
                    <w:left w:val="single" w:color="auto" w:sz="4" w:space="0"/>
                    <w:bottom w:val="single" w:color="auto" w:sz="4" w:space="0"/>
                    <w:right w:val="single" w:color="auto" w:sz="4" w:space="0"/>
                  </w:tcBorders>
                  <w:vAlign w:val="center"/>
                </w:tcPr>
                <w:p>
                  <w:pPr>
                    <w:pStyle w:val="145"/>
                    <w:spacing w:beforeLines="0" w:afterLines="0"/>
                    <w:rPr>
                      <w:b w:val="0"/>
                      <w:bCs/>
                    </w:rPr>
                  </w:pPr>
                  <w:r>
                    <w:rPr>
                      <w:b w:val="0"/>
                      <w:bCs/>
                      <w:kern w:val="0"/>
                    </w:rPr>
                    <w:t>4</w:t>
                  </w:r>
                  <w:r>
                    <w:rPr>
                      <w:rFonts w:hint="eastAsia"/>
                      <w:b w:val="0"/>
                      <w:bCs/>
                      <w:kern w:val="0"/>
                    </w:rPr>
                    <w:t>000</w:t>
                  </w:r>
                </w:p>
              </w:tc>
              <w:tc>
                <w:tcPr>
                  <w:tcW w:w="1231" w:type="dxa"/>
                  <w:tcBorders>
                    <w:top w:val="single" w:color="auto" w:sz="4" w:space="0"/>
                    <w:left w:val="single" w:color="auto" w:sz="4" w:space="0"/>
                    <w:bottom w:val="single" w:color="auto" w:sz="4" w:space="0"/>
                    <w:right w:val="single" w:color="auto" w:sz="4" w:space="0"/>
                  </w:tcBorders>
                  <w:vAlign w:val="center"/>
                </w:tcPr>
                <w:p>
                  <w:pPr>
                    <w:widowControl/>
                    <w:tabs>
                      <w:tab w:val="left" w:pos="3555"/>
                    </w:tabs>
                    <w:adjustRightInd w:val="0"/>
                    <w:snapToGrid w:val="0"/>
                    <w:jc w:val="center"/>
                    <w:rPr>
                      <w:snapToGrid w:val="0"/>
                      <w:kern w:val="0"/>
                    </w:rPr>
                  </w:pPr>
                  <w:r>
                    <w:rPr>
                      <w:rFonts w:hint="eastAsia"/>
                      <w:snapToGrid w:val="0"/>
                      <w:kern w:val="0"/>
                    </w:rPr>
                    <w:t>30.0</w:t>
                  </w:r>
                </w:p>
              </w:tc>
              <w:tc>
                <w:tcPr>
                  <w:tcW w:w="1143" w:type="dxa"/>
                  <w:tcBorders>
                    <w:top w:val="single" w:color="auto" w:sz="4" w:space="0"/>
                    <w:left w:val="single" w:color="auto" w:sz="4" w:space="0"/>
                    <w:bottom w:val="single" w:color="auto" w:sz="4"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354" w:type="dxa"/>
                  <w:tcBorders>
                    <w:top w:val="single" w:color="auto" w:sz="4" w:space="0"/>
                    <w:left w:val="single" w:color="auto" w:sz="8" w:space="0"/>
                    <w:bottom w:val="single" w:color="auto" w:sz="8" w:space="0"/>
                    <w:right w:val="single" w:color="auto" w:sz="4" w:space="0"/>
                  </w:tcBorders>
                  <w:vAlign w:val="center"/>
                </w:tcPr>
                <w:p>
                  <w:pPr>
                    <w:adjustRightInd w:val="0"/>
                    <w:snapToGrid w:val="0"/>
                    <w:jc w:val="center"/>
                  </w:pPr>
                  <w:r>
                    <w:t>O</w:t>
                  </w:r>
                  <w:r>
                    <w:rPr>
                      <w:vertAlign w:val="subscript"/>
                    </w:rPr>
                    <w:t>3</w:t>
                  </w:r>
                  <w:r>
                    <w:rPr>
                      <w:rFonts w:hint="eastAsia" w:cs="宋体"/>
                    </w:rPr>
                    <w:t>第</w:t>
                  </w:r>
                  <w:r>
                    <w:t>90</w:t>
                  </w:r>
                </w:p>
                <w:p>
                  <w:pPr>
                    <w:adjustRightInd w:val="0"/>
                    <w:snapToGrid w:val="0"/>
                    <w:jc w:val="center"/>
                  </w:pPr>
                  <w:r>
                    <w:rPr>
                      <w:rFonts w:hint="eastAsia" w:cs="宋体"/>
                    </w:rPr>
                    <w:t>百分位浓度</w:t>
                  </w:r>
                </w:p>
              </w:tc>
              <w:tc>
                <w:tcPr>
                  <w:tcW w:w="1897"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rPr>
                      <w:rFonts w:hint="eastAsia" w:cs="宋体"/>
                    </w:rPr>
                    <w:t>日最大</w:t>
                  </w:r>
                  <w:r>
                    <w:t>8h</w:t>
                  </w:r>
                  <w:r>
                    <w:rPr>
                      <w:rFonts w:hint="eastAsia" w:cs="宋体"/>
                    </w:rPr>
                    <w:t>平均质量浓度</w:t>
                  </w:r>
                </w:p>
              </w:tc>
              <w:tc>
                <w:tcPr>
                  <w:tcW w:w="1230"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rPr>
                      <w:rFonts w:hint="eastAsia"/>
                    </w:rPr>
                    <w:t>129</w:t>
                  </w:r>
                </w:p>
              </w:tc>
              <w:tc>
                <w:tcPr>
                  <w:tcW w:w="1368" w:type="dxa"/>
                  <w:tcBorders>
                    <w:top w:val="single" w:color="auto" w:sz="4" w:space="0"/>
                    <w:left w:val="single" w:color="auto" w:sz="4" w:space="0"/>
                    <w:bottom w:val="single" w:color="auto" w:sz="8" w:space="0"/>
                    <w:right w:val="single" w:color="auto" w:sz="4" w:space="0"/>
                  </w:tcBorders>
                  <w:vAlign w:val="center"/>
                </w:tcPr>
                <w:p>
                  <w:pPr>
                    <w:pStyle w:val="145"/>
                    <w:spacing w:beforeLines="0" w:afterLines="0"/>
                    <w:rPr>
                      <w:b w:val="0"/>
                      <w:bCs/>
                    </w:rPr>
                  </w:pPr>
                  <w:r>
                    <w:rPr>
                      <w:b w:val="0"/>
                      <w:bCs/>
                      <w:kern w:val="0"/>
                    </w:rPr>
                    <w:t>160</w:t>
                  </w:r>
                </w:p>
              </w:tc>
              <w:tc>
                <w:tcPr>
                  <w:tcW w:w="1231" w:type="dxa"/>
                  <w:tcBorders>
                    <w:top w:val="single" w:color="auto" w:sz="4" w:space="0"/>
                    <w:left w:val="single" w:color="auto" w:sz="4" w:space="0"/>
                    <w:bottom w:val="single" w:color="auto" w:sz="8" w:space="0"/>
                    <w:right w:val="single" w:color="auto" w:sz="4" w:space="0"/>
                  </w:tcBorders>
                  <w:vAlign w:val="center"/>
                </w:tcPr>
                <w:p>
                  <w:pPr>
                    <w:widowControl/>
                    <w:jc w:val="center"/>
                    <w:textAlignment w:val="center"/>
                  </w:pPr>
                  <w:r>
                    <w:rPr>
                      <w:rFonts w:hint="eastAsia"/>
                    </w:rPr>
                    <w:t>80.6</w:t>
                  </w:r>
                </w:p>
              </w:tc>
              <w:tc>
                <w:tcPr>
                  <w:tcW w:w="1143" w:type="dxa"/>
                  <w:tcBorders>
                    <w:top w:val="single" w:color="auto" w:sz="4" w:space="0"/>
                    <w:left w:val="single" w:color="auto" w:sz="4" w:space="0"/>
                    <w:bottom w:val="single" w:color="auto" w:sz="8" w:space="0"/>
                    <w:right w:val="single" w:color="auto" w:sz="8" w:space="0"/>
                  </w:tcBorders>
                  <w:vAlign w:val="center"/>
                </w:tcPr>
                <w:p>
                  <w:pPr>
                    <w:widowControl/>
                    <w:tabs>
                      <w:tab w:val="left" w:pos="3555"/>
                    </w:tabs>
                    <w:adjustRightInd w:val="0"/>
                    <w:snapToGrid w:val="0"/>
                    <w:jc w:val="center"/>
                    <w:rPr>
                      <w:snapToGrid w:val="0"/>
                      <w:kern w:val="0"/>
                    </w:rPr>
                  </w:pPr>
                  <w:r>
                    <w:rPr>
                      <w:snapToGrid w:val="0"/>
                      <w:kern w:val="0"/>
                    </w:rPr>
                    <w:t>达标</w:t>
                  </w:r>
                </w:p>
              </w:tc>
            </w:tr>
          </w:tbl>
          <w:p>
            <w:pPr>
              <w:autoSpaceDE w:val="0"/>
              <w:autoSpaceDN w:val="0"/>
              <w:adjustRightInd w:val="0"/>
              <w:snapToGrid w:val="0"/>
              <w:spacing w:line="360" w:lineRule="auto"/>
              <w:ind w:firstLine="480" w:firstLineChars="200"/>
              <w:rPr>
                <w:sz w:val="24"/>
                <w:szCs w:val="24"/>
              </w:rPr>
            </w:pPr>
            <w:r>
              <w:rPr>
                <w:rFonts w:hint="eastAsia" w:cs="宋体"/>
                <w:sz w:val="24"/>
                <w:szCs w:val="24"/>
              </w:rPr>
              <w:t>根据统计结果，环境空气常规六项指标中，</w:t>
            </w:r>
            <w:r>
              <w:rPr>
                <w:sz w:val="24"/>
                <w:szCs w:val="24"/>
              </w:rPr>
              <w:t>PM</w:t>
            </w:r>
            <w:r>
              <w:rPr>
                <w:sz w:val="24"/>
                <w:szCs w:val="24"/>
                <w:vertAlign w:val="subscript"/>
              </w:rPr>
              <w:t>2.5</w:t>
            </w:r>
            <w:r>
              <w:rPr>
                <w:rFonts w:hint="eastAsia" w:cs="宋体"/>
                <w:sz w:val="24"/>
                <w:szCs w:val="24"/>
              </w:rPr>
              <w:t>年平均质量浓度、</w:t>
            </w:r>
            <w:r>
              <w:rPr>
                <w:rFonts w:cs="宋体"/>
                <w:sz w:val="24"/>
                <w:szCs w:val="24"/>
              </w:rPr>
              <w:t>PM</w:t>
            </w:r>
            <w:r>
              <w:rPr>
                <w:rFonts w:cs="宋体"/>
                <w:sz w:val="24"/>
                <w:szCs w:val="24"/>
                <w:vertAlign w:val="subscript"/>
              </w:rPr>
              <w:t>10</w:t>
            </w:r>
            <w:r>
              <w:rPr>
                <w:rFonts w:hint="eastAsia" w:cs="宋体"/>
                <w:sz w:val="24"/>
                <w:szCs w:val="24"/>
              </w:rPr>
              <w:t>年平均质量浓度、</w:t>
            </w:r>
            <w:r>
              <w:rPr>
                <w:sz w:val="24"/>
                <w:szCs w:val="24"/>
              </w:rPr>
              <w:t>NO</w:t>
            </w:r>
            <w:r>
              <w:rPr>
                <w:sz w:val="24"/>
                <w:szCs w:val="24"/>
                <w:vertAlign w:val="subscript"/>
              </w:rPr>
              <w:t>2</w:t>
            </w:r>
            <w:r>
              <w:rPr>
                <w:rFonts w:hint="eastAsia" w:cs="宋体"/>
                <w:sz w:val="24"/>
                <w:szCs w:val="24"/>
              </w:rPr>
              <w:t>年平均质量浓度、</w:t>
            </w:r>
            <w:r>
              <w:rPr>
                <w:sz w:val="24"/>
                <w:szCs w:val="24"/>
              </w:rPr>
              <w:t>SO</w:t>
            </w:r>
            <w:r>
              <w:rPr>
                <w:sz w:val="24"/>
                <w:szCs w:val="24"/>
                <w:vertAlign w:val="subscript"/>
              </w:rPr>
              <w:t>2</w:t>
            </w:r>
            <w:r>
              <w:rPr>
                <w:rFonts w:hint="eastAsia" w:cs="宋体"/>
                <w:sz w:val="24"/>
                <w:szCs w:val="24"/>
              </w:rPr>
              <w:t>年平均质量浓度、</w:t>
            </w:r>
            <w:r>
              <w:rPr>
                <w:sz w:val="24"/>
                <w:szCs w:val="24"/>
              </w:rPr>
              <w:t>CO24小时平均第95百分位数</w:t>
            </w:r>
            <w:r>
              <w:rPr>
                <w:rFonts w:hint="eastAsia"/>
                <w:sz w:val="24"/>
                <w:szCs w:val="24"/>
              </w:rPr>
              <w:t>平均</w:t>
            </w:r>
            <w:r>
              <w:rPr>
                <w:sz w:val="24"/>
                <w:szCs w:val="24"/>
              </w:rPr>
              <w:t>浓度</w:t>
            </w:r>
            <w:r>
              <w:rPr>
                <w:rFonts w:hint="eastAsia" w:cs="宋体"/>
                <w:sz w:val="24"/>
                <w:szCs w:val="24"/>
              </w:rPr>
              <w:t>和</w:t>
            </w:r>
            <w:r>
              <w:rPr>
                <w:sz w:val="24"/>
                <w:szCs w:val="24"/>
              </w:rPr>
              <w:t>O</w:t>
            </w:r>
            <w:r>
              <w:rPr>
                <w:sz w:val="24"/>
                <w:szCs w:val="24"/>
                <w:vertAlign w:val="subscript"/>
              </w:rPr>
              <w:t>3</w:t>
            </w:r>
            <w:r>
              <w:rPr>
                <w:sz w:val="24"/>
                <w:szCs w:val="24"/>
              </w:rPr>
              <w:t>日最大8小时平均第90百分位数的</w:t>
            </w:r>
            <w:r>
              <w:rPr>
                <w:rFonts w:hint="eastAsia"/>
                <w:sz w:val="24"/>
                <w:szCs w:val="24"/>
              </w:rPr>
              <w:t>平均</w:t>
            </w:r>
            <w:r>
              <w:rPr>
                <w:sz w:val="24"/>
                <w:szCs w:val="24"/>
              </w:rPr>
              <w:t>浓度</w:t>
            </w:r>
            <w:r>
              <w:rPr>
                <w:rFonts w:hint="eastAsia" w:cs="宋体"/>
                <w:sz w:val="24"/>
                <w:szCs w:val="24"/>
              </w:rPr>
              <w:t>满足《环境空气质量标准》（</w:t>
            </w:r>
            <w:r>
              <w:rPr>
                <w:sz w:val="24"/>
                <w:szCs w:val="24"/>
              </w:rPr>
              <w:t>GB3095-2012</w:t>
            </w:r>
            <w:r>
              <w:rPr>
                <w:rFonts w:hint="eastAsia" w:cs="宋体"/>
                <w:sz w:val="24"/>
                <w:szCs w:val="24"/>
              </w:rPr>
              <w:t>）二级标准要求。</w:t>
            </w:r>
          </w:p>
          <w:p>
            <w:pPr>
              <w:autoSpaceDE w:val="0"/>
              <w:autoSpaceDN w:val="0"/>
              <w:adjustRightInd w:val="0"/>
              <w:snapToGrid w:val="0"/>
              <w:spacing w:line="360" w:lineRule="auto"/>
              <w:ind w:firstLine="480" w:firstLineChars="200"/>
              <w:rPr>
                <w:sz w:val="24"/>
                <w:szCs w:val="24"/>
              </w:rPr>
            </w:pPr>
            <w:r>
              <w:rPr>
                <w:rFonts w:hint="eastAsia" w:cs="宋体"/>
                <w:sz w:val="24"/>
                <w:szCs w:val="24"/>
              </w:rPr>
              <w:t>根据《环境影响评价技术导则大气环境》（</w:t>
            </w:r>
            <w:r>
              <w:rPr>
                <w:sz w:val="24"/>
                <w:szCs w:val="24"/>
              </w:rPr>
              <w:t>HJ2.2-2018</w:t>
            </w:r>
            <w:r>
              <w:rPr>
                <w:rFonts w:hint="eastAsia" w:cs="宋体"/>
                <w:sz w:val="24"/>
                <w:szCs w:val="24"/>
              </w:rPr>
              <w:t>），城市环境空气质量达标情况评价指标为</w:t>
            </w:r>
            <w:r>
              <w:rPr>
                <w:sz w:val="24"/>
                <w:szCs w:val="24"/>
              </w:rPr>
              <w:t>SO</w:t>
            </w:r>
            <w:r>
              <w:rPr>
                <w:sz w:val="24"/>
                <w:szCs w:val="24"/>
                <w:vertAlign w:val="subscript"/>
              </w:rPr>
              <w:t>2</w:t>
            </w:r>
            <w:r>
              <w:rPr>
                <w:rFonts w:hint="eastAsia" w:cs="宋体"/>
                <w:sz w:val="24"/>
                <w:szCs w:val="24"/>
              </w:rPr>
              <w:t>、</w:t>
            </w:r>
            <w:r>
              <w:rPr>
                <w:sz w:val="24"/>
                <w:szCs w:val="24"/>
              </w:rPr>
              <w:t>NO</w:t>
            </w:r>
            <w:r>
              <w:rPr>
                <w:sz w:val="24"/>
                <w:szCs w:val="24"/>
                <w:vertAlign w:val="subscript"/>
              </w:rPr>
              <w:t>2</w:t>
            </w:r>
            <w:r>
              <w:rPr>
                <w:rFonts w:hint="eastAsia" w:cs="宋体"/>
                <w:sz w:val="24"/>
                <w:szCs w:val="24"/>
              </w:rPr>
              <w:t>、</w:t>
            </w:r>
            <w:r>
              <w:rPr>
                <w:sz w:val="24"/>
                <w:szCs w:val="24"/>
              </w:rPr>
              <w:t>PM</w:t>
            </w:r>
            <w:r>
              <w:rPr>
                <w:sz w:val="24"/>
                <w:szCs w:val="24"/>
                <w:vertAlign w:val="subscript"/>
              </w:rPr>
              <w:t>10</w:t>
            </w:r>
            <w:r>
              <w:rPr>
                <w:rFonts w:hint="eastAsia" w:cs="宋体"/>
                <w:sz w:val="24"/>
                <w:szCs w:val="24"/>
              </w:rPr>
              <w:t>、</w:t>
            </w:r>
            <w:r>
              <w:rPr>
                <w:sz w:val="24"/>
                <w:szCs w:val="24"/>
              </w:rPr>
              <w:t>PM</w:t>
            </w:r>
            <w:r>
              <w:rPr>
                <w:sz w:val="24"/>
                <w:szCs w:val="24"/>
                <w:vertAlign w:val="subscript"/>
              </w:rPr>
              <w:t>2.5</w:t>
            </w:r>
            <w:r>
              <w:rPr>
                <w:rFonts w:hint="eastAsia" w:cs="宋体"/>
                <w:sz w:val="24"/>
                <w:szCs w:val="24"/>
              </w:rPr>
              <w:t>、</w:t>
            </w:r>
            <w:r>
              <w:rPr>
                <w:sz w:val="24"/>
                <w:szCs w:val="24"/>
              </w:rPr>
              <w:t>CO</w:t>
            </w:r>
            <w:r>
              <w:rPr>
                <w:rFonts w:hint="eastAsia" w:cs="宋体"/>
                <w:sz w:val="24"/>
                <w:szCs w:val="24"/>
              </w:rPr>
              <w:t>、</w:t>
            </w:r>
            <w:r>
              <w:rPr>
                <w:sz w:val="24"/>
                <w:szCs w:val="24"/>
              </w:rPr>
              <w:t>O</w:t>
            </w:r>
            <w:r>
              <w:rPr>
                <w:sz w:val="24"/>
                <w:szCs w:val="24"/>
                <w:vertAlign w:val="subscript"/>
              </w:rPr>
              <w:t>3</w:t>
            </w:r>
            <w:r>
              <w:rPr>
                <w:rFonts w:hint="eastAsia" w:cs="宋体"/>
                <w:sz w:val="24"/>
                <w:szCs w:val="24"/>
              </w:rPr>
              <w:t>六项污染物年评价指标全部达标即为城市环境空气质量达标，因此本项目所在区域属于达标区域。</w:t>
            </w:r>
          </w:p>
          <w:p>
            <w:pPr>
              <w:autoSpaceDE w:val="0"/>
              <w:autoSpaceDN w:val="0"/>
              <w:adjustRightInd w:val="0"/>
              <w:snapToGrid w:val="0"/>
              <w:spacing w:line="360" w:lineRule="auto"/>
              <w:ind w:firstLine="480" w:firstLineChars="200"/>
              <w:rPr>
                <w:sz w:val="24"/>
                <w:szCs w:val="24"/>
              </w:rPr>
            </w:pPr>
            <w:r>
              <w:rPr>
                <w:rFonts w:hint="eastAsia" w:cs="宋体"/>
                <w:sz w:val="24"/>
                <w:szCs w:val="24"/>
              </w:rPr>
              <w:t>（</w:t>
            </w:r>
            <w:r>
              <w:rPr>
                <w:sz w:val="24"/>
                <w:szCs w:val="24"/>
              </w:rPr>
              <w:t>2</w:t>
            </w:r>
            <w:r>
              <w:rPr>
                <w:rFonts w:hint="eastAsia" w:cs="宋体"/>
                <w:sz w:val="24"/>
                <w:szCs w:val="24"/>
              </w:rPr>
              <w:t>）特征污染因子</w:t>
            </w:r>
          </w:p>
          <w:p>
            <w:pPr>
              <w:autoSpaceDE w:val="0"/>
              <w:autoSpaceDN w:val="0"/>
              <w:adjustRightInd w:val="0"/>
              <w:snapToGrid w:val="0"/>
              <w:spacing w:line="360" w:lineRule="auto"/>
              <w:ind w:firstLine="480" w:firstLineChars="200"/>
              <w:rPr>
                <w:rFonts w:cs="宋体"/>
                <w:sz w:val="24"/>
                <w:szCs w:val="24"/>
              </w:rPr>
            </w:pPr>
            <w:r>
              <w:rPr>
                <w:rFonts w:hint="eastAsia" w:cs="宋体"/>
                <w:sz w:val="24"/>
                <w:szCs w:val="24"/>
              </w:rPr>
              <w:t>根据项目生产工艺及产排污情况，特征污染物为总悬浮颗粒物、非甲烷总烃、苯乙烯。</w:t>
            </w:r>
          </w:p>
          <w:p>
            <w:pPr>
              <w:autoSpaceDE w:val="0"/>
              <w:autoSpaceDN w:val="0"/>
              <w:adjustRightInd w:val="0"/>
              <w:snapToGrid w:val="0"/>
              <w:spacing w:line="360" w:lineRule="auto"/>
              <w:ind w:firstLine="480" w:firstLineChars="200"/>
              <w:rPr>
                <w:rFonts w:cs="宋体"/>
                <w:sz w:val="24"/>
                <w:szCs w:val="24"/>
              </w:rPr>
            </w:pPr>
            <w:r>
              <w:rPr>
                <w:rFonts w:hint="eastAsia" w:cs="宋体"/>
                <w:sz w:val="24"/>
                <w:szCs w:val="24"/>
              </w:rPr>
              <w:t>本次评价委托</w:t>
            </w:r>
            <w:r>
              <w:rPr>
                <w:rFonts w:cs="宋体"/>
                <w:sz w:val="24"/>
                <w:szCs w:val="24"/>
              </w:rPr>
              <w:t>陕西华境检测技术服务有限公司</w:t>
            </w:r>
            <w:r>
              <w:rPr>
                <w:rFonts w:hint="eastAsia" w:cs="宋体"/>
                <w:sz w:val="24"/>
                <w:szCs w:val="24"/>
              </w:rPr>
              <w:t>于2023年3月2日-3月4日对项目所在地环境空气中总悬浮颗粒物、非甲烷总烃、苯乙烯进行了监测，并出具了监测报告（</w:t>
            </w:r>
            <w:r>
              <w:rPr>
                <w:rFonts w:cs="宋体"/>
                <w:sz w:val="24"/>
                <w:szCs w:val="24"/>
              </w:rPr>
              <w:t>HJJC（监）202</w:t>
            </w:r>
            <w:r>
              <w:rPr>
                <w:rFonts w:hint="eastAsia" w:cs="宋体"/>
                <w:sz w:val="24"/>
                <w:szCs w:val="24"/>
              </w:rPr>
              <w:t>303</w:t>
            </w:r>
            <w:r>
              <w:rPr>
                <w:rFonts w:cs="宋体"/>
                <w:sz w:val="24"/>
                <w:szCs w:val="24"/>
              </w:rPr>
              <w:t>-</w:t>
            </w:r>
            <w:r>
              <w:rPr>
                <w:rFonts w:hint="eastAsia" w:cs="宋体"/>
                <w:sz w:val="24"/>
                <w:szCs w:val="24"/>
              </w:rPr>
              <w:t>Q0016），详见附件11。根据项目所在地情况，在项目建设地布设</w:t>
            </w:r>
            <w:r>
              <w:rPr>
                <w:rFonts w:cs="宋体"/>
                <w:sz w:val="24"/>
                <w:szCs w:val="24"/>
              </w:rPr>
              <w:t>1</w:t>
            </w:r>
            <w:r>
              <w:rPr>
                <w:rFonts w:hint="eastAsia" w:cs="宋体"/>
                <w:sz w:val="24"/>
                <w:szCs w:val="24"/>
              </w:rPr>
              <w:t>个监测点位，具体监测结果见下表。监测点位示意图见附图4。</w:t>
            </w:r>
          </w:p>
          <w:p>
            <w:pPr>
              <w:pStyle w:val="34"/>
              <w:adjustRightInd w:val="0"/>
              <w:snapToGrid w:val="0"/>
              <w:spacing w:after="0" w:line="360" w:lineRule="auto"/>
              <w:ind w:left="0" w:leftChars="0" w:firstLine="0"/>
              <w:jc w:val="center"/>
              <w:rPr>
                <w:b/>
                <w:bCs/>
              </w:rPr>
            </w:pPr>
            <w:r>
              <w:rPr>
                <w:rFonts w:hint="eastAsia" w:cs="宋体"/>
                <w:b/>
                <w:bCs/>
              </w:rPr>
              <w:t>表</w:t>
            </w:r>
            <w:r>
              <w:rPr>
                <w:b/>
                <w:bCs/>
              </w:rPr>
              <w:t>3-2</w:t>
            </w:r>
            <w:r>
              <w:rPr>
                <w:rFonts w:hint="eastAsia" w:cs="宋体"/>
                <w:b/>
                <w:bCs/>
              </w:rPr>
              <w:t>特征污染因子总悬浮颗粒物监测结果统计表</w:t>
            </w:r>
          </w:p>
          <w:tbl>
            <w:tblPr>
              <w:tblStyle w:val="3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1320"/>
              <w:gridCol w:w="1602"/>
              <w:gridCol w:w="1846"/>
              <w:gridCol w:w="932"/>
              <w:gridCol w:w="7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Merge w:val="restart"/>
                  <w:tcBorders>
                    <w:top w:val="single" w:color="auto" w:sz="8" w:space="0"/>
                    <w:left w:val="single" w:color="auto" w:sz="8" w:space="0"/>
                    <w:right w:val="single" w:color="auto" w:sz="4" w:space="0"/>
                  </w:tcBorders>
                  <w:vAlign w:val="center"/>
                </w:tcPr>
                <w:p>
                  <w:pPr>
                    <w:adjustRightInd w:val="0"/>
                    <w:snapToGrid w:val="0"/>
                    <w:jc w:val="center"/>
                  </w:pPr>
                  <w:r>
                    <w:rPr>
                      <w:rFonts w:hint="eastAsia" w:cs="宋体"/>
                    </w:rPr>
                    <w:t>监测点位</w:t>
                  </w:r>
                </w:p>
              </w:tc>
              <w:tc>
                <w:tcPr>
                  <w:tcW w:w="2943" w:type="dxa"/>
                  <w:gridSpan w:val="2"/>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监测日期及频次</w:t>
                  </w:r>
                </w:p>
              </w:tc>
              <w:tc>
                <w:tcPr>
                  <w:tcW w:w="1861"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监测结果（</w:t>
                  </w:r>
                  <w:r>
                    <w:rPr>
                      <w:bCs/>
                    </w:rPr>
                    <w:t>μg</w:t>
                  </w:r>
                  <w:r>
                    <w:t xml:space="preserve"> /m³</w:t>
                  </w:r>
                  <w:r>
                    <w:rPr>
                      <w:rFonts w:hint="eastAsia" w:cs="宋体"/>
                    </w:rPr>
                    <w:t>）</w:t>
                  </w:r>
                </w:p>
              </w:tc>
              <w:tc>
                <w:tcPr>
                  <w:tcW w:w="934" w:type="dxa"/>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占标率（</w:t>
                  </w:r>
                  <w:r>
                    <w:t>%</w:t>
                  </w:r>
                  <w:r>
                    <w:rPr>
                      <w:rFonts w:hint="eastAsia" w:cs="宋体"/>
                    </w:rPr>
                    <w:t>）</w:t>
                  </w:r>
                </w:p>
              </w:tc>
              <w:tc>
                <w:tcPr>
                  <w:tcW w:w="776" w:type="dxa"/>
                  <w:vMerge w:val="restart"/>
                  <w:tcBorders>
                    <w:top w:val="single" w:color="auto" w:sz="8" w:space="0"/>
                    <w:left w:val="single" w:color="auto" w:sz="4" w:space="0"/>
                    <w:bottom w:val="single" w:color="auto" w:sz="4" w:space="0"/>
                    <w:right w:val="single" w:color="auto" w:sz="8" w:space="0"/>
                  </w:tcBorders>
                  <w:vAlign w:val="center"/>
                </w:tcPr>
                <w:p>
                  <w:pPr>
                    <w:adjustRightInd w:val="0"/>
                    <w:snapToGrid w:val="0"/>
                    <w:jc w:val="center"/>
                  </w:pPr>
                  <w:r>
                    <w:rPr>
                      <w:rFonts w:hint="eastAsia" w:cs="宋体"/>
                    </w:rPr>
                    <w:t>达标情况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Merge w:val="continue"/>
                  <w:tcBorders>
                    <w:left w:val="single" w:color="auto" w:sz="8" w:space="0"/>
                    <w:bottom w:val="single" w:color="auto" w:sz="4" w:space="0"/>
                    <w:right w:val="single" w:color="auto" w:sz="4" w:space="0"/>
                  </w:tcBorders>
                  <w:vAlign w:val="center"/>
                </w:tcPr>
                <w:p>
                  <w:pPr>
                    <w:adjustRightInd w:val="0"/>
                    <w:snapToGrid w:val="0"/>
                    <w:jc w:val="center"/>
                  </w:pPr>
                </w:p>
              </w:tc>
              <w:tc>
                <w:tcPr>
                  <w:tcW w:w="2943" w:type="dxa"/>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1861" w:type="dxa"/>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总悬浮颗粒物</w:t>
                  </w:r>
                </w:p>
              </w:tc>
              <w:tc>
                <w:tcPr>
                  <w:tcW w:w="93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776" w:type="dxa"/>
                  <w:vMerge w:val="continue"/>
                  <w:tcBorders>
                    <w:top w:val="single" w:color="auto" w:sz="4" w:space="0"/>
                    <w:left w:val="single" w:color="auto" w:sz="4" w:space="0"/>
                    <w:bottom w:val="single" w:color="auto" w:sz="4" w:space="0"/>
                    <w:right w:val="single" w:color="auto" w:sz="8" w:space="0"/>
                  </w:tcBorders>
                  <w:vAlign w:val="center"/>
                </w:tcPr>
                <w:p>
                  <w:pPr>
                    <w:adjustRightInd w:val="0"/>
                    <w:snapToGrid w:val="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Merge w:val="restart"/>
                  <w:tcBorders>
                    <w:top w:val="single" w:color="auto" w:sz="4" w:space="0"/>
                    <w:left w:val="single" w:color="auto" w:sz="8" w:space="0"/>
                    <w:right w:val="single" w:color="auto" w:sz="4" w:space="0"/>
                  </w:tcBorders>
                  <w:vAlign w:val="center"/>
                </w:tcPr>
                <w:p>
                  <w:pPr>
                    <w:adjustRightInd w:val="0"/>
                    <w:snapToGrid w:val="0"/>
                    <w:jc w:val="center"/>
                  </w:pPr>
                  <w:r>
                    <w:rPr>
                      <w:rFonts w:hint="eastAsia"/>
                    </w:rPr>
                    <w:t>项目建设地</w:t>
                  </w:r>
                </w:p>
              </w:tc>
              <w:tc>
                <w:tcPr>
                  <w:tcW w:w="13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2023.3.2</w:t>
                  </w:r>
                </w:p>
              </w:tc>
              <w:tc>
                <w:tcPr>
                  <w:tcW w:w="1618" w:type="dxa"/>
                  <w:tcBorders>
                    <w:top w:val="single" w:color="auto" w:sz="4" w:space="0"/>
                    <w:left w:val="single" w:color="auto" w:sz="4" w:space="0"/>
                    <w:bottom w:val="single" w:color="auto" w:sz="4" w:space="0"/>
                    <w:right w:val="single" w:color="auto" w:sz="4" w:space="0"/>
                  </w:tcBorders>
                  <w:vAlign w:val="center"/>
                </w:tcPr>
                <w:p>
                  <w:pPr>
                    <w:snapToGrid w:val="0"/>
                    <w:jc w:val="center"/>
                  </w:pPr>
                  <w:r>
                    <w:t>24</w:t>
                  </w:r>
                  <w:r>
                    <w:rPr>
                      <w:rFonts w:hint="eastAsia" w:cs="宋体"/>
                    </w:rPr>
                    <w:t>小时平均值</w:t>
                  </w: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151</w:t>
                  </w:r>
                </w:p>
              </w:tc>
              <w:tc>
                <w:tcPr>
                  <w:tcW w:w="9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50.3</w:t>
                  </w:r>
                </w:p>
              </w:tc>
              <w:tc>
                <w:tcPr>
                  <w:tcW w:w="776" w:type="dxa"/>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Merge w:val="continue"/>
                  <w:tcBorders>
                    <w:left w:val="single" w:color="auto" w:sz="8" w:space="0"/>
                    <w:right w:val="single" w:color="auto" w:sz="4" w:space="0"/>
                  </w:tcBorders>
                  <w:vAlign w:val="center"/>
                </w:tcPr>
                <w:p>
                  <w:pPr>
                    <w:adjustRightInd w:val="0"/>
                    <w:snapToGrid w:val="0"/>
                    <w:jc w:val="center"/>
                  </w:pPr>
                </w:p>
              </w:tc>
              <w:tc>
                <w:tcPr>
                  <w:tcW w:w="13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2023.3.3</w:t>
                  </w:r>
                </w:p>
              </w:tc>
              <w:tc>
                <w:tcPr>
                  <w:tcW w:w="1618" w:type="dxa"/>
                  <w:tcBorders>
                    <w:top w:val="single" w:color="auto" w:sz="4" w:space="0"/>
                    <w:left w:val="single" w:color="auto" w:sz="4" w:space="0"/>
                    <w:bottom w:val="single" w:color="auto" w:sz="4" w:space="0"/>
                    <w:right w:val="single" w:color="auto" w:sz="4" w:space="0"/>
                  </w:tcBorders>
                  <w:vAlign w:val="center"/>
                </w:tcPr>
                <w:p>
                  <w:pPr>
                    <w:snapToGrid w:val="0"/>
                    <w:jc w:val="center"/>
                  </w:pPr>
                  <w:r>
                    <w:t>24</w:t>
                  </w:r>
                  <w:r>
                    <w:rPr>
                      <w:rFonts w:hint="eastAsia" w:cs="宋体"/>
                    </w:rPr>
                    <w:t>小时平均值</w:t>
                  </w: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144</w:t>
                  </w:r>
                </w:p>
              </w:tc>
              <w:tc>
                <w:tcPr>
                  <w:tcW w:w="9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48.0</w:t>
                  </w:r>
                </w:p>
              </w:tc>
              <w:tc>
                <w:tcPr>
                  <w:tcW w:w="776" w:type="dxa"/>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61" w:type="dxa"/>
                  <w:vMerge w:val="continue"/>
                  <w:tcBorders>
                    <w:left w:val="single" w:color="auto" w:sz="8" w:space="0"/>
                    <w:right w:val="single" w:color="auto" w:sz="4" w:space="0"/>
                  </w:tcBorders>
                  <w:vAlign w:val="center"/>
                </w:tcPr>
                <w:p>
                  <w:pPr>
                    <w:adjustRightInd w:val="0"/>
                    <w:snapToGrid w:val="0"/>
                    <w:jc w:val="center"/>
                  </w:pPr>
                </w:p>
              </w:tc>
              <w:tc>
                <w:tcPr>
                  <w:tcW w:w="132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2023.3.4</w:t>
                  </w:r>
                </w:p>
              </w:tc>
              <w:tc>
                <w:tcPr>
                  <w:tcW w:w="1618" w:type="dxa"/>
                  <w:tcBorders>
                    <w:top w:val="single" w:color="auto" w:sz="4" w:space="0"/>
                    <w:left w:val="single" w:color="auto" w:sz="4" w:space="0"/>
                    <w:bottom w:val="single" w:color="auto" w:sz="4" w:space="0"/>
                    <w:right w:val="single" w:color="auto" w:sz="4" w:space="0"/>
                  </w:tcBorders>
                  <w:vAlign w:val="center"/>
                </w:tcPr>
                <w:p>
                  <w:pPr>
                    <w:snapToGrid w:val="0"/>
                    <w:jc w:val="center"/>
                  </w:pPr>
                  <w:r>
                    <w:t>24</w:t>
                  </w:r>
                  <w:r>
                    <w:rPr>
                      <w:rFonts w:hint="eastAsia" w:cs="宋体"/>
                    </w:rPr>
                    <w:t>小时平均值</w:t>
                  </w:r>
                </w:p>
              </w:tc>
              <w:tc>
                <w:tcPr>
                  <w:tcW w:w="1861"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146</w:t>
                  </w:r>
                </w:p>
              </w:tc>
              <w:tc>
                <w:tcPr>
                  <w:tcW w:w="93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48.7</w:t>
                  </w:r>
                </w:p>
              </w:tc>
              <w:tc>
                <w:tcPr>
                  <w:tcW w:w="776" w:type="dxa"/>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04" w:type="dxa"/>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pPr>
                  <w:r>
                    <w:rPr>
                      <w:rFonts w:hint="eastAsia" w:cs="宋体"/>
                    </w:rPr>
                    <w:t>标准限值</w:t>
                  </w:r>
                </w:p>
              </w:tc>
              <w:tc>
                <w:tcPr>
                  <w:tcW w:w="1861"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rPr>
                      <w:rFonts w:hint="eastAsia"/>
                    </w:rPr>
                    <w:t>300</w:t>
                  </w:r>
                </w:p>
              </w:tc>
              <w:tc>
                <w:tcPr>
                  <w:tcW w:w="934" w:type="dxa"/>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t>/</w:t>
                  </w:r>
                </w:p>
              </w:tc>
              <w:tc>
                <w:tcPr>
                  <w:tcW w:w="776" w:type="dxa"/>
                  <w:tcBorders>
                    <w:top w:val="single" w:color="auto" w:sz="4" w:space="0"/>
                    <w:left w:val="single" w:color="auto" w:sz="4" w:space="0"/>
                    <w:bottom w:val="single" w:color="auto" w:sz="8" w:space="0"/>
                    <w:right w:val="single" w:color="auto" w:sz="8" w:space="0"/>
                  </w:tcBorders>
                  <w:vAlign w:val="center"/>
                </w:tcPr>
                <w:p>
                  <w:pPr>
                    <w:adjustRightInd w:val="0"/>
                    <w:snapToGrid w:val="0"/>
                    <w:jc w:val="center"/>
                  </w:pPr>
                  <w:r>
                    <w:t>/</w:t>
                  </w:r>
                </w:p>
              </w:tc>
            </w:tr>
          </w:tbl>
          <w:p>
            <w:pPr>
              <w:pStyle w:val="34"/>
              <w:adjustRightInd w:val="0"/>
              <w:snapToGrid w:val="0"/>
              <w:spacing w:after="0" w:line="360" w:lineRule="auto"/>
              <w:ind w:left="0" w:leftChars="0" w:firstLine="0"/>
              <w:jc w:val="center"/>
              <w:rPr>
                <w:b/>
                <w:bCs/>
              </w:rPr>
            </w:pPr>
            <w:r>
              <w:rPr>
                <w:rFonts w:hint="eastAsia" w:cs="宋体"/>
                <w:b/>
                <w:bCs/>
              </w:rPr>
              <w:t>表</w:t>
            </w:r>
            <w:r>
              <w:rPr>
                <w:b/>
                <w:bCs/>
              </w:rPr>
              <w:t>3-</w:t>
            </w:r>
            <w:r>
              <w:rPr>
                <w:rFonts w:hint="eastAsia"/>
                <w:b/>
                <w:bCs/>
              </w:rPr>
              <w:t xml:space="preserve">3  </w:t>
            </w:r>
            <w:r>
              <w:rPr>
                <w:rFonts w:hint="eastAsia" w:cs="宋体"/>
                <w:b/>
                <w:bCs/>
              </w:rPr>
              <w:t>特征污染因子非甲烷总烃、苯乙烯检测结果统计表</w:t>
            </w:r>
          </w:p>
          <w:tbl>
            <w:tblPr>
              <w:tblStyle w:val="35"/>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68"/>
              <w:gridCol w:w="1232"/>
              <w:gridCol w:w="1415"/>
              <w:gridCol w:w="1561"/>
              <w:gridCol w:w="1538"/>
              <w:gridCol w:w="99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restart"/>
                  <w:tcBorders>
                    <w:top w:val="single" w:color="auto" w:sz="8" w:space="0"/>
                    <w:left w:val="single" w:color="auto" w:sz="8" w:space="0"/>
                    <w:right w:val="single" w:color="auto" w:sz="4" w:space="0"/>
                  </w:tcBorders>
                  <w:vAlign w:val="center"/>
                </w:tcPr>
                <w:p>
                  <w:pPr>
                    <w:adjustRightInd w:val="0"/>
                    <w:snapToGrid w:val="0"/>
                    <w:jc w:val="center"/>
                  </w:pPr>
                  <w:r>
                    <w:rPr>
                      <w:rFonts w:hint="eastAsia" w:cs="宋体"/>
                    </w:rPr>
                    <w:t>监测点位</w:t>
                  </w:r>
                </w:p>
              </w:tc>
              <w:tc>
                <w:tcPr>
                  <w:tcW w:w="1592" w:type="pct"/>
                  <w:gridSpan w:val="2"/>
                  <w:vMerge w:val="restart"/>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监测日期及频次</w:t>
                  </w:r>
                </w:p>
              </w:tc>
              <w:tc>
                <w:tcPr>
                  <w:tcW w:w="1864" w:type="pct"/>
                  <w:gridSpan w:val="2"/>
                  <w:tcBorders>
                    <w:top w:val="single" w:color="auto" w:sz="8"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监测结果（</w:t>
                  </w:r>
                  <w:r>
                    <w:rPr>
                      <w:rFonts w:hint="eastAsia"/>
                    </w:rPr>
                    <w:t>m</w:t>
                  </w:r>
                  <w:r>
                    <w:t>g/m³</w:t>
                  </w:r>
                  <w:r>
                    <w:rPr>
                      <w:rFonts w:hint="eastAsia" w:cs="宋体"/>
                    </w:rPr>
                    <w:t>）</w:t>
                  </w:r>
                </w:p>
              </w:tc>
              <w:tc>
                <w:tcPr>
                  <w:tcW w:w="601" w:type="pct"/>
                  <w:vMerge w:val="restart"/>
                  <w:tcBorders>
                    <w:top w:val="single" w:color="auto" w:sz="8" w:space="0"/>
                    <w:left w:val="single" w:color="auto" w:sz="4" w:space="0"/>
                    <w:bottom w:val="single" w:color="auto" w:sz="4" w:space="0"/>
                    <w:right w:val="single" w:color="auto" w:sz="8" w:space="0"/>
                  </w:tcBorders>
                  <w:vAlign w:val="center"/>
                </w:tcPr>
                <w:p>
                  <w:pPr>
                    <w:adjustRightInd w:val="0"/>
                    <w:snapToGrid w:val="0"/>
                    <w:jc w:val="center"/>
                  </w:pPr>
                  <w:r>
                    <w:rPr>
                      <w:rFonts w:hint="eastAsia" w:cs="宋体"/>
                    </w:rPr>
                    <w:t>达标情况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bottom w:val="single" w:color="auto" w:sz="4" w:space="0"/>
                    <w:right w:val="single" w:color="auto" w:sz="4" w:space="0"/>
                  </w:tcBorders>
                  <w:vAlign w:val="center"/>
                </w:tcPr>
                <w:p>
                  <w:pPr>
                    <w:adjustRightInd w:val="0"/>
                    <w:snapToGrid w:val="0"/>
                    <w:jc w:val="center"/>
                  </w:pPr>
                </w:p>
              </w:tc>
              <w:tc>
                <w:tcPr>
                  <w:tcW w:w="1592" w:type="pct"/>
                  <w:gridSpan w:val="2"/>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p>
              </w:tc>
              <w:tc>
                <w:tcPr>
                  <w:tcW w:w="939" w:type="pct"/>
                  <w:tcBorders>
                    <w:top w:val="single" w:color="auto" w:sz="8"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非甲烷总烃</w:t>
                  </w:r>
                </w:p>
              </w:tc>
              <w:tc>
                <w:tcPr>
                  <w:tcW w:w="925" w:type="pct"/>
                  <w:tcBorders>
                    <w:top w:val="single" w:color="auto" w:sz="4" w:space="0"/>
                    <w:left w:val="single" w:color="auto" w:sz="4" w:space="0"/>
                    <w:bottom w:val="single" w:color="auto" w:sz="4" w:space="0"/>
                    <w:right w:val="single" w:color="auto" w:sz="4" w:space="0"/>
                  </w:tcBorders>
                </w:tcPr>
                <w:p>
                  <w:pPr>
                    <w:adjustRightInd w:val="0"/>
                    <w:snapToGrid w:val="0"/>
                    <w:jc w:val="center"/>
                  </w:pPr>
                  <w:r>
                    <w:rPr>
                      <w:rFonts w:hint="eastAsia"/>
                    </w:rPr>
                    <w:t>苯乙烯</w:t>
                  </w:r>
                </w:p>
              </w:tc>
              <w:tc>
                <w:tcPr>
                  <w:tcW w:w="601" w:type="pct"/>
                  <w:vMerge w:val="continue"/>
                  <w:tcBorders>
                    <w:top w:val="single" w:color="auto" w:sz="4" w:space="0"/>
                    <w:left w:val="single" w:color="auto" w:sz="4" w:space="0"/>
                    <w:bottom w:val="single" w:color="auto" w:sz="4" w:space="0"/>
                    <w:right w:val="single" w:color="auto" w:sz="8" w:space="0"/>
                  </w:tcBorders>
                  <w:vAlign w:val="center"/>
                </w:tcPr>
                <w:p>
                  <w:pPr>
                    <w:adjustRightInd w:val="0"/>
                    <w:snapToGrid w:val="0"/>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restart"/>
                  <w:tcBorders>
                    <w:top w:val="single" w:color="auto" w:sz="4" w:space="0"/>
                    <w:left w:val="single" w:color="auto" w:sz="8" w:space="0"/>
                    <w:right w:val="single" w:color="auto" w:sz="4" w:space="0"/>
                  </w:tcBorders>
                  <w:vAlign w:val="center"/>
                </w:tcPr>
                <w:p>
                  <w:pPr>
                    <w:adjustRightInd w:val="0"/>
                    <w:snapToGrid w:val="0"/>
                    <w:jc w:val="center"/>
                  </w:pPr>
                  <w:r>
                    <w:rPr>
                      <w:rFonts w:hint="eastAsia"/>
                    </w:rPr>
                    <w:t>项目建设地</w:t>
                  </w:r>
                </w:p>
              </w:tc>
              <w:tc>
                <w:tcPr>
                  <w:tcW w:w="741"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2023.3.2</w:t>
                  </w: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第一次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0.35</w:t>
                  </w:r>
                </w:p>
              </w:tc>
              <w:tc>
                <w:tcPr>
                  <w:tcW w:w="925" w:type="pct"/>
                  <w:tcBorders>
                    <w:top w:val="single" w:color="auto" w:sz="4" w:space="0"/>
                    <w:left w:val="single" w:color="auto" w:sz="4" w:space="0"/>
                    <w:bottom w:val="single" w:color="auto" w:sz="4" w:space="0"/>
                    <w:right w:val="single" w:color="auto" w:sz="4" w:space="0"/>
                  </w:tcBorders>
                </w:tcPr>
                <w:p>
                  <w:pPr>
                    <w:adjustRightInd w:val="0"/>
                    <w:snapToGrid w:val="0"/>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第二次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0.40</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第三次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0.39</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bottom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第四次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0.36</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restart"/>
                  <w:tcBorders>
                    <w:left w:val="single" w:color="auto" w:sz="4" w:space="0"/>
                    <w:right w:val="single" w:color="auto" w:sz="4" w:space="0"/>
                  </w:tcBorders>
                  <w:vAlign w:val="center"/>
                </w:tcPr>
                <w:p>
                  <w:pPr>
                    <w:adjustRightInd w:val="0"/>
                    <w:snapToGrid w:val="0"/>
                    <w:jc w:val="center"/>
                  </w:pPr>
                  <w:r>
                    <w:rPr>
                      <w:rFonts w:hint="eastAsia"/>
                    </w:rPr>
                    <w:t>2023.3.3</w:t>
                  </w: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第一次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0.38</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第二次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0.40</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第三次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0.34</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bottom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第四次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0.35</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restart"/>
                  <w:tcBorders>
                    <w:left w:val="single" w:color="auto" w:sz="4" w:space="0"/>
                    <w:right w:val="single" w:color="auto" w:sz="4" w:space="0"/>
                  </w:tcBorders>
                  <w:vAlign w:val="center"/>
                </w:tcPr>
                <w:p>
                  <w:pPr>
                    <w:adjustRightInd w:val="0"/>
                    <w:snapToGrid w:val="0"/>
                    <w:jc w:val="center"/>
                  </w:pPr>
                  <w:r>
                    <w:rPr>
                      <w:rFonts w:hint="eastAsia"/>
                    </w:rPr>
                    <w:t>2023.3.4</w:t>
                  </w: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第一次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0.35</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第二次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0.37</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right w:val="single" w:color="auto" w:sz="4" w:space="0"/>
                  </w:tcBorders>
                  <w:vAlign w:val="center"/>
                </w:tcPr>
                <w:p>
                  <w:pPr>
                    <w:adjustRightInd w:val="0"/>
                    <w:snapToGrid w:val="0"/>
                    <w:jc w:val="center"/>
                  </w:pPr>
                </w:p>
              </w:tc>
              <w:tc>
                <w:tcPr>
                  <w:tcW w:w="741" w:type="pct"/>
                  <w:vMerge w:val="continue"/>
                  <w:tcBorders>
                    <w:left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第三次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0.37</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943" w:type="pct"/>
                  <w:vMerge w:val="continue"/>
                  <w:tcBorders>
                    <w:left w:val="single" w:color="auto" w:sz="8" w:space="0"/>
                    <w:bottom w:val="single" w:color="auto" w:sz="4" w:space="0"/>
                    <w:right w:val="single" w:color="auto" w:sz="4" w:space="0"/>
                  </w:tcBorders>
                  <w:vAlign w:val="center"/>
                </w:tcPr>
                <w:p>
                  <w:pPr>
                    <w:adjustRightInd w:val="0"/>
                    <w:snapToGrid w:val="0"/>
                    <w:jc w:val="center"/>
                  </w:pPr>
                </w:p>
              </w:tc>
              <w:tc>
                <w:tcPr>
                  <w:tcW w:w="741" w:type="pct"/>
                  <w:vMerge w:val="continue"/>
                  <w:tcBorders>
                    <w:left w:val="single" w:color="auto" w:sz="4" w:space="0"/>
                    <w:bottom w:val="single" w:color="auto" w:sz="4" w:space="0"/>
                    <w:right w:val="single" w:color="auto" w:sz="4" w:space="0"/>
                  </w:tcBorders>
                  <w:vAlign w:val="center"/>
                </w:tcPr>
                <w:p>
                  <w:pPr>
                    <w:adjustRightInd w:val="0"/>
                    <w:snapToGrid w:val="0"/>
                    <w:jc w:val="center"/>
                  </w:pPr>
                </w:p>
              </w:tc>
              <w:tc>
                <w:tcPr>
                  <w:tcW w:w="851" w:type="pct"/>
                  <w:tcBorders>
                    <w:top w:val="single" w:color="auto" w:sz="4" w:space="0"/>
                    <w:left w:val="single" w:color="auto" w:sz="4" w:space="0"/>
                    <w:bottom w:val="single" w:color="auto" w:sz="4" w:space="0"/>
                    <w:right w:val="single" w:color="auto" w:sz="4" w:space="0"/>
                  </w:tcBorders>
                  <w:vAlign w:val="center"/>
                </w:tcPr>
                <w:p>
                  <w:pPr>
                    <w:snapToGrid w:val="0"/>
                    <w:jc w:val="center"/>
                  </w:pPr>
                  <w:r>
                    <w:rPr>
                      <w:rFonts w:hint="eastAsia"/>
                    </w:rPr>
                    <w:t>第四次</w:t>
                  </w:r>
                </w:p>
              </w:tc>
              <w:tc>
                <w:tcPr>
                  <w:tcW w:w="93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0.32</w:t>
                  </w:r>
                </w:p>
              </w:tc>
              <w:tc>
                <w:tcPr>
                  <w:tcW w:w="925"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ND0.0015</w:t>
                  </w:r>
                </w:p>
              </w:tc>
              <w:tc>
                <w:tcPr>
                  <w:tcW w:w="601" w:type="pct"/>
                  <w:tcBorders>
                    <w:top w:val="single" w:color="auto" w:sz="4" w:space="0"/>
                    <w:left w:val="single" w:color="auto" w:sz="4" w:space="0"/>
                    <w:bottom w:val="single" w:color="auto" w:sz="4" w:space="0"/>
                    <w:right w:val="single" w:color="auto" w:sz="8" w:space="0"/>
                  </w:tcBorders>
                  <w:vAlign w:val="center"/>
                </w:tcPr>
                <w:p>
                  <w:pPr>
                    <w:snapToGrid w:val="0"/>
                    <w:jc w:val="center"/>
                  </w:pPr>
                  <w:r>
                    <w:rPr>
                      <w:rFonts w:hint="eastAsia" w:cs="宋体"/>
                    </w:rPr>
                    <w:t>达标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535" w:type="pct"/>
                  <w:gridSpan w:val="3"/>
                  <w:tcBorders>
                    <w:top w:val="single" w:color="auto" w:sz="4" w:space="0"/>
                    <w:left w:val="single" w:color="auto" w:sz="8" w:space="0"/>
                    <w:bottom w:val="single" w:color="auto" w:sz="8" w:space="0"/>
                    <w:right w:val="single" w:color="auto" w:sz="4" w:space="0"/>
                  </w:tcBorders>
                  <w:vAlign w:val="center"/>
                </w:tcPr>
                <w:p>
                  <w:pPr>
                    <w:adjustRightInd w:val="0"/>
                    <w:snapToGrid w:val="0"/>
                    <w:jc w:val="center"/>
                  </w:pPr>
                  <w:r>
                    <w:rPr>
                      <w:rFonts w:hint="eastAsia" w:cs="宋体"/>
                    </w:rPr>
                    <w:t>标准限值</w:t>
                  </w:r>
                </w:p>
              </w:tc>
              <w:tc>
                <w:tcPr>
                  <w:tcW w:w="939"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rPr>
                      <w:rFonts w:hint="eastAsia"/>
                    </w:rPr>
                    <w:t>2.0</w:t>
                  </w:r>
                </w:p>
              </w:tc>
              <w:tc>
                <w:tcPr>
                  <w:tcW w:w="925" w:type="pct"/>
                  <w:tcBorders>
                    <w:top w:val="single" w:color="auto" w:sz="4" w:space="0"/>
                    <w:left w:val="single" w:color="auto" w:sz="4" w:space="0"/>
                    <w:bottom w:val="single" w:color="auto" w:sz="8" w:space="0"/>
                    <w:right w:val="single" w:color="auto" w:sz="4" w:space="0"/>
                  </w:tcBorders>
                  <w:vAlign w:val="center"/>
                </w:tcPr>
                <w:p>
                  <w:pPr>
                    <w:adjustRightInd w:val="0"/>
                    <w:snapToGrid w:val="0"/>
                    <w:jc w:val="center"/>
                  </w:pPr>
                  <w:r>
                    <w:rPr>
                      <w:rFonts w:hint="eastAsia"/>
                    </w:rPr>
                    <w:t>0.01</w:t>
                  </w:r>
                </w:p>
              </w:tc>
              <w:tc>
                <w:tcPr>
                  <w:tcW w:w="601" w:type="pct"/>
                  <w:tcBorders>
                    <w:top w:val="single" w:color="auto" w:sz="4" w:space="0"/>
                    <w:left w:val="single" w:color="auto" w:sz="4" w:space="0"/>
                    <w:bottom w:val="single" w:color="auto" w:sz="8" w:space="0"/>
                    <w:right w:val="single" w:color="auto" w:sz="8" w:space="0"/>
                  </w:tcBorders>
                  <w:vAlign w:val="center"/>
                </w:tcPr>
                <w:p>
                  <w:pPr>
                    <w:adjustRightInd w:val="0"/>
                    <w:snapToGrid w:val="0"/>
                    <w:jc w:val="center"/>
                  </w:pPr>
                  <w:r>
                    <w:t>/</w:t>
                  </w:r>
                </w:p>
              </w:tc>
            </w:tr>
          </w:tbl>
          <w:p>
            <w:pPr>
              <w:autoSpaceDE w:val="0"/>
              <w:autoSpaceDN w:val="0"/>
              <w:adjustRightInd w:val="0"/>
              <w:snapToGrid w:val="0"/>
              <w:spacing w:line="360" w:lineRule="auto"/>
              <w:ind w:firstLine="480" w:firstLineChars="200"/>
              <w:rPr>
                <w:rFonts w:cs="宋体"/>
                <w:sz w:val="24"/>
                <w:szCs w:val="24"/>
              </w:rPr>
            </w:pPr>
            <w:r>
              <w:rPr>
                <w:rFonts w:hint="eastAsia" w:cs="宋体"/>
                <w:sz w:val="24"/>
                <w:szCs w:val="24"/>
              </w:rPr>
              <w:t>监测结果表明，项目所在区域环境空气中总悬浮颗粒物监测值满足《环境空气质量标准》（</w:t>
            </w:r>
            <w:r>
              <w:rPr>
                <w:sz w:val="24"/>
                <w:szCs w:val="24"/>
              </w:rPr>
              <w:t>GB3095-2012</w:t>
            </w:r>
            <w:r>
              <w:rPr>
                <w:rFonts w:hint="eastAsia" w:cs="宋体"/>
                <w:sz w:val="24"/>
                <w:szCs w:val="24"/>
              </w:rPr>
              <w:t>）及其修改单（生态环境部2018年第29号）中二级标准浓度限值要求；非甲烷总烃监测值满足《大气污染物综合排放标准详解》中标准限值要求；苯乙烯监测值满足《环境影响评价技术导则大气环境》（HJ2.2-2018）中表 D.1 其他污染物空气质量浓度参考限值要求。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1089" w:type="dxa"/>
            <w:vAlign w:val="center"/>
          </w:tcPr>
          <w:p>
            <w:pPr>
              <w:adjustRightInd w:val="0"/>
              <w:snapToGrid w:val="0"/>
              <w:spacing w:line="480" w:lineRule="exact"/>
              <w:jc w:val="center"/>
              <w:rPr>
                <w:kern w:val="0"/>
                <w:sz w:val="24"/>
                <w:szCs w:val="24"/>
              </w:rPr>
            </w:pPr>
            <w:r>
              <w:rPr>
                <w:rFonts w:hint="eastAsia" w:cs="宋体"/>
                <w:kern w:val="0"/>
                <w:sz w:val="24"/>
                <w:szCs w:val="24"/>
              </w:rPr>
              <w:t>环境</w:t>
            </w:r>
          </w:p>
          <w:p>
            <w:pPr>
              <w:adjustRightInd w:val="0"/>
              <w:snapToGrid w:val="0"/>
              <w:spacing w:line="480" w:lineRule="exact"/>
              <w:jc w:val="center"/>
              <w:rPr>
                <w:kern w:val="0"/>
                <w:sz w:val="24"/>
                <w:szCs w:val="24"/>
              </w:rPr>
            </w:pPr>
            <w:r>
              <w:rPr>
                <w:rFonts w:hint="eastAsia" w:cs="宋体"/>
                <w:kern w:val="0"/>
                <w:sz w:val="24"/>
                <w:szCs w:val="24"/>
              </w:rPr>
              <w:t>保护</w:t>
            </w:r>
          </w:p>
          <w:p>
            <w:pPr>
              <w:adjustRightInd w:val="0"/>
              <w:snapToGrid w:val="0"/>
              <w:spacing w:line="480" w:lineRule="exact"/>
              <w:jc w:val="center"/>
              <w:rPr>
                <w:kern w:val="0"/>
              </w:rPr>
            </w:pPr>
            <w:r>
              <w:rPr>
                <w:rFonts w:hint="eastAsia" w:cs="宋体"/>
                <w:kern w:val="0"/>
                <w:sz w:val="24"/>
                <w:szCs w:val="24"/>
              </w:rPr>
              <w:t>目标</w:t>
            </w:r>
          </w:p>
        </w:tc>
        <w:tc>
          <w:tcPr>
            <w:tcW w:w="8459" w:type="dxa"/>
            <w:vAlign w:val="center"/>
          </w:tcPr>
          <w:p>
            <w:pPr>
              <w:adjustRightInd w:val="0"/>
              <w:snapToGrid w:val="0"/>
              <w:spacing w:line="360" w:lineRule="auto"/>
              <w:ind w:firstLine="480" w:firstLineChars="200"/>
              <w:rPr>
                <w:sz w:val="24"/>
              </w:rPr>
            </w:pPr>
            <w:r>
              <w:rPr>
                <w:rFonts w:hint="eastAsia" w:cs="宋体"/>
                <w:sz w:val="24"/>
                <w:szCs w:val="24"/>
              </w:rPr>
              <w:t>本项目位于陕西省榆林市靖边县经开区创业创新园，经现场调查，项目所在地不涉及</w:t>
            </w:r>
            <w:r>
              <w:rPr>
                <w:sz w:val="24"/>
              </w:rPr>
              <w:t>风景名胜区、自然保护区、</w:t>
            </w:r>
            <w:r>
              <w:rPr>
                <w:rFonts w:hint="eastAsia"/>
                <w:sz w:val="24"/>
              </w:rPr>
              <w:t>永久</w:t>
            </w:r>
            <w:r>
              <w:rPr>
                <w:sz w:val="24"/>
              </w:rPr>
              <w:t>基本农田、文物保护单位等敏感区域。</w:t>
            </w:r>
          </w:p>
          <w:p>
            <w:pPr>
              <w:adjustRightInd w:val="0"/>
              <w:snapToGrid w:val="0"/>
              <w:spacing w:line="360" w:lineRule="auto"/>
              <w:ind w:firstLine="480" w:firstLineChars="200"/>
              <w:rPr>
                <w:sz w:val="24"/>
              </w:rPr>
            </w:pPr>
            <w:r>
              <w:rPr>
                <w:rFonts w:hint="eastAsia" w:cs="宋体"/>
                <w:sz w:val="24"/>
                <w:szCs w:val="24"/>
              </w:rPr>
              <w:t>根据《建设项目环境影响报告表编制技术指南》（污染影响类）（试行），本项目环境保护目标情况见下描述。</w:t>
            </w:r>
          </w:p>
          <w:p>
            <w:pPr>
              <w:adjustRightInd w:val="0"/>
              <w:snapToGrid w:val="0"/>
              <w:spacing w:line="360" w:lineRule="auto"/>
              <w:ind w:firstLine="480" w:firstLineChars="200"/>
              <w:rPr>
                <w:rFonts w:cs="宋体"/>
                <w:sz w:val="24"/>
                <w:szCs w:val="24"/>
              </w:rPr>
            </w:pPr>
            <w:r>
              <w:rPr>
                <w:rFonts w:hint="eastAsia" w:cs="宋体"/>
                <w:sz w:val="24"/>
                <w:szCs w:val="24"/>
              </w:rPr>
              <w:t>（1）大气环境：本项目厂界外500m范围内无大气环境保护目标。</w:t>
            </w:r>
          </w:p>
          <w:p>
            <w:pPr>
              <w:adjustRightInd w:val="0"/>
              <w:snapToGrid w:val="0"/>
              <w:spacing w:line="360" w:lineRule="auto"/>
              <w:ind w:firstLine="480" w:firstLineChars="200"/>
              <w:rPr>
                <w:rFonts w:cs="宋体"/>
                <w:sz w:val="24"/>
                <w:szCs w:val="24"/>
              </w:rPr>
            </w:pPr>
            <w:r>
              <w:rPr>
                <w:rFonts w:hint="eastAsia" w:cs="宋体"/>
                <w:sz w:val="24"/>
                <w:szCs w:val="24"/>
              </w:rPr>
              <w:t>（2）声环境：厂界周边50m范围内无声环境保护目标。</w:t>
            </w:r>
          </w:p>
          <w:p>
            <w:pPr>
              <w:adjustRightInd w:val="0"/>
              <w:snapToGrid w:val="0"/>
              <w:spacing w:line="360" w:lineRule="auto"/>
              <w:ind w:firstLine="480" w:firstLineChars="200"/>
              <w:rPr>
                <w:rFonts w:cs="宋体"/>
                <w:sz w:val="24"/>
                <w:szCs w:val="24"/>
              </w:rPr>
            </w:pPr>
            <w:r>
              <w:rPr>
                <w:rFonts w:hint="eastAsia" w:cs="宋体"/>
                <w:sz w:val="24"/>
                <w:szCs w:val="24"/>
              </w:rPr>
              <w:t>（3）地下水环境：厂界外500m范围内无地下水集中式饮用水水源和热水、矿泉水、温泉等特殊地下水资源</w:t>
            </w:r>
            <w:r>
              <w:rPr>
                <w:rFonts w:cs="宋体"/>
                <w:sz w:val="24"/>
                <w:szCs w:val="24"/>
              </w:rPr>
              <w:t>地</w:t>
            </w:r>
            <w:r>
              <w:rPr>
                <w:rFonts w:hint="eastAsia" w:cs="宋体"/>
                <w:sz w:val="24"/>
                <w:szCs w:val="24"/>
              </w:rPr>
              <w:t>保护目标。</w:t>
            </w:r>
          </w:p>
          <w:p>
            <w:pPr>
              <w:pStyle w:val="2"/>
              <w:adjustRightInd w:val="0"/>
              <w:snapToGrid w:val="0"/>
              <w:spacing w:line="360" w:lineRule="auto"/>
              <w:rPr>
                <w:rFonts w:ascii="Times New Roman" w:hAnsi="Times New Roman" w:cs="宋体"/>
                <w:sz w:val="24"/>
                <w:szCs w:val="24"/>
              </w:rPr>
            </w:pPr>
            <w:r>
              <w:rPr>
                <w:rFonts w:hint="eastAsia" w:ascii="Times New Roman" w:hAnsi="Times New Roman" w:cs="宋体"/>
                <w:sz w:val="24"/>
                <w:szCs w:val="24"/>
              </w:rPr>
              <w:t>（4）生态环境：项目用地范围内无生态环境保护目标。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1089" w:type="dxa"/>
            <w:tcMar>
              <w:left w:w="28" w:type="dxa"/>
              <w:right w:w="28" w:type="dxa"/>
            </w:tcMar>
            <w:vAlign w:val="center"/>
          </w:tcPr>
          <w:p>
            <w:pPr>
              <w:adjustRightInd w:val="0"/>
              <w:snapToGrid w:val="0"/>
              <w:spacing w:line="480" w:lineRule="exact"/>
              <w:jc w:val="center"/>
              <w:rPr>
                <w:kern w:val="0"/>
                <w:sz w:val="24"/>
                <w:szCs w:val="24"/>
              </w:rPr>
            </w:pPr>
            <w:r>
              <w:rPr>
                <w:rFonts w:hint="eastAsia" w:cs="宋体"/>
                <w:kern w:val="0"/>
                <w:sz w:val="24"/>
                <w:szCs w:val="24"/>
              </w:rPr>
              <w:t>污染</w:t>
            </w:r>
          </w:p>
          <w:p>
            <w:pPr>
              <w:adjustRightInd w:val="0"/>
              <w:snapToGrid w:val="0"/>
              <w:spacing w:line="480" w:lineRule="exact"/>
              <w:jc w:val="center"/>
              <w:rPr>
                <w:kern w:val="0"/>
                <w:sz w:val="24"/>
                <w:szCs w:val="24"/>
              </w:rPr>
            </w:pPr>
            <w:r>
              <w:rPr>
                <w:rFonts w:hint="eastAsia" w:cs="宋体"/>
                <w:kern w:val="0"/>
                <w:sz w:val="24"/>
                <w:szCs w:val="24"/>
              </w:rPr>
              <w:t>物排</w:t>
            </w:r>
          </w:p>
          <w:p>
            <w:pPr>
              <w:adjustRightInd w:val="0"/>
              <w:snapToGrid w:val="0"/>
              <w:spacing w:line="480" w:lineRule="exact"/>
              <w:jc w:val="center"/>
              <w:rPr>
                <w:kern w:val="0"/>
                <w:sz w:val="24"/>
                <w:szCs w:val="24"/>
              </w:rPr>
            </w:pPr>
            <w:r>
              <w:rPr>
                <w:rFonts w:hint="eastAsia" w:cs="宋体"/>
                <w:kern w:val="0"/>
                <w:sz w:val="24"/>
                <w:szCs w:val="24"/>
              </w:rPr>
              <w:t>放控</w:t>
            </w:r>
          </w:p>
          <w:p>
            <w:pPr>
              <w:adjustRightInd w:val="0"/>
              <w:snapToGrid w:val="0"/>
              <w:spacing w:line="480" w:lineRule="exact"/>
              <w:jc w:val="center"/>
              <w:rPr>
                <w:kern w:val="0"/>
                <w:sz w:val="24"/>
                <w:szCs w:val="24"/>
              </w:rPr>
            </w:pPr>
            <w:r>
              <w:rPr>
                <w:rFonts w:hint="eastAsia" w:cs="宋体"/>
                <w:kern w:val="0"/>
                <w:sz w:val="24"/>
                <w:szCs w:val="24"/>
              </w:rPr>
              <w:t>制标</w:t>
            </w:r>
          </w:p>
          <w:p>
            <w:pPr>
              <w:adjustRightInd w:val="0"/>
              <w:snapToGrid w:val="0"/>
              <w:spacing w:line="480" w:lineRule="exact"/>
              <w:jc w:val="center"/>
              <w:rPr>
                <w:kern w:val="0"/>
              </w:rPr>
            </w:pPr>
            <w:r>
              <w:rPr>
                <w:rFonts w:hint="eastAsia" w:cs="宋体"/>
                <w:kern w:val="0"/>
                <w:sz w:val="24"/>
                <w:szCs w:val="24"/>
              </w:rPr>
              <w:t>准</w:t>
            </w:r>
          </w:p>
        </w:tc>
        <w:tc>
          <w:tcPr>
            <w:tcW w:w="8459" w:type="dxa"/>
            <w:vAlign w:val="center"/>
          </w:tcPr>
          <w:p>
            <w:pPr>
              <w:adjustRightInd w:val="0"/>
              <w:snapToGrid w:val="0"/>
              <w:spacing w:beforeLines="50" w:line="360" w:lineRule="auto"/>
              <w:ind w:firstLine="480" w:firstLineChars="200"/>
              <w:jc w:val="left"/>
              <w:rPr>
                <w:sz w:val="24"/>
                <w:szCs w:val="24"/>
              </w:rPr>
            </w:pPr>
            <w:r>
              <w:rPr>
                <w:rFonts w:hint="eastAsia" w:cs="宋体"/>
                <w:sz w:val="24"/>
                <w:szCs w:val="24"/>
              </w:rPr>
              <w:t>（</w:t>
            </w:r>
            <w:r>
              <w:rPr>
                <w:sz w:val="24"/>
                <w:szCs w:val="24"/>
              </w:rPr>
              <w:t>1</w:t>
            </w:r>
            <w:r>
              <w:rPr>
                <w:rFonts w:hint="eastAsia" w:cs="宋体"/>
                <w:sz w:val="24"/>
                <w:szCs w:val="24"/>
              </w:rPr>
              <w:t>）废气</w:t>
            </w:r>
          </w:p>
          <w:p>
            <w:pPr>
              <w:adjustRightInd w:val="0"/>
              <w:snapToGrid w:val="0"/>
              <w:spacing w:line="360" w:lineRule="auto"/>
              <w:ind w:firstLine="480" w:firstLineChars="200"/>
              <w:rPr>
                <w:rFonts w:cs="宋体"/>
                <w:bCs/>
                <w:sz w:val="24"/>
                <w:szCs w:val="24"/>
              </w:rPr>
            </w:pPr>
            <w:r>
              <w:rPr>
                <w:rFonts w:hint="eastAsia" w:cs="宋体"/>
                <w:bCs/>
                <w:sz w:val="24"/>
                <w:szCs w:val="24"/>
              </w:rPr>
              <w:t>运营期有组织非甲烷总烃、苯乙烯及颗粒物排放执行《合成树脂工业污染物排放标准》（GB31572-2015）中表5相关标准限值；无组织厂界非甲烷总烃和颗粒物排放执行《合成树脂工业污染物排放标准》（GB31572-2015）中表9相关标准限值，厂区内非甲烷总烃无组织排放执行《挥发性有机物无组织排放控制标准》（</w:t>
            </w:r>
            <w:r>
              <w:rPr>
                <w:rFonts w:cs="宋体"/>
                <w:bCs/>
                <w:sz w:val="24"/>
                <w:szCs w:val="24"/>
              </w:rPr>
              <w:t>GB37822-2019</w:t>
            </w:r>
            <w:r>
              <w:rPr>
                <w:rFonts w:hint="eastAsia" w:cs="宋体"/>
                <w:bCs/>
                <w:sz w:val="24"/>
                <w:szCs w:val="24"/>
              </w:rPr>
              <w:t>）表</w:t>
            </w:r>
            <w:r>
              <w:rPr>
                <w:rFonts w:cs="宋体"/>
                <w:bCs/>
                <w:sz w:val="24"/>
                <w:szCs w:val="24"/>
              </w:rPr>
              <w:t>A.1</w:t>
            </w:r>
            <w:r>
              <w:rPr>
                <w:rFonts w:hint="eastAsia" w:cs="宋体"/>
                <w:bCs/>
                <w:sz w:val="24"/>
                <w:szCs w:val="24"/>
              </w:rPr>
              <w:t>特别排放限值；无组织厂界苯乙烯排放参照执行《恶臭污染物排放标准》（GB14554-1993）中表1相关标准限值；食堂</w:t>
            </w:r>
            <w:r>
              <w:rPr>
                <w:rFonts w:cs="宋体"/>
                <w:bCs/>
                <w:sz w:val="24"/>
                <w:szCs w:val="24"/>
              </w:rPr>
              <w:t>油烟排放执行《饮食业油烟排放标准（试行）》（GB18483-2001）中</w:t>
            </w:r>
            <w:r>
              <w:rPr>
                <w:rFonts w:hint="eastAsia" w:cs="宋体"/>
                <w:bCs/>
                <w:sz w:val="24"/>
                <w:szCs w:val="24"/>
              </w:rPr>
              <w:t>的小型标准</w:t>
            </w:r>
            <w:r>
              <w:rPr>
                <w:rFonts w:cs="宋体"/>
                <w:bCs/>
                <w:sz w:val="24"/>
                <w:szCs w:val="24"/>
              </w:rPr>
              <w:t>要求</w:t>
            </w:r>
            <w:r>
              <w:rPr>
                <w:rFonts w:hint="eastAsia" w:cs="宋体"/>
                <w:bCs/>
                <w:sz w:val="24"/>
                <w:szCs w:val="24"/>
              </w:rPr>
              <w:t>。</w:t>
            </w:r>
          </w:p>
          <w:p>
            <w:pPr>
              <w:pStyle w:val="34"/>
              <w:adjustRightInd w:val="0"/>
              <w:snapToGrid w:val="0"/>
              <w:spacing w:after="0" w:line="360" w:lineRule="auto"/>
              <w:ind w:left="0" w:leftChars="0" w:firstLine="0"/>
              <w:jc w:val="center"/>
              <w:rPr>
                <w:b/>
                <w:bCs/>
              </w:rPr>
            </w:pPr>
            <w:r>
              <w:rPr>
                <w:rFonts w:hint="eastAsia" w:cs="宋体"/>
                <w:b/>
                <w:bCs/>
              </w:rPr>
              <w:t>表</w:t>
            </w:r>
            <w:r>
              <w:rPr>
                <w:b/>
                <w:bCs/>
              </w:rPr>
              <w:t>3-</w:t>
            </w:r>
            <w:r>
              <w:rPr>
                <w:rFonts w:hint="eastAsia"/>
                <w:b/>
                <w:bCs/>
              </w:rPr>
              <w:t xml:space="preserve">4  </w:t>
            </w:r>
            <w:r>
              <w:rPr>
                <w:rFonts w:hint="eastAsia" w:cs="宋体"/>
                <w:b/>
                <w:bCs/>
              </w:rPr>
              <w:t>运营期废气污染物排放标准</w:t>
            </w:r>
          </w:p>
          <w:tbl>
            <w:tblPr>
              <w:tblStyle w:val="35"/>
              <w:tblW w:w="5000" w:type="pct"/>
              <w:tblInd w:w="0" w:type="dxa"/>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Layout w:type="autofit"/>
              <w:tblCellMar>
                <w:top w:w="0" w:type="dxa"/>
                <w:left w:w="108" w:type="dxa"/>
                <w:bottom w:w="0" w:type="dxa"/>
                <w:right w:w="108" w:type="dxa"/>
              </w:tblCellMar>
            </w:tblPr>
            <w:tblGrid>
              <w:gridCol w:w="1228"/>
              <w:gridCol w:w="1055"/>
              <w:gridCol w:w="2505"/>
              <w:gridCol w:w="1230"/>
              <w:gridCol w:w="2305"/>
            </w:tblGrid>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38" w:type="pct"/>
                  <w:vAlign w:val="center"/>
                </w:tcPr>
                <w:p>
                  <w:pPr>
                    <w:pStyle w:val="137"/>
                    <w:jc w:val="center"/>
                    <w:rPr>
                      <w:bCs/>
                      <w:sz w:val="21"/>
                      <w:szCs w:val="21"/>
                    </w:rPr>
                  </w:pPr>
                  <w:r>
                    <w:rPr>
                      <w:rFonts w:hint="eastAsia"/>
                      <w:bCs/>
                      <w:sz w:val="21"/>
                      <w:szCs w:val="21"/>
                    </w:rPr>
                    <w:t>污染物</w:t>
                  </w:r>
                </w:p>
              </w:tc>
              <w:tc>
                <w:tcPr>
                  <w:tcW w:w="634" w:type="pct"/>
                  <w:vAlign w:val="center"/>
                </w:tcPr>
                <w:p>
                  <w:pPr>
                    <w:pStyle w:val="137"/>
                    <w:jc w:val="center"/>
                    <w:rPr>
                      <w:bCs/>
                      <w:sz w:val="21"/>
                      <w:szCs w:val="21"/>
                    </w:rPr>
                  </w:pPr>
                  <w:r>
                    <w:rPr>
                      <w:rFonts w:hint="eastAsia"/>
                      <w:bCs/>
                      <w:sz w:val="21"/>
                      <w:szCs w:val="21"/>
                    </w:rPr>
                    <w:t>排放方式</w:t>
                  </w:r>
                </w:p>
              </w:tc>
              <w:tc>
                <w:tcPr>
                  <w:tcW w:w="1505" w:type="pct"/>
                  <w:vAlign w:val="center"/>
                </w:tcPr>
                <w:p>
                  <w:pPr>
                    <w:pStyle w:val="137"/>
                    <w:jc w:val="center"/>
                    <w:rPr>
                      <w:bCs/>
                      <w:sz w:val="21"/>
                      <w:szCs w:val="21"/>
                    </w:rPr>
                  </w:pPr>
                  <w:r>
                    <w:rPr>
                      <w:rFonts w:hint="eastAsia"/>
                      <w:bCs/>
                      <w:sz w:val="21"/>
                      <w:szCs w:val="21"/>
                    </w:rPr>
                    <w:t>控制要求</w:t>
                  </w:r>
                </w:p>
              </w:tc>
              <w:tc>
                <w:tcPr>
                  <w:tcW w:w="739" w:type="pct"/>
                  <w:vAlign w:val="center"/>
                </w:tcPr>
                <w:p>
                  <w:pPr>
                    <w:pStyle w:val="137"/>
                    <w:jc w:val="center"/>
                    <w:rPr>
                      <w:bCs/>
                      <w:sz w:val="21"/>
                      <w:szCs w:val="21"/>
                    </w:rPr>
                  </w:pPr>
                  <w:r>
                    <w:rPr>
                      <w:rFonts w:hint="eastAsia"/>
                      <w:bCs/>
                      <w:sz w:val="21"/>
                      <w:szCs w:val="21"/>
                    </w:rPr>
                    <w:t>排放限值</w:t>
                  </w:r>
                </w:p>
              </w:tc>
              <w:tc>
                <w:tcPr>
                  <w:tcW w:w="1384" w:type="pct"/>
                  <w:vAlign w:val="center"/>
                </w:tcPr>
                <w:p>
                  <w:pPr>
                    <w:pStyle w:val="137"/>
                    <w:jc w:val="center"/>
                    <w:rPr>
                      <w:bCs/>
                      <w:sz w:val="21"/>
                      <w:szCs w:val="21"/>
                    </w:rPr>
                  </w:pPr>
                  <w:r>
                    <w:rPr>
                      <w:rFonts w:hint="eastAsia"/>
                      <w:bCs/>
                      <w:sz w:val="21"/>
                      <w:szCs w:val="21"/>
                    </w:rPr>
                    <w:t>标准</w:t>
                  </w: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38" w:type="pct"/>
                  <w:vMerge w:val="restart"/>
                  <w:vAlign w:val="center"/>
                </w:tcPr>
                <w:p>
                  <w:pPr>
                    <w:pStyle w:val="137"/>
                    <w:jc w:val="center"/>
                    <w:rPr>
                      <w:sz w:val="21"/>
                      <w:szCs w:val="21"/>
                    </w:rPr>
                  </w:pPr>
                  <w:r>
                    <w:rPr>
                      <w:rFonts w:hint="eastAsia"/>
                      <w:sz w:val="21"/>
                      <w:szCs w:val="21"/>
                    </w:rPr>
                    <w:t>非甲烷总烃</w:t>
                  </w:r>
                </w:p>
              </w:tc>
              <w:tc>
                <w:tcPr>
                  <w:tcW w:w="634" w:type="pct"/>
                  <w:vMerge w:val="restart"/>
                  <w:vAlign w:val="center"/>
                </w:tcPr>
                <w:p>
                  <w:pPr>
                    <w:pStyle w:val="137"/>
                    <w:jc w:val="center"/>
                    <w:rPr>
                      <w:sz w:val="21"/>
                      <w:szCs w:val="21"/>
                    </w:rPr>
                  </w:pPr>
                  <w:r>
                    <w:rPr>
                      <w:rFonts w:hint="eastAsia"/>
                      <w:sz w:val="21"/>
                      <w:szCs w:val="21"/>
                    </w:rPr>
                    <w:t>无组织</w:t>
                  </w:r>
                </w:p>
              </w:tc>
              <w:tc>
                <w:tcPr>
                  <w:tcW w:w="1505" w:type="pct"/>
                  <w:vAlign w:val="center"/>
                </w:tcPr>
                <w:p>
                  <w:pPr>
                    <w:pStyle w:val="137"/>
                    <w:jc w:val="center"/>
                    <w:rPr>
                      <w:sz w:val="21"/>
                      <w:szCs w:val="21"/>
                    </w:rPr>
                  </w:pPr>
                  <w:r>
                    <w:rPr>
                      <w:rFonts w:hint="eastAsia"/>
                      <w:sz w:val="21"/>
                      <w:szCs w:val="21"/>
                    </w:rPr>
                    <w:t>厂区内监控点1</w:t>
                  </w:r>
                  <w:r>
                    <w:rPr>
                      <w:sz w:val="21"/>
                      <w:szCs w:val="21"/>
                    </w:rPr>
                    <w:t>h</w:t>
                  </w:r>
                  <w:r>
                    <w:rPr>
                      <w:rFonts w:hint="eastAsia"/>
                      <w:sz w:val="21"/>
                      <w:szCs w:val="21"/>
                    </w:rPr>
                    <w:t>平均浓度限值</w:t>
                  </w:r>
                </w:p>
              </w:tc>
              <w:tc>
                <w:tcPr>
                  <w:tcW w:w="739" w:type="pct"/>
                  <w:vAlign w:val="center"/>
                </w:tcPr>
                <w:p>
                  <w:pPr>
                    <w:pStyle w:val="137"/>
                    <w:jc w:val="center"/>
                    <w:rPr>
                      <w:sz w:val="21"/>
                      <w:szCs w:val="21"/>
                    </w:rPr>
                  </w:pPr>
                  <w:r>
                    <w:rPr>
                      <w:sz w:val="21"/>
                      <w:szCs w:val="21"/>
                    </w:rPr>
                    <w:t>6mg/m</w:t>
                  </w:r>
                  <w:r>
                    <w:rPr>
                      <w:sz w:val="21"/>
                      <w:szCs w:val="21"/>
                      <w:vertAlign w:val="superscript"/>
                    </w:rPr>
                    <w:t>3</w:t>
                  </w:r>
                </w:p>
              </w:tc>
              <w:tc>
                <w:tcPr>
                  <w:tcW w:w="1384" w:type="pct"/>
                  <w:vAlign w:val="center"/>
                </w:tcPr>
                <w:p>
                  <w:pPr>
                    <w:pStyle w:val="137"/>
                    <w:jc w:val="center"/>
                    <w:rPr>
                      <w:sz w:val="21"/>
                      <w:szCs w:val="21"/>
                    </w:rPr>
                  </w:pPr>
                  <w:r>
                    <w:rPr>
                      <w:rFonts w:hint="eastAsia"/>
                      <w:sz w:val="21"/>
                      <w:szCs w:val="21"/>
                    </w:rPr>
                    <w:t>《挥发性有机物无组织排放控制标准》</w:t>
                  </w:r>
                  <w:r>
                    <w:rPr>
                      <w:sz w:val="21"/>
                      <w:szCs w:val="21"/>
                    </w:rPr>
                    <w:t>GB37822-2019</w:t>
                  </w: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38" w:type="pct"/>
                  <w:vMerge w:val="continue"/>
                  <w:vAlign w:val="center"/>
                </w:tcPr>
                <w:p>
                  <w:pPr>
                    <w:pStyle w:val="137"/>
                    <w:jc w:val="center"/>
                    <w:rPr>
                      <w:sz w:val="21"/>
                      <w:szCs w:val="21"/>
                    </w:rPr>
                  </w:pPr>
                </w:p>
              </w:tc>
              <w:tc>
                <w:tcPr>
                  <w:tcW w:w="634" w:type="pct"/>
                  <w:vMerge w:val="continue"/>
                  <w:vAlign w:val="center"/>
                </w:tcPr>
                <w:p>
                  <w:pPr>
                    <w:pStyle w:val="137"/>
                    <w:jc w:val="center"/>
                    <w:rPr>
                      <w:sz w:val="21"/>
                      <w:szCs w:val="21"/>
                    </w:rPr>
                  </w:pPr>
                </w:p>
              </w:tc>
              <w:tc>
                <w:tcPr>
                  <w:tcW w:w="1505" w:type="pct"/>
                  <w:vAlign w:val="center"/>
                </w:tcPr>
                <w:p>
                  <w:pPr>
                    <w:pStyle w:val="137"/>
                    <w:jc w:val="center"/>
                    <w:rPr>
                      <w:sz w:val="21"/>
                      <w:szCs w:val="21"/>
                    </w:rPr>
                  </w:pPr>
                  <w:r>
                    <w:rPr>
                      <w:rFonts w:hint="eastAsia"/>
                      <w:sz w:val="21"/>
                      <w:szCs w:val="21"/>
                    </w:rPr>
                    <w:t>厂界及周边</w:t>
                  </w:r>
                </w:p>
              </w:tc>
              <w:tc>
                <w:tcPr>
                  <w:tcW w:w="739" w:type="pct"/>
                  <w:vAlign w:val="center"/>
                </w:tcPr>
                <w:p>
                  <w:pPr>
                    <w:jc w:val="center"/>
                  </w:pPr>
                  <w:r>
                    <w:rPr>
                      <w:rFonts w:hint="eastAsia"/>
                    </w:rPr>
                    <w:t>4.0</w:t>
                  </w:r>
                  <w:r>
                    <w:t>mg/m</w:t>
                  </w:r>
                  <w:r>
                    <w:rPr>
                      <w:vertAlign w:val="superscript"/>
                    </w:rPr>
                    <w:t>3</w:t>
                  </w:r>
                </w:p>
              </w:tc>
              <w:tc>
                <w:tcPr>
                  <w:tcW w:w="1384" w:type="pct"/>
                  <w:vMerge w:val="restart"/>
                  <w:vAlign w:val="center"/>
                </w:tcPr>
                <w:p>
                  <w:pPr>
                    <w:pStyle w:val="137"/>
                    <w:jc w:val="center"/>
                    <w:rPr>
                      <w:sz w:val="21"/>
                      <w:szCs w:val="21"/>
                    </w:rPr>
                  </w:pPr>
                  <w:r>
                    <w:rPr>
                      <w:rFonts w:hint="eastAsia"/>
                      <w:sz w:val="21"/>
                      <w:szCs w:val="21"/>
                    </w:rPr>
                    <w:t>《合成树脂工业污染物排放标准》（GB31572-2015）</w:t>
                  </w: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38" w:type="pct"/>
                  <w:vMerge w:val="continue"/>
                  <w:vAlign w:val="center"/>
                </w:tcPr>
                <w:p>
                  <w:pPr>
                    <w:pStyle w:val="137"/>
                    <w:jc w:val="center"/>
                    <w:rPr>
                      <w:sz w:val="21"/>
                      <w:szCs w:val="21"/>
                    </w:rPr>
                  </w:pPr>
                </w:p>
              </w:tc>
              <w:tc>
                <w:tcPr>
                  <w:tcW w:w="634" w:type="pct"/>
                  <w:vAlign w:val="center"/>
                </w:tcPr>
                <w:p>
                  <w:pPr>
                    <w:pStyle w:val="137"/>
                    <w:jc w:val="center"/>
                    <w:rPr>
                      <w:sz w:val="21"/>
                      <w:szCs w:val="21"/>
                    </w:rPr>
                  </w:pPr>
                  <w:r>
                    <w:rPr>
                      <w:rFonts w:hint="eastAsia"/>
                      <w:sz w:val="21"/>
                      <w:szCs w:val="21"/>
                    </w:rPr>
                    <w:t>有组织</w:t>
                  </w:r>
                </w:p>
              </w:tc>
              <w:tc>
                <w:tcPr>
                  <w:tcW w:w="1505" w:type="pct"/>
                  <w:vAlign w:val="center"/>
                </w:tcPr>
                <w:p>
                  <w:pPr>
                    <w:pStyle w:val="137"/>
                    <w:jc w:val="center"/>
                    <w:rPr>
                      <w:sz w:val="21"/>
                      <w:szCs w:val="21"/>
                    </w:rPr>
                  </w:pPr>
                  <w:r>
                    <w:rPr>
                      <w:rFonts w:hint="eastAsia"/>
                      <w:sz w:val="21"/>
                      <w:szCs w:val="21"/>
                    </w:rPr>
                    <w:t>车间或生产设施排气筒</w:t>
                  </w:r>
                </w:p>
              </w:tc>
              <w:tc>
                <w:tcPr>
                  <w:tcW w:w="739" w:type="pct"/>
                  <w:vAlign w:val="center"/>
                </w:tcPr>
                <w:p>
                  <w:pPr>
                    <w:pStyle w:val="137"/>
                    <w:jc w:val="center"/>
                    <w:rPr>
                      <w:sz w:val="21"/>
                      <w:szCs w:val="21"/>
                    </w:rPr>
                  </w:pPr>
                  <w:r>
                    <w:rPr>
                      <w:rFonts w:hint="eastAsia"/>
                      <w:sz w:val="21"/>
                      <w:szCs w:val="21"/>
                    </w:rPr>
                    <w:t>60</w:t>
                  </w:r>
                  <w:r>
                    <w:rPr>
                      <w:sz w:val="21"/>
                      <w:szCs w:val="21"/>
                    </w:rPr>
                    <w:t>mg/m</w:t>
                  </w:r>
                  <w:r>
                    <w:rPr>
                      <w:sz w:val="21"/>
                      <w:szCs w:val="21"/>
                      <w:vertAlign w:val="superscript"/>
                    </w:rPr>
                    <w:t>3</w:t>
                  </w:r>
                </w:p>
              </w:tc>
              <w:tc>
                <w:tcPr>
                  <w:tcW w:w="1384" w:type="pct"/>
                  <w:vMerge w:val="continue"/>
                  <w:vAlign w:val="center"/>
                </w:tcPr>
                <w:p>
                  <w:pPr>
                    <w:pStyle w:val="137"/>
                    <w:jc w:val="center"/>
                    <w:rPr>
                      <w:sz w:val="21"/>
                      <w:szCs w:val="21"/>
                    </w:rPr>
                  </w:pP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738" w:type="pct"/>
                  <w:vMerge w:val="restart"/>
                  <w:vAlign w:val="center"/>
                </w:tcPr>
                <w:p>
                  <w:pPr>
                    <w:pStyle w:val="137"/>
                    <w:jc w:val="center"/>
                    <w:rPr>
                      <w:sz w:val="21"/>
                      <w:szCs w:val="21"/>
                    </w:rPr>
                  </w:pPr>
                  <w:r>
                    <w:rPr>
                      <w:rFonts w:hint="eastAsia"/>
                      <w:sz w:val="21"/>
                      <w:szCs w:val="21"/>
                    </w:rPr>
                    <w:t>颗粒物</w:t>
                  </w:r>
                </w:p>
              </w:tc>
              <w:tc>
                <w:tcPr>
                  <w:tcW w:w="634" w:type="pct"/>
                  <w:vAlign w:val="center"/>
                </w:tcPr>
                <w:p>
                  <w:pPr>
                    <w:pStyle w:val="137"/>
                    <w:jc w:val="center"/>
                    <w:rPr>
                      <w:sz w:val="21"/>
                      <w:szCs w:val="21"/>
                    </w:rPr>
                  </w:pPr>
                  <w:r>
                    <w:rPr>
                      <w:rFonts w:hint="eastAsia"/>
                      <w:sz w:val="21"/>
                      <w:szCs w:val="21"/>
                    </w:rPr>
                    <w:t>有组织</w:t>
                  </w:r>
                </w:p>
              </w:tc>
              <w:tc>
                <w:tcPr>
                  <w:tcW w:w="1505" w:type="pct"/>
                  <w:vAlign w:val="center"/>
                </w:tcPr>
                <w:p>
                  <w:pPr>
                    <w:pStyle w:val="137"/>
                    <w:jc w:val="center"/>
                    <w:rPr>
                      <w:sz w:val="21"/>
                      <w:szCs w:val="21"/>
                    </w:rPr>
                  </w:pPr>
                  <w:r>
                    <w:rPr>
                      <w:rFonts w:hint="eastAsia"/>
                      <w:sz w:val="21"/>
                      <w:szCs w:val="21"/>
                    </w:rPr>
                    <w:t>车间或生产设施排气筒</w:t>
                  </w:r>
                </w:p>
              </w:tc>
              <w:tc>
                <w:tcPr>
                  <w:tcW w:w="739" w:type="pct"/>
                  <w:vAlign w:val="center"/>
                </w:tcPr>
                <w:p>
                  <w:pPr>
                    <w:jc w:val="center"/>
                  </w:pPr>
                  <w:r>
                    <w:rPr>
                      <w:rFonts w:hint="eastAsia"/>
                    </w:rPr>
                    <w:t>20</w:t>
                  </w:r>
                  <w:r>
                    <w:t>mg/m</w:t>
                  </w:r>
                  <w:r>
                    <w:rPr>
                      <w:vertAlign w:val="superscript"/>
                    </w:rPr>
                    <w:t>3</w:t>
                  </w:r>
                </w:p>
              </w:tc>
              <w:tc>
                <w:tcPr>
                  <w:tcW w:w="1384" w:type="pct"/>
                  <w:vMerge w:val="continue"/>
                  <w:vAlign w:val="center"/>
                </w:tcPr>
                <w:p>
                  <w:pPr>
                    <w:pStyle w:val="137"/>
                    <w:jc w:val="center"/>
                    <w:rPr>
                      <w:sz w:val="21"/>
                      <w:szCs w:val="21"/>
                    </w:rPr>
                  </w:pP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PrEx>
              <w:trPr>
                <w:trHeight w:val="227" w:hRule="atLeast"/>
              </w:trPr>
              <w:tc>
                <w:tcPr>
                  <w:tcW w:w="738" w:type="pct"/>
                  <w:vMerge w:val="continue"/>
                  <w:vAlign w:val="center"/>
                </w:tcPr>
                <w:p>
                  <w:pPr>
                    <w:pStyle w:val="137"/>
                    <w:jc w:val="center"/>
                    <w:rPr>
                      <w:sz w:val="21"/>
                      <w:szCs w:val="21"/>
                    </w:rPr>
                  </w:pPr>
                </w:p>
              </w:tc>
              <w:tc>
                <w:tcPr>
                  <w:tcW w:w="634" w:type="pct"/>
                  <w:vAlign w:val="center"/>
                </w:tcPr>
                <w:p>
                  <w:pPr>
                    <w:pStyle w:val="137"/>
                    <w:jc w:val="center"/>
                    <w:rPr>
                      <w:sz w:val="21"/>
                      <w:szCs w:val="21"/>
                    </w:rPr>
                  </w:pPr>
                  <w:r>
                    <w:rPr>
                      <w:rFonts w:hint="eastAsia"/>
                      <w:sz w:val="21"/>
                      <w:szCs w:val="21"/>
                    </w:rPr>
                    <w:t>无组织</w:t>
                  </w:r>
                </w:p>
              </w:tc>
              <w:tc>
                <w:tcPr>
                  <w:tcW w:w="1505" w:type="pct"/>
                  <w:vAlign w:val="center"/>
                </w:tcPr>
                <w:p>
                  <w:pPr>
                    <w:pStyle w:val="137"/>
                    <w:jc w:val="center"/>
                    <w:rPr>
                      <w:sz w:val="21"/>
                      <w:szCs w:val="21"/>
                    </w:rPr>
                  </w:pPr>
                  <w:r>
                    <w:rPr>
                      <w:rFonts w:hint="eastAsia"/>
                      <w:sz w:val="21"/>
                      <w:szCs w:val="21"/>
                    </w:rPr>
                    <w:t>厂界及周边</w:t>
                  </w:r>
                </w:p>
              </w:tc>
              <w:tc>
                <w:tcPr>
                  <w:tcW w:w="739" w:type="pct"/>
                  <w:vAlign w:val="center"/>
                </w:tcPr>
                <w:p>
                  <w:pPr>
                    <w:jc w:val="center"/>
                  </w:pPr>
                  <w:r>
                    <w:rPr>
                      <w:rFonts w:hint="eastAsia"/>
                    </w:rPr>
                    <w:t>1.0</w:t>
                  </w:r>
                  <w:r>
                    <w:t>mg/m</w:t>
                  </w:r>
                  <w:r>
                    <w:rPr>
                      <w:vertAlign w:val="superscript"/>
                    </w:rPr>
                    <w:t>3</w:t>
                  </w:r>
                </w:p>
              </w:tc>
              <w:tc>
                <w:tcPr>
                  <w:tcW w:w="1384" w:type="pct"/>
                  <w:vMerge w:val="continue"/>
                  <w:vAlign w:val="center"/>
                </w:tcPr>
                <w:p>
                  <w:pPr>
                    <w:pStyle w:val="137"/>
                    <w:jc w:val="center"/>
                    <w:rPr>
                      <w:sz w:val="21"/>
                      <w:szCs w:val="21"/>
                    </w:rPr>
                  </w:pP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PrEx>
              <w:trPr>
                <w:trHeight w:val="227" w:hRule="atLeast"/>
              </w:trPr>
              <w:tc>
                <w:tcPr>
                  <w:tcW w:w="738" w:type="pct"/>
                  <w:vMerge w:val="restart"/>
                  <w:vAlign w:val="center"/>
                </w:tcPr>
                <w:p>
                  <w:pPr>
                    <w:pStyle w:val="137"/>
                    <w:jc w:val="center"/>
                    <w:rPr>
                      <w:sz w:val="21"/>
                      <w:szCs w:val="21"/>
                    </w:rPr>
                  </w:pPr>
                  <w:r>
                    <w:rPr>
                      <w:rFonts w:hint="eastAsia"/>
                      <w:sz w:val="21"/>
                      <w:szCs w:val="21"/>
                    </w:rPr>
                    <w:t>苯乙烯</w:t>
                  </w:r>
                </w:p>
              </w:tc>
              <w:tc>
                <w:tcPr>
                  <w:tcW w:w="634" w:type="pct"/>
                  <w:vAlign w:val="center"/>
                </w:tcPr>
                <w:p>
                  <w:pPr>
                    <w:pStyle w:val="137"/>
                    <w:jc w:val="center"/>
                    <w:rPr>
                      <w:sz w:val="21"/>
                      <w:szCs w:val="21"/>
                    </w:rPr>
                  </w:pPr>
                  <w:r>
                    <w:rPr>
                      <w:rFonts w:hint="eastAsia"/>
                      <w:sz w:val="21"/>
                      <w:szCs w:val="21"/>
                    </w:rPr>
                    <w:t>有组织</w:t>
                  </w:r>
                </w:p>
              </w:tc>
              <w:tc>
                <w:tcPr>
                  <w:tcW w:w="1505" w:type="pct"/>
                  <w:vAlign w:val="center"/>
                </w:tcPr>
                <w:p>
                  <w:pPr>
                    <w:pStyle w:val="137"/>
                    <w:jc w:val="center"/>
                    <w:rPr>
                      <w:sz w:val="21"/>
                      <w:szCs w:val="21"/>
                    </w:rPr>
                  </w:pPr>
                  <w:r>
                    <w:rPr>
                      <w:rFonts w:hint="eastAsia"/>
                      <w:sz w:val="21"/>
                      <w:szCs w:val="21"/>
                    </w:rPr>
                    <w:t>车间或生产设施排气筒</w:t>
                  </w:r>
                </w:p>
              </w:tc>
              <w:tc>
                <w:tcPr>
                  <w:tcW w:w="739" w:type="pct"/>
                  <w:vAlign w:val="center"/>
                </w:tcPr>
                <w:p>
                  <w:pPr>
                    <w:jc w:val="center"/>
                  </w:pPr>
                  <w:r>
                    <w:rPr>
                      <w:rFonts w:hint="eastAsia"/>
                    </w:rPr>
                    <w:t>20</w:t>
                  </w:r>
                  <w:r>
                    <w:t>mg/m</w:t>
                  </w:r>
                  <w:r>
                    <w:rPr>
                      <w:vertAlign w:val="superscript"/>
                    </w:rPr>
                    <w:t>3</w:t>
                  </w:r>
                </w:p>
              </w:tc>
              <w:tc>
                <w:tcPr>
                  <w:tcW w:w="1384" w:type="pct"/>
                  <w:vMerge w:val="continue"/>
                  <w:vAlign w:val="center"/>
                </w:tcPr>
                <w:p>
                  <w:pPr>
                    <w:pStyle w:val="137"/>
                    <w:jc w:val="center"/>
                    <w:rPr>
                      <w:sz w:val="21"/>
                      <w:szCs w:val="21"/>
                    </w:rPr>
                  </w:pP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PrEx>
              <w:trPr>
                <w:trHeight w:val="227" w:hRule="atLeast"/>
              </w:trPr>
              <w:tc>
                <w:tcPr>
                  <w:tcW w:w="738" w:type="pct"/>
                  <w:vMerge w:val="continue"/>
                  <w:vAlign w:val="center"/>
                </w:tcPr>
                <w:p>
                  <w:pPr>
                    <w:pStyle w:val="137"/>
                    <w:jc w:val="center"/>
                    <w:rPr>
                      <w:sz w:val="21"/>
                      <w:szCs w:val="21"/>
                    </w:rPr>
                  </w:pPr>
                </w:p>
              </w:tc>
              <w:tc>
                <w:tcPr>
                  <w:tcW w:w="634" w:type="pct"/>
                  <w:vAlign w:val="center"/>
                </w:tcPr>
                <w:p>
                  <w:pPr>
                    <w:pStyle w:val="137"/>
                    <w:jc w:val="center"/>
                    <w:rPr>
                      <w:sz w:val="21"/>
                      <w:szCs w:val="21"/>
                    </w:rPr>
                  </w:pPr>
                  <w:r>
                    <w:rPr>
                      <w:rFonts w:hint="eastAsia"/>
                      <w:sz w:val="21"/>
                      <w:szCs w:val="21"/>
                    </w:rPr>
                    <w:t>无组织</w:t>
                  </w:r>
                </w:p>
              </w:tc>
              <w:tc>
                <w:tcPr>
                  <w:tcW w:w="1505" w:type="pct"/>
                  <w:vAlign w:val="center"/>
                </w:tcPr>
                <w:p>
                  <w:pPr>
                    <w:pStyle w:val="137"/>
                    <w:jc w:val="center"/>
                    <w:rPr>
                      <w:sz w:val="21"/>
                      <w:szCs w:val="21"/>
                    </w:rPr>
                  </w:pPr>
                  <w:r>
                    <w:rPr>
                      <w:rFonts w:hint="eastAsia"/>
                      <w:sz w:val="21"/>
                      <w:szCs w:val="21"/>
                    </w:rPr>
                    <w:t>厂界</w:t>
                  </w:r>
                </w:p>
              </w:tc>
              <w:tc>
                <w:tcPr>
                  <w:tcW w:w="739" w:type="pct"/>
                  <w:vAlign w:val="center"/>
                </w:tcPr>
                <w:p>
                  <w:pPr>
                    <w:jc w:val="center"/>
                  </w:pPr>
                  <w:r>
                    <w:rPr>
                      <w:rFonts w:hint="eastAsia"/>
                    </w:rPr>
                    <w:t>5</w:t>
                  </w:r>
                  <w:r>
                    <w:t>mg/m</w:t>
                  </w:r>
                  <w:r>
                    <w:rPr>
                      <w:vertAlign w:val="superscript"/>
                    </w:rPr>
                    <w:t>3</w:t>
                  </w:r>
                </w:p>
              </w:tc>
              <w:tc>
                <w:tcPr>
                  <w:tcW w:w="1384" w:type="pct"/>
                  <w:vAlign w:val="center"/>
                </w:tcPr>
                <w:p>
                  <w:pPr>
                    <w:pStyle w:val="137"/>
                    <w:jc w:val="center"/>
                    <w:rPr>
                      <w:sz w:val="21"/>
                      <w:szCs w:val="21"/>
                    </w:rPr>
                  </w:pPr>
                  <w:r>
                    <w:rPr>
                      <w:rFonts w:hint="eastAsia"/>
                      <w:sz w:val="21"/>
                      <w:szCs w:val="21"/>
                    </w:rPr>
                    <w:t>《恶臭污染物排放标准》（GB14554-1993）</w:t>
                  </w:r>
                </w:p>
              </w:tc>
            </w:tr>
            <w:tr>
              <w:tblPrEx>
                <w:tblBorders>
                  <w:top w:val="single" w:color="000000" w:sz="8" w:space="0"/>
                  <w:left w:val="single" w:color="auto" w:sz="4" w:space="0"/>
                  <w:bottom w:val="single" w:color="000000" w:sz="8" w:space="0"/>
                  <w:right w:val="single" w:color="auto" w:sz="4" w:space="0"/>
                  <w:insideH w:val="single" w:color="000000" w:sz="4" w:space="0"/>
                  <w:insideV w:val="single" w:color="000000" w:sz="4" w:space="0"/>
                </w:tblBorders>
              </w:tblPrEx>
              <w:trPr>
                <w:trHeight w:val="227" w:hRule="atLeast"/>
              </w:trPr>
              <w:tc>
                <w:tcPr>
                  <w:tcW w:w="738" w:type="pct"/>
                  <w:vAlign w:val="center"/>
                </w:tcPr>
                <w:p>
                  <w:pPr>
                    <w:pStyle w:val="137"/>
                    <w:jc w:val="center"/>
                    <w:rPr>
                      <w:sz w:val="21"/>
                      <w:szCs w:val="21"/>
                    </w:rPr>
                  </w:pPr>
                  <w:r>
                    <w:rPr>
                      <w:rFonts w:hint="eastAsia"/>
                      <w:sz w:val="21"/>
                      <w:szCs w:val="21"/>
                    </w:rPr>
                    <w:t>油烟</w:t>
                  </w:r>
                </w:p>
              </w:tc>
              <w:tc>
                <w:tcPr>
                  <w:tcW w:w="634" w:type="pct"/>
                  <w:vAlign w:val="center"/>
                </w:tcPr>
                <w:p>
                  <w:pPr>
                    <w:pStyle w:val="137"/>
                    <w:jc w:val="center"/>
                    <w:rPr>
                      <w:sz w:val="21"/>
                      <w:szCs w:val="21"/>
                    </w:rPr>
                  </w:pPr>
                  <w:r>
                    <w:rPr>
                      <w:rFonts w:hint="eastAsia"/>
                      <w:sz w:val="21"/>
                      <w:szCs w:val="21"/>
                    </w:rPr>
                    <w:t>有组织</w:t>
                  </w:r>
                </w:p>
              </w:tc>
              <w:tc>
                <w:tcPr>
                  <w:tcW w:w="1505" w:type="pct"/>
                  <w:vAlign w:val="center"/>
                </w:tcPr>
                <w:p>
                  <w:pPr>
                    <w:pStyle w:val="137"/>
                    <w:jc w:val="center"/>
                    <w:rPr>
                      <w:sz w:val="21"/>
                      <w:szCs w:val="21"/>
                    </w:rPr>
                  </w:pPr>
                  <w:r>
                    <w:rPr>
                      <w:rFonts w:hint="eastAsia"/>
                      <w:sz w:val="21"/>
                      <w:szCs w:val="21"/>
                    </w:rPr>
                    <w:t>最高允许排放浓度</w:t>
                  </w:r>
                </w:p>
              </w:tc>
              <w:tc>
                <w:tcPr>
                  <w:tcW w:w="739" w:type="pct"/>
                  <w:vAlign w:val="center"/>
                </w:tcPr>
                <w:p>
                  <w:pPr>
                    <w:jc w:val="center"/>
                  </w:pPr>
                  <w:r>
                    <w:rPr>
                      <w:rFonts w:hint="eastAsia"/>
                    </w:rPr>
                    <w:t>2.0</w:t>
                  </w:r>
                  <w:r>
                    <w:t>mg/m</w:t>
                  </w:r>
                  <w:r>
                    <w:rPr>
                      <w:vertAlign w:val="superscript"/>
                    </w:rPr>
                    <w:t>3</w:t>
                  </w:r>
                </w:p>
              </w:tc>
              <w:tc>
                <w:tcPr>
                  <w:tcW w:w="1384" w:type="pct"/>
                  <w:vAlign w:val="center"/>
                </w:tcPr>
                <w:p>
                  <w:pPr>
                    <w:pStyle w:val="137"/>
                    <w:jc w:val="center"/>
                    <w:rPr>
                      <w:sz w:val="21"/>
                      <w:szCs w:val="21"/>
                    </w:rPr>
                  </w:pPr>
                  <w:r>
                    <w:rPr>
                      <w:sz w:val="21"/>
                      <w:szCs w:val="21"/>
                    </w:rPr>
                    <w:t>《饮食业油烟排放标准（试行）》（GB18483-2001）</w:t>
                  </w:r>
                </w:p>
              </w:tc>
            </w:tr>
          </w:tbl>
          <w:p>
            <w:pPr>
              <w:adjustRightInd w:val="0"/>
              <w:snapToGrid w:val="0"/>
              <w:spacing w:line="360" w:lineRule="auto"/>
              <w:ind w:firstLine="480" w:firstLineChars="200"/>
              <w:rPr>
                <w:sz w:val="24"/>
                <w:szCs w:val="24"/>
              </w:rPr>
            </w:pPr>
            <w:r>
              <w:rPr>
                <w:rFonts w:hint="eastAsia" w:cs="宋体"/>
                <w:sz w:val="24"/>
                <w:szCs w:val="24"/>
              </w:rPr>
              <w:t>（</w:t>
            </w:r>
            <w:r>
              <w:rPr>
                <w:sz w:val="24"/>
                <w:szCs w:val="24"/>
              </w:rPr>
              <w:t>2</w:t>
            </w:r>
            <w:r>
              <w:rPr>
                <w:rFonts w:hint="eastAsia" w:cs="宋体"/>
                <w:sz w:val="24"/>
                <w:szCs w:val="24"/>
              </w:rPr>
              <w:t>）废水</w:t>
            </w:r>
          </w:p>
          <w:p>
            <w:pPr>
              <w:adjustRightInd w:val="0"/>
              <w:snapToGrid w:val="0"/>
              <w:spacing w:line="360" w:lineRule="auto"/>
              <w:ind w:firstLine="480" w:firstLineChars="200"/>
              <w:rPr>
                <w:sz w:val="24"/>
                <w:szCs w:val="24"/>
              </w:rPr>
            </w:pPr>
            <w:r>
              <w:rPr>
                <w:rFonts w:hint="eastAsia" w:cs="宋体"/>
                <w:sz w:val="24"/>
                <w:szCs w:val="24"/>
              </w:rPr>
              <w:t>项目运营期</w:t>
            </w:r>
            <w:r>
              <w:rPr>
                <w:rFonts w:hint="eastAsia" w:cs="宋体"/>
                <w:bCs/>
                <w:sz w:val="24"/>
                <w:szCs w:val="24"/>
              </w:rPr>
              <w:t>无</w:t>
            </w:r>
            <w:r>
              <w:rPr>
                <w:rFonts w:cs="宋体"/>
                <w:bCs/>
                <w:sz w:val="24"/>
                <w:szCs w:val="24"/>
              </w:rPr>
              <w:t>生产废水</w:t>
            </w:r>
            <w:r>
              <w:rPr>
                <w:rFonts w:hint="eastAsia" w:cs="宋体"/>
                <w:bCs/>
                <w:sz w:val="24"/>
                <w:szCs w:val="24"/>
              </w:rPr>
              <w:t>排放，排水仅为生活污水，</w:t>
            </w:r>
            <w:r>
              <w:rPr>
                <w:rFonts w:hint="eastAsia" w:cs="宋体"/>
                <w:sz w:val="24"/>
                <w:szCs w:val="24"/>
              </w:rPr>
              <w:t>生活污水排放执行《污水综合排放标准》（</w:t>
            </w:r>
            <w:r>
              <w:rPr>
                <w:sz w:val="24"/>
                <w:szCs w:val="24"/>
              </w:rPr>
              <w:t>GB8978-1996</w:t>
            </w:r>
            <w:r>
              <w:rPr>
                <w:rFonts w:hint="eastAsia" w:cs="宋体"/>
                <w:sz w:val="24"/>
                <w:szCs w:val="24"/>
              </w:rPr>
              <w:t>）中三级标准以及《污水排入城镇下水道水质标准》（</w:t>
            </w:r>
            <w:r>
              <w:rPr>
                <w:sz w:val="24"/>
                <w:szCs w:val="24"/>
              </w:rPr>
              <w:t>GB/T31962-2015</w:t>
            </w:r>
            <w:r>
              <w:rPr>
                <w:rFonts w:hint="eastAsia" w:cs="宋体"/>
                <w:sz w:val="24"/>
                <w:szCs w:val="24"/>
              </w:rPr>
              <w:t>）</w:t>
            </w:r>
            <w:r>
              <w:rPr>
                <w:sz w:val="24"/>
                <w:szCs w:val="24"/>
              </w:rPr>
              <w:t>B</w:t>
            </w:r>
            <w:r>
              <w:rPr>
                <w:rFonts w:hint="eastAsia" w:cs="宋体"/>
                <w:sz w:val="24"/>
                <w:szCs w:val="24"/>
              </w:rPr>
              <w:t>级标准，</w:t>
            </w:r>
            <w:r>
              <w:rPr>
                <w:bCs/>
                <w:sz w:val="24"/>
              </w:rPr>
              <w:t>具体数值</w:t>
            </w:r>
            <w:r>
              <w:rPr>
                <w:rFonts w:hint="eastAsia"/>
                <w:bCs/>
                <w:sz w:val="24"/>
              </w:rPr>
              <w:t>详见</w:t>
            </w:r>
            <w:r>
              <w:rPr>
                <w:bCs/>
                <w:sz w:val="24"/>
              </w:rPr>
              <w:t>下表</w:t>
            </w:r>
            <w:r>
              <w:rPr>
                <w:rFonts w:hint="eastAsia" w:cs="宋体"/>
                <w:sz w:val="24"/>
                <w:szCs w:val="24"/>
              </w:rPr>
              <w:t>。</w:t>
            </w:r>
          </w:p>
          <w:p>
            <w:pPr>
              <w:pStyle w:val="34"/>
              <w:adjustRightInd w:val="0"/>
              <w:snapToGrid w:val="0"/>
              <w:spacing w:after="0" w:line="360" w:lineRule="auto"/>
              <w:ind w:left="0" w:leftChars="0" w:firstLine="422" w:firstLineChars="200"/>
              <w:jc w:val="center"/>
              <w:rPr>
                <w:b/>
                <w:bCs/>
              </w:rPr>
            </w:pPr>
            <w:r>
              <w:rPr>
                <w:rFonts w:hint="eastAsia" w:cs="宋体"/>
                <w:b/>
                <w:bCs/>
              </w:rPr>
              <w:t>表</w:t>
            </w:r>
            <w:r>
              <w:rPr>
                <w:b/>
                <w:bCs/>
              </w:rPr>
              <w:t>3-</w:t>
            </w:r>
            <w:r>
              <w:rPr>
                <w:rFonts w:hint="eastAsia"/>
                <w:b/>
                <w:bCs/>
              </w:rPr>
              <w:t xml:space="preserve"> 5  </w:t>
            </w:r>
            <w:r>
              <w:rPr>
                <w:rFonts w:hint="eastAsia" w:cs="宋体"/>
                <w:b/>
                <w:bCs/>
              </w:rPr>
              <w:t>废水排放标准</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0"/>
              <w:gridCol w:w="1125"/>
              <w:gridCol w:w="1267"/>
              <w:gridCol w:w="4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pStyle w:val="137"/>
                    <w:jc w:val="center"/>
                    <w:rPr>
                      <w:bCs/>
                      <w:sz w:val="21"/>
                      <w:szCs w:val="21"/>
                    </w:rPr>
                  </w:pPr>
                  <w:r>
                    <w:rPr>
                      <w:rFonts w:hint="eastAsia"/>
                      <w:bCs/>
                      <w:sz w:val="21"/>
                      <w:szCs w:val="21"/>
                    </w:rPr>
                    <w:t>污染物名称</w:t>
                  </w:r>
                </w:p>
              </w:tc>
              <w:tc>
                <w:tcPr>
                  <w:tcW w:w="676" w:type="pct"/>
                  <w:tcBorders>
                    <w:top w:val="single" w:color="auto" w:sz="4" w:space="0"/>
                    <w:left w:val="single" w:color="auto" w:sz="4" w:space="0"/>
                    <w:bottom w:val="single" w:color="auto" w:sz="4" w:space="0"/>
                    <w:right w:val="single" w:color="auto" w:sz="4" w:space="0"/>
                  </w:tcBorders>
                  <w:vAlign w:val="center"/>
                </w:tcPr>
                <w:p>
                  <w:pPr>
                    <w:pStyle w:val="137"/>
                    <w:jc w:val="center"/>
                    <w:rPr>
                      <w:bCs/>
                      <w:sz w:val="21"/>
                      <w:szCs w:val="21"/>
                    </w:rPr>
                  </w:pPr>
                  <w:r>
                    <w:rPr>
                      <w:rFonts w:hint="eastAsia"/>
                      <w:bCs/>
                      <w:sz w:val="21"/>
                      <w:szCs w:val="21"/>
                    </w:rPr>
                    <w:t>单位</w:t>
                  </w:r>
                </w:p>
              </w:tc>
              <w:tc>
                <w:tcPr>
                  <w:tcW w:w="761" w:type="pct"/>
                  <w:tcBorders>
                    <w:top w:val="single" w:color="auto" w:sz="4" w:space="0"/>
                    <w:left w:val="single" w:color="auto" w:sz="4" w:space="0"/>
                    <w:bottom w:val="single" w:color="auto" w:sz="4" w:space="0"/>
                    <w:right w:val="single" w:color="auto" w:sz="4" w:space="0"/>
                  </w:tcBorders>
                  <w:vAlign w:val="center"/>
                </w:tcPr>
                <w:p>
                  <w:pPr>
                    <w:pStyle w:val="137"/>
                    <w:jc w:val="center"/>
                    <w:rPr>
                      <w:bCs/>
                      <w:sz w:val="21"/>
                      <w:szCs w:val="21"/>
                    </w:rPr>
                  </w:pPr>
                  <w:r>
                    <w:rPr>
                      <w:rFonts w:hint="eastAsia"/>
                      <w:bCs/>
                      <w:sz w:val="21"/>
                      <w:szCs w:val="21"/>
                    </w:rPr>
                    <w:t>标准限值</w:t>
                  </w:r>
                </w:p>
              </w:tc>
              <w:tc>
                <w:tcPr>
                  <w:tcW w:w="2542" w:type="pct"/>
                  <w:tcBorders>
                    <w:top w:val="single" w:color="auto" w:sz="4" w:space="0"/>
                    <w:left w:val="single" w:color="auto" w:sz="4" w:space="0"/>
                    <w:bottom w:val="single" w:color="auto" w:sz="4" w:space="0"/>
                    <w:right w:val="single" w:color="auto" w:sz="4" w:space="0"/>
                  </w:tcBorders>
                  <w:vAlign w:val="center"/>
                </w:tcPr>
                <w:p>
                  <w:pPr>
                    <w:pStyle w:val="137"/>
                    <w:jc w:val="center"/>
                    <w:rPr>
                      <w:bCs/>
                      <w:sz w:val="21"/>
                      <w:szCs w:val="21"/>
                    </w:rPr>
                  </w:pPr>
                  <w:r>
                    <w:rPr>
                      <w:rFonts w:hint="eastAsia"/>
                      <w:bCs/>
                      <w:sz w:val="21"/>
                      <w:szCs w:val="21"/>
                    </w:rPr>
                    <w:t>标准来源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pH</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6-9</w:t>
                  </w:r>
                </w:p>
              </w:tc>
              <w:tc>
                <w:tcPr>
                  <w:tcW w:w="2542"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rPr>
                    <w:t>《污水综合排放标准》（</w:t>
                  </w:r>
                  <w:r>
                    <w:t>GB8978-1996</w:t>
                  </w:r>
                  <w:r>
                    <w:rPr>
                      <w:rFonts w:hint="eastAsia" w:cs="宋体"/>
                    </w:rPr>
                    <w:t>）</w:t>
                  </w:r>
                </w:p>
                <w:p>
                  <w:pPr>
                    <w:adjustRightInd w:val="0"/>
                    <w:snapToGrid w:val="0"/>
                    <w:jc w:val="center"/>
                    <w:rPr>
                      <w:rFonts w:cs="宋体"/>
                    </w:rPr>
                  </w:pPr>
                  <w:r>
                    <w:rPr>
                      <w:rFonts w:hint="eastAsia" w:cs="宋体"/>
                    </w:rPr>
                    <w:t>三级标准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COD</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mg/L</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500</w:t>
                  </w:r>
                </w:p>
              </w:tc>
              <w:tc>
                <w:tcPr>
                  <w:tcW w:w="2542" w:type="pct"/>
                  <w:vMerge w:val="continue"/>
                  <w:tcBorders>
                    <w:left w:val="single" w:color="auto" w:sz="4" w:space="0"/>
                    <w:right w:val="single" w:color="auto" w:sz="4" w:space="0"/>
                  </w:tcBorders>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BOD</w:t>
                  </w:r>
                  <w:r>
                    <w:rPr>
                      <w:vertAlign w:val="subscript"/>
                    </w:rPr>
                    <w:t>5</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mg/L</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300</w:t>
                  </w:r>
                </w:p>
              </w:tc>
              <w:tc>
                <w:tcPr>
                  <w:tcW w:w="2542" w:type="pct"/>
                  <w:vMerge w:val="continue"/>
                  <w:tcBorders>
                    <w:left w:val="single" w:color="auto" w:sz="4" w:space="0"/>
                    <w:right w:val="single" w:color="auto" w:sz="4" w:space="0"/>
                  </w:tcBorders>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SS</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mg/L</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400</w:t>
                  </w:r>
                </w:p>
              </w:tc>
              <w:tc>
                <w:tcPr>
                  <w:tcW w:w="2542" w:type="pct"/>
                  <w:vMerge w:val="continue"/>
                  <w:tcBorders>
                    <w:left w:val="single" w:color="auto" w:sz="4" w:space="0"/>
                    <w:right w:val="single" w:color="auto" w:sz="4" w:space="0"/>
                  </w:tcBorders>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动植物油</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mg/L</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100</w:t>
                  </w:r>
                </w:p>
              </w:tc>
              <w:tc>
                <w:tcPr>
                  <w:tcW w:w="2542" w:type="pct"/>
                  <w:vMerge w:val="continue"/>
                  <w:tcBorders>
                    <w:left w:val="single" w:color="auto" w:sz="4" w:space="0"/>
                    <w:bottom w:val="single" w:color="auto" w:sz="4" w:space="0"/>
                    <w:right w:val="single" w:color="auto" w:sz="4" w:space="0"/>
                  </w:tcBorders>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02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NH</w:t>
                  </w:r>
                  <w:r>
                    <w:rPr>
                      <w:vertAlign w:val="subscript"/>
                    </w:rPr>
                    <w:t>3</w:t>
                  </w:r>
                  <w:r>
                    <w:t>-N</w:t>
                  </w:r>
                </w:p>
              </w:tc>
              <w:tc>
                <w:tcPr>
                  <w:tcW w:w="6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mg/L</w:t>
                  </w:r>
                </w:p>
              </w:tc>
              <w:tc>
                <w:tcPr>
                  <w:tcW w:w="7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45</w:t>
                  </w:r>
                </w:p>
              </w:tc>
              <w:tc>
                <w:tcPr>
                  <w:tcW w:w="2542" w:type="pct"/>
                  <w:tcBorders>
                    <w:top w:val="single" w:color="auto" w:sz="4" w:space="0"/>
                    <w:left w:val="single" w:color="auto" w:sz="4" w:space="0"/>
                    <w:right w:val="single" w:color="auto" w:sz="4" w:space="0"/>
                  </w:tcBorders>
                  <w:vAlign w:val="center"/>
                </w:tcPr>
                <w:p>
                  <w:pPr>
                    <w:adjustRightInd w:val="0"/>
                    <w:snapToGrid w:val="0"/>
                    <w:jc w:val="center"/>
                    <w:rPr>
                      <w:rFonts w:cs="宋体"/>
                    </w:rPr>
                  </w:pPr>
                  <w:r>
                    <w:rPr>
                      <w:rFonts w:hint="eastAsia" w:cs="宋体"/>
                    </w:rPr>
                    <w:t>《污水排入城镇下水道水质标准》（</w:t>
                  </w:r>
                  <w:r>
                    <w:t>GB/T31962-2015</w:t>
                  </w:r>
                  <w:r>
                    <w:rPr>
                      <w:rFonts w:hint="eastAsia" w:cs="宋体"/>
                    </w:rPr>
                    <w:t>）</w:t>
                  </w:r>
                  <w:r>
                    <w:t>B</w:t>
                  </w:r>
                  <w:r>
                    <w:rPr>
                      <w:rFonts w:hint="eastAsia" w:cs="宋体"/>
                    </w:rPr>
                    <w:t>级标准</w:t>
                  </w:r>
                </w:p>
              </w:tc>
            </w:tr>
          </w:tbl>
          <w:p>
            <w:pPr>
              <w:adjustRightInd w:val="0"/>
              <w:snapToGrid w:val="0"/>
              <w:spacing w:line="360" w:lineRule="auto"/>
              <w:ind w:firstLine="480" w:firstLineChars="200"/>
              <w:jc w:val="left"/>
              <w:rPr>
                <w:sz w:val="24"/>
                <w:szCs w:val="24"/>
              </w:rPr>
            </w:pPr>
            <w:r>
              <w:rPr>
                <w:rFonts w:hint="eastAsia" w:cs="宋体"/>
                <w:sz w:val="24"/>
                <w:szCs w:val="24"/>
              </w:rPr>
              <w:t>（</w:t>
            </w:r>
            <w:r>
              <w:rPr>
                <w:sz w:val="24"/>
                <w:szCs w:val="24"/>
              </w:rPr>
              <w:t>3</w:t>
            </w:r>
            <w:r>
              <w:rPr>
                <w:rFonts w:hint="eastAsia" w:cs="宋体"/>
                <w:sz w:val="24"/>
                <w:szCs w:val="24"/>
              </w:rPr>
              <w:t>）噪声</w:t>
            </w:r>
          </w:p>
          <w:p>
            <w:pPr>
              <w:adjustRightInd w:val="0"/>
              <w:snapToGrid w:val="0"/>
              <w:spacing w:line="360" w:lineRule="auto"/>
              <w:ind w:firstLine="480" w:firstLineChars="200"/>
              <w:rPr>
                <w:kern w:val="0"/>
                <w:sz w:val="24"/>
                <w:szCs w:val="24"/>
              </w:rPr>
            </w:pPr>
            <w:r>
              <w:rPr>
                <w:rFonts w:cs="宋体"/>
                <w:kern w:val="0"/>
                <w:sz w:val="24"/>
                <w:szCs w:val="24"/>
              </w:rPr>
              <w:t>施工期噪声执行《建筑施工场界环境噪声排放标准》（GB12523-2011）中有关规定；</w:t>
            </w:r>
            <w:r>
              <w:rPr>
                <w:rFonts w:hint="eastAsia" w:cs="宋体"/>
                <w:kern w:val="0"/>
                <w:sz w:val="24"/>
                <w:szCs w:val="24"/>
              </w:rPr>
              <w:t>运营期厂界四周噪声执行《工业企业厂界环境噪声排放标准》（</w:t>
            </w:r>
            <w:r>
              <w:rPr>
                <w:kern w:val="0"/>
                <w:sz w:val="24"/>
                <w:szCs w:val="24"/>
              </w:rPr>
              <w:t>GB12348-2008</w:t>
            </w:r>
            <w:r>
              <w:rPr>
                <w:rFonts w:hint="eastAsia" w:cs="宋体"/>
                <w:kern w:val="0"/>
                <w:sz w:val="24"/>
                <w:szCs w:val="24"/>
              </w:rPr>
              <w:t>）中</w:t>
            </w:r>
            <w:r>
              <w:rPr>
                <w:rFonts w:hint="eastAsia"/>
                <w:kern w:val="0"/>
                <w:sz w:val="24"/>
                <w:szCs w:val="24"/>
              </w:rPr>
              <w:t>3</w:t>
            </w:r>
            <w:r>
              <w:rPr>
                <w:rFonts w:hint="eastAsia" w:cs="宋体"/>
                <w:kern w:val="0"/>
                <w:sz w:val="24"/>
                <w:szCs w:val="24"/>
              </w:rPr>
              <w:t>类区标准。</w:t>
            </w:r>
          </w:p>
          <w:p>
            <w:pPr>
              <w:pStyle w:val="34"/>
              <w:adjustRightInd w:val="0"/>
              <w:snapToGrid w:val="0"/>
              <w:spacing w:after="0" w:line="360" w:lineRule="auto"/>
              <w:ind w:left="0" w:leftChars="0" w:firstLine="0"/>
              <w:jc w:val="center"/>
              <w:rPr>
                <w:b/>
                <w:bCs/>
              </w:rPr>
            </w:pPr>
            <w:r>
              <w:rPr>
                <w:rFonts w:hint="eastAsia" w:cs="宋体"/>
                <w:b/>
                <w:bCs/>
              </w:rPr>
              <w:t>表</w:t>
            </w:r>
            <w:r>
              <w:rPr>
                <w:b/>
                <w:bCs/>
              </w:rPr>
              <w:t>3-</w:t>
            </w:r>
            <w:r>
              <w:rPr>
                <w:rFonts w:hint="eastAsia"/>
                <w:b/>
                <w:bCs/>
              </w:rPr>
              <w:t xml:space="preserve">6  </w:t>
            </w:r>
            <w:r>
              <w:rPr>
                <w:rFonts w:hint="eastAsia" w:cs="宋体"/>
                <w:b/>
                <w:bCs/>
              </w:rPr>
              <w:t>噪声排放标准（单位：</w:t>
            </w:r>
            <w:r>
              <w:rPr>
                <w:rFonts w:cs="宋体"/>
                <w:b/>
                <w:bCs/>
              </w:rPr>
              <w:t>dB</w:t>
            </w:r>
            <w:r>
              <w:rPr>
                <w:rFonts w:hint="eastAsia" w:cs="宋体"/>
                <w:b/>
                <w:bCs/>
              </w:rPr>
              <w:t>（</w:t>
            </w:r>
            <w:r>
              <w:rPr>
                <w:rFonts w:cs="宋体"/>
                <w:b/>
                <w:bCs/>
              </w:rPr>
              <w:t>A</w:t>
            </w:r>
            <w:r>
              <w:rPr>
                <w:rFonts w:hint="eastAsia" w:cs="宋体"/>
                <w:b/>
                <w:bCs/>
              </w:rPr>
              <w:t>））</w:t>
            </w:r>
          </w:p>
          <w:tbl>
            <w:tblPr>
              <w:tblStyle w:val="35"/>
              <w:tblW w:w="83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56"/>
              <w:gridCol w:w="1173"/>
              <w:gridCol w:w="600"/>
              <w:gridCol w:w="668"/>
              <w:gridCol w:w="7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156" w:type="dxa"/>
                  <w:vMerge w:val="restart"/>
                  <w:tcBorders>
                    <w:tl2br w:val="nil"/>
                    <w:tr2bl w:val="nil"/>
                  </w:tcBorders>
                  <w:vAlign w:val="center"/>
                </w:tcPr>
                <w:p>
                  <w:pPr>
                    <w:adjustRightInd w:val="0"/>
                    <w:snapToGrid w:val="0"/>
                    <w:jc w:val="center"/>
                    <w:rPr>
                      <w:snapToGrid w:val="0"/>
                      <w:kern w:val="0"/>
                      <w:lang w:val="en-GB"/>
                    </w:rPr>
                  </w:pPr>
                  <w:r>
                    <w:rPr>
                      <w:snapToGrid w:val="0"/>
                      <w:kern w:val="0"/>
                      <w:lang w:val="en-GB"/>
                    </w:rPr>
                    <w:t>执行标准</w:t>
                  </w:r>
                </w:p>
              </w:tc>
              <w:tc>
                <w:tcPr>
                  <w:tcW w:w="1773" w:type="dxa"/>
                  <w:gridSpan w:val="2"/>
                  <w:vMerge w:val="restart"/>
                  <w:tcBorders>
                    <w:tl2br w:val="nil"/>
                    <w:tr2bl w:val="nil"/>
                  </w:tcBorders>
                  <w:vAlign w:val="center"/>
                </w:tcPr>
                <w:p>
                  <w:pPr>
                    <w:adjustRightInd w:val="0"/>
                    <w:snapToGrid w:val="0"/>
                    <w:jc w:val="center"/>
                    <w:rPr>
                      <w:snapToGrid w:val="0"/>
                      <w:kern w:val="0"/>
                      <w:lang w:val="en-GB"/>
                    </w:rPr>
                  </w:pPr>
                  <w:r>
                    <w:rPr>
                      <w:snapToGrid w:val="0"/>
                      <w:kern w:val="0"/>
                      <w:lang w:val="en-GB"/>
                    </w:rPr>
                    <w:t>级别</w:t>
                  </w:r>
                </w:p>
              </w:tc>
              <w:tc>
                <w:tcPr>
                  <w:tcW w:w="1394" w:type="dxa"/>
                  <w:gridSpan w:val="2"/>
                  <w:tcBorders>
                    <w:tl2br w:val="nil"/>
                    <w:tr2bl w:val="nil"/>
                  </w:tcBorders>
                  <w:vAlign w:val="center"/>
                </w:tcPr>
                <w:p>
                  <w:pPr>
                    <w:adjustRightInd w:val="0"/>
                    <w:snapToGrid w:val="0"/>
                    <w:jc w:val="center"/>
                    <w:rPr>
                      <w:snapToGrid w:val="0"/>
                      <w:kern w:val="0"/>
                      <w:lang w:val="en-GB"/>
                    </w:rPr>
                  </w:pPr>
                  <w:r>
                    <w:rPr>
                      <w:snapToGrid w:val="0"/>
                      <w:kern w:val="0"/>
                      <w:lang w:val="en-GB"/>
                    </w:rPr>
                    <w:t>时段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156" w:type="dxa"/>
                  <w:vMerge w:val="continue"/>
                  <w:tcBorders>
                    <w:tl2br w:val="nil"/>
                    <w:tr2bl w:val="nil"/>
                  </w:tcBorders>
                  <w:vAlign w:val="center"/>
                </w:tcPr>
                <w:p>
                  <w:pPr>
                    <w:adjustRightInd w:val="0"/>
                    <w:snapToGrid w:val="0"/>
                    <w:jc w:val="center"/>
                    <w:rPr>
                      <w:snapToGrid w:val="0"/>
                      <w:kern w:val="0"/>
                      <w:lang w:val="en-GB"/>
                    </w:rPr>
                  </w:pPr>
                </w:p>
              </w:tc>
              <w:tc>
                <w:tcPr>
                  <w:tcW w:w="1773" w:type="dxa"/>
                  <w:gridSpan w:val="2"/>
                  <w:vMerge w:val="continue"/>
                  <w:tcBorders>
                    <w:tl2br w:val="nil"/>
                    <w:tr2bl w:val="nil"/>
                  </w:tcBorders>
                  <w:vAlign w:val="center"/>
                </w:tcPr>
                <w:p>
                  <w:pPr>
                    <w:adjustRightInd w:val="0"/>
                    <w:snapToGrid w:val="0"/>
                    <w:jc w:val="center"/>
                    <w:rPr>
                      <w:snapToGrid w:val="0"/>
                      <w:kern w:val="0"/>
                      <w:lang w:val="en-GB"/>
                    </w:rPr>
                  </w:pPr>
                </w:p>
              </w:tc>
              <w:tc>
                <w:tcPr>
                  <w:tcW w:w="668" w:type="dxa"/>
                  <w:tcBorders>
                    <w:tl2br w:val="nil"/>
                    <w:tr2bl w:val="nil"/>
                  </w:tcBorders>
                  <w:vAlign w:val="center"/>
                </w:tcPr>
                <w:p>
                  <w:pPr>
                    <w:adjustRightInd w:val="0"/>
                    <w:snapToGrid w:val="0"/>
                    <w:jc w:val="center"/>
                    <w:rPr>
                      <w:snapToGrid w:val="0"/>
                      <w:kern w:val="0"/>
                      <w:lang w:val="en-GB"/>
                    </w:rPr>
                  </w:pPr>
                  <w:r>
                    <w:rPr>
                      <w:snapToGrid w:val="0"/>
                      <w:kern w:val="0"/>
                      <w:lang w:val="en-GB"/>
                    </w:rPr>
                    <w:t>昼间</w:t>
                  </w:r>
                </w:p>
              </w:tc>
              <w:tc>
                <w:tcPr>
                  <w:tcW w:w="726" w:type="dxa"/>
                  <w:tcBorders>
                    <w:tl2br w:val="nil"/>
                    <w:tr2bl w:val="nil"/>
                  </w:tcBorders>
                  <w:vAlign w:val="center"/>
                </w:tcPr>
                <w:p>
                  <w:pPr>
                    <w:adjustRightInd w:val="0"/>
                    <w:snapToGrid w:val="0"/>
                    <w:jc w:val="center"/>
                    <w:rPr>
                      <w:snapToGrid w:val="0"/>
                      <w:kern w:val="0"/>
                      <w:lang w:val="en-GB"/>
                    </w:rPr>
                  </w:pPr>
                  <w:r>
                    <w:rPr>
                      <w:snapToGrid w:val="0"/>
                      <w:kern w:val="0"/>
                      <w:lang w:val="en-GB"/>
                    </w:rPr>
                    <w:t>夜间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156" w:type="dxa"/>
                  <w:tcBorders>
                    <w:tl2br w:val="nil"/>
                    <w:tr2bl w:val="nil"/>
                  </w:tcBorders>
                  <w:vAlign w:val="center"/>
                </w:tcPr>
                <w:p>
                  <w:pPr>
                    <w:adjustRightInd w:val="0"/>
                    <w:snapToGrid w:val="0"/>
                    <w:jc w:val="center"/>
                    <w:rPr>
                      <w:snapToGrid w:val="0"/>
                      <w:kern w:val="0"/>
                    </w:rPr>
                  </w:pPr>
                  <w:r>
                    <w:rPr>
                      <w:snapToGrid w:val="0"/>
                      <w:kern w:val="0"/>
                      <w:lang w:val="en-GB"/>
                    </w:rPr>
                    <w:t>《建筑施工场界环境噪声排放标准》（</w:t>
                  </w:r>
                  <w:r>
                    <w:rPr>
                      <w:snapToGrid w:val="0"/>
                      <w:kern w:val="0"/>
                    </w:rPr>
                    <w:t>GB12523-2011</w:t>
                  </w:r>
                  <w:r>
                    <w:rPr>
                      <w:snapToGrid w:val="0"/>
                      <w:kern w:val="0"/>
                      <w:lang w:val="en-GB"/>
                    </w:rPr>
                    <w:t>）</w:t>
                  </w:r>
                </w:p>
              </w:tc>
              <w:tc>
                <w:tcPr>
                  <w:tcW w:w="1773" w:type="dxa"/>
                  <w:gridSpan w:val="2"/>
                  <w:tcBorders>
                    <w:tl2br w:val="nil"/>
                    <w:tr2bl w:val="nil"/>
                  </w:tcBorders>
                  <w:vAlign w:val="center"/>
                </w:tcPr>
                <w:p>
                  <w:pPr>
                    <w:adjustRightInd w:val="0"/>
                    <w:snapToGrid w:val="0"/>
                    <w:jc w:val="center"/>
                    <w:rPr>
                      <w:snapToGrid w:val="0"/>
                      <w:kern w:val="0"/>
                    </w:rPr>
                  </w:pPr>
                  <w:r>
                    <w:rPr>
                      <w:snapToGrid w:val="0"/>
                      <w:kern w:val="0"/>
                    </w:rPr>
                    <w:t>/</w:t>
                  </w:r>
                </w:p>
              </w:tc>
              <w:tc>
                <w:tcPr>
                  <w:tcW w:w="668" w:type="dxa"/>
                  <w:tcBorders>
                    <w:tl2br w:val="nil"/>
                    <w:tr2bl w:val="nil"/>
                  </w:tcBorders>
                  <w:vAlign w:val="center"/>
                </w:tcPr>
                <w:p>
                  <w:pPr>
                    <w:adjustRightInd w:val="0"/>
                    <w:snapToGrid w:val="0"/>
                    <w:jc w:val="center"/>
                    <w:rPr>
                      <w:snapToGrid w:val="0"/>
                      <w:kern w:val="0"/>
                    </w:rPr>
                  </w:pPr>
                  <w:r>
                    <w:rPr>
                      <w:snapToGrid w:val="0"/>
                      <w:kern w:val="0"/>
                    </w:rPr>
                    <w:t>70</w:t>
                  </w:r>
                </w:p>
              </w:tc>
              <w:tc>
                <w:tcPr>
                  <w:tcW w:w="726" w:type="dxa"/>
                  <w:tcBorders>
                    <w:tl2br w:val="nil"/>
                    <w:tr2bl w:val="nil"/>
                  </w:tcBorders>
                  <w:vAlign w:val="center"/>
                </w:tcPr>
                <w:p>
                  <w:pPr>
                    <w:adjustRightInd w:val="0"/>
                    <w:snapToGrid w:val="0"/>
                    <w:jc w:val="center"/>
                    <w:rPr>
                      <w:snapToGrid w:val="0"/>
                      <w:kern w:val="0"/>
                    </w:rPr>
                  </w:pPr>
                  <w:r>
                    <w:rPr>
                      <w:snapToGrid w:val="0"/>
                      <w:kern w:val="0"/>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156" w:type="dxa"/>
                  <w:tcBorders>
                    <w:tl2br w:val="nil"/>
                    <w:tr2bl w:val="nil"/>
                  </w:tcBorders>
                  <w:vAlign w:val="center"/>
                </w:tcPr>
                <w:p>
                  <w:pPr>
                    <w:adjustRightInd w:val="0"/>
                    <w:snapToGrid w:val="0"/>
                    <w:jc w:val="center"/>
                    <w:rPr>
                      <w:snapToGrid w:val="0"/>
                      <w:kern w:val="0"/>
                    </w:rPr>
                  </w:pPr>
                  <w:r>
                    <w:rPr>
                      <w:snapToGrid w:val="0"/>
                      <w:kern w:val="0"/>
                    </w:rPr>
                    <w:t>《工业企业厂界环境噪声排放标准》（GB12348-2008）</w:t>
                  </w:r>
                </w:p>
              </w:tc>
              <w:tc>
                <w:tcPr>
                  <w:tcW w:w="1173" w:type="dxa"/>
                  <w:tcBorders>
                    <w:tl2br w:val="nil"/>
                    <w:tr2bl w:val="nil"/>
                  </w:tcBorders>
                  <w:vAlign w:val="center"/>
                </w:tcPr>
                <w:p>
                  <w:pPr>
                    <w:adjustRightInd w:val="0"/>
                    <w:snapToGrid w:val="0"/>
                    <w:jc w:val="center"/>
                    <w:rPr>
                      <w:snapToGrid w:val="0"/>
                      <w:kern w:val="0"/>
                      <w:lang w:val="en-GB"/>
                    </w:rPr>
                  </w:pPr>
                  <w:r>
                    <w:rPr>
                      <w:rFonts w:hint="eastAsia"/>
                      <w:snapToGrid w:val="0"/>
                      <w:kern w:val="0"/>
                      <w:lang w:val="en-GB"/>
                    </w:rPr>
                    <w:t>厂界四周</w:t>
                  </w:r>
                </w:p>
              </w:tc>
              <w:tc>
                <w:tcPr>
                  <w:tcW w:w="600" w:type="dxa"/>
                  <w:tcBorders>
                    <w:tl2br w:val="nil"/>
                    <w:tr2bl w:val="nil"/>
                  </w:tcBorders>
                  <w:vAlign w:val="center"/>
                </w:tcPr>
                <w:p>
                  <w:pPr>
                    <w:adjustRightInd w:val="0"/>
                    <w:snapToGrid w:val="0"/>
                    <w:jc w:val="center"/>
                    <w:rPr>
                      <w:snapToGrid w:val="0"/>
                      <w:kern w:val="0"/>
                    </w:rPr>
                  </w:pPr>
                  <w:r>
                    <w:rPr>
                      <w:rFonts w:hint="eastAsia"/>
                      <w:snapToGrid w:val="0"/>
                      <w:kern w:val="0"/>
                    </w:rPr>
                    <w:t>3</w:t>
                  </w:r>
                  <w:r>
                    <w:rPr>
                      <w:snapToGrid w:val="0"/>
                      <w:kern w:val="0"/>
                      <w:lang w:val="en-GB"/>
                    </w:rPr>
                    <w:t>类</w:t>
                  </w:r>
                </w:p>
              </w:tc>
              <w:tc>
                <w:tcPr>
                  <w:tcW w:w="668" w:type="dxa"/>
                  <w:tcBorders>
                    <w:tl2br w:val="nil"/>
                    <w:tr2bl w:val="nil"/>
                  </w:tcBorders>
                  <w:vAlign w:val="center"/>
                </w:tcPr>
                <w:p>
                  <w:pPr>
                    <w:adjustRightInd w:val="0"/>
                    <w:snapToGrid w:val="0"/>
                    <w:jc w:val="center"/>
                    <w:rPr>
                      <w:snapToGrid w:val="0"/>
                      <w:kern w:val="0"/>
                    </w:rPr>
                  </w:pPr>
                  <w:r>
                    <w:rPr>
                      <w:rFonts w:hint="eastAsia"/>
                      <w:snapToGrid w:val="0"/>
                      <w:kern w:val="0"/>
                    </w:rPr>
                    <w:t>65</w:t>
                  </w:r>
                </w:p>
              </w:tc>
              <w:tc>
                <w:tcPr>
                  <w:tcW w:w="726" w:type="dxa"/>
                  <w:tcBorders>
                    <w:tl2br w:val="nil"/>
                    <w:tr2bl w:val="nil"/>
                  </w:tcBorders>
                  <w:vAlign w:val="center"/>
                </w:tcPr>
                <w:p>
                  <w:pPr>
                    <w:adjustRightInd w:val="0"/>
                    <w:snapToGrid w:val="0"/>
                    <w:jc w:val="center"/>
                    <w:rPr>
                      <w:snapToGrid w:val="0"/>
                      <w:kern w:val="0"/>
                    </w:rPr>
                  </w:pPr>
                  <w:r>
                    <w:rPr>
                      <w:rFonts w:hint="eastAsia"/>
                      <w:snapToGrid w:val="0"/>
                      <w:kern w:val="0"/>
                    </w:rPr>
                    <w:t>55</w:t>
                  </w:r>
                </w:p>
              </w:tc>
            </w:tr>
          </w:tbl>
          <w:p>
            <w:pPr>
              <w:adjustRightInd w:val="0"/>
              <w:snapToGrid w:val="0"/>
              <w:spacing w:line="360" w:lineRule="auto"/>
              <w:ind w:firstLine="480" w:firstLineChars="200"/>
              <w:jc w:val="left"/>
              <w:rPr>
                <w:sz w:val="24"/>
                <w:szCs w:val="24"/>
              </w:rPr>
            </w:pPr>
            <w:r>
              <w:rPr>
                <w:rFonts w:hint="eastAsia" w:cs="宋体"/>
                <w:sz w:val="24"/>
                <w:szCs w:val="24"/>
              </w:rPr>
              <w:t>（</w:t>
            </w:r>
            <w:r>
              <w:rPr>
                <w:sz w:val="24"/>
                <w:szCs w:val="24"/>
              </w:rPr>
              <w:t>4</w:t>
            </w:r>
            <w:r>
              <w:rPr>
                <w:rFonts w:hint="eastAsia" w:cs="宋体"/>
                <w:sz w:val="24"/>
                <w:szCs w:val="24"/>
              </w:rPr>
              <w:t>）固体废物</w:t>
            </w:r>
          </w:p>
          <w:p>
            <w:pPr>
              <w:adjustRightInd w:val="0"/>
              <w:snapToGrid w:val="0"/>
              <w:spacing w:line="360" w:lineRule="auto"/>
              <w:ind w:firstLine="480" w:firstLineChars="200"/>
              <w:rPr>
                <w:sz w:val="24"/>
                <w:szCs w:val="24"/>
              </w:rPr>
            </w:pPr>
            <w:r>
              <w:rPr>
                <w:rFonts w:hint="eastAsia" w:cs="宋体"/>
                <w:sz w:val="24"/>
                <w:szCs w:val="24"/>
              </w:rPr>
              <w:t>一般固体废物贮存执行《一般工业固体废物贮存和填埋污染控制标准》（</w:t>
            </w:r>
            <w:r>
              <w:rPr>
                <w:sz w:val="24"/>
                <w:szCs w:val="24"/>
              </w:rPr>
              <w:t>GB18599-2020</w:t>
            </w:r>
            <w:r>
              <w:rPr>
                <w:rFonts w:hint="eastAsia" w:cs="宋体"/>
                <w:sz w:val="24"/>
                <w:szCs w:val="24"/>
              </w:rPr>
              <w:t>）；危险废物贮存执行</w:t>
            </w:r>
            <w:r>
              <w:fldChar w:fldCharType="begin"/>
            </w:r>
            <w:r>
              <w:instrText xml:space="preserve"> HYPERLINK "https://www.mee.gov.cn/ywgz/fgbz/bz/bzwb/gthw/wxfwjbffbz/202302/t20230224_1017500.shtml" </w:instrText>
            </w:r>
            <w:r>
              <w:fldChar w:fldCharType="separate"/>
            </w:r>
            <w:r>
              <w:rPr>
                <w:rStyle w:val="42"/>
                <w:rFonts w:hint="eastAsia" w:cs="宋体"/>
                <w:color w:val="auto"/>
                <w:sz w:val="24"/>
                <w:szCs w:val="24"/>
                <w:u w:val="none"/>
              </w:rPr>
              <w:t>《危险废物贮存污染控制标准》（GB 18597-2023）</w:t>
            </w:r>
            <w:r>
              <w:rPr>
                <w:rStyle w:val="42"/>
                <w:rFonts w:hint="eastAsia" w:cs="宋体"/>
                <w:color w:val="auto"/>
                <w:sz w:val="24"/>
                <w:szCs w:val="24"/>
                <w:u w:val="none"/>
              </w:rPr>
              <w:fldChar w:fldCharType="end"/>
            </w:r>
            <w:r>
              <w:rPr>
                <w:rFonts w:hint="eastAsia" w:cs="宋体"/>
                <w:sz w:val="24"/>
                <w:szCs w:val="24"/>
              </w:rPr>
              <w:t>中的有关规定。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089" w:type="dxa"/>
            <w:tcBorders>
              <w:bottom w:val="single" w:color="auto" w:sz="8" w:space="0"/>
            </w:tcBorders>
            <w:vAlign w:val="center"/>
          </w:tcPr>
          <w:p>
            <w:pPr>
              <w:adjustRightInd w:val="0"/>
              <w:snapToGrid w:val="0"/>
              <w:spacing w:line="480" w:lineRule="exact"/>
              <w:jc w:val="center"/>
              <w:rPr>
                <w:kern w:val="0"/>
                <w:sz w:val="24"/>
                <w:szCs w:val="24"/>
              </w:rPr>
            </w:pPr>
            <w:r>
              <w:rPr>
                <w:rFonts w:hint="eastAsia" w:cs="宋体"/>
                <w:kern w:val="0"/>
                <w:sz w:val="24"/>
                <w:szCs w:val="24"/>
              </w:rPr>
              <w:t>总量控制指标</w:t>
            </w:r>
          </w:p>
        </w:tc>
        <w:tc>
          <w:tcPr>
            <w:tcW w:w="8459" w:type="dxa"/>
            <w:tcBorders>
              <w:bottom w:val="single" w:color="auto" w:sz="8" w:space="0"/>
            </w:tcBorders>
            <w:vAlign w:val="center"/>
          </w:tcPr>
          <w:p>
            <w:pPr>
              <w:adjustRightInd w:val="0"/>
              <w:snapToGrid w:val="0"/>
              <w:spacing w:line="360" w:lineRule="auto"/>
              <w:ind w:firstLine="480" w:firstLineChars="200"/>
              <w:jc w:val="left"/>
              <w:rPr>
                <w:kern w:val="0"/>
                <w:sz w:val="24"/>
                <w:szCs w:val="24"/>
              </w:rPr>
            </w:pPr>
          </w:p>
          <w:p>
            <w:pPr>
              <w:adjustRightInd w:val="0"/>
              <w:snapToGrid w:val="0"/>
              <w:spacing w:line="360" w:lineRule="auto"/>
              <w:ind w:firstLine="480" w:firstLineChars="200"/>
              <w:jc w:val="left"/>
              <w:rPr>
                <w:kern w:val="0"/>
                <w:sz w:val="24"/>
                <w:szCs w:val="24"/>
              </w:rPr>
            </w:pPr>
          </w:p>
          <w:p>
            <w:pPr>
              <w:adjustRightInd w:val="0"/>
              <w:snapToGrid w:val="0"/>
              <w:spacing w:line="360" w:lineRule="auto"/>
              <w:ind w:firstLine="480" w:firstLineChars="200"/>
              <w:jc w:val="left"/>
              <w:rPr>
                <w:kern w:val="0"/>
                <w:sz w:val="24"/>
                <w:szCs w:val="24"/>
              </w:rPr>
            </w:pPr>
          </w:p>
          <w:p>
            <w:pPr>
              <w:adjustRightInd w:val="0"/>
              <w:snapToGrid w:val="0"/>
              <w:spacing w:line="360" w:lineRule="auto"/>
              <w:ind w:firstLine="480" w:firstLineChars="200"/>
              <w:jc w:val="left"/>
              <w:rPr>
                <w:kern w:val="0"/>
                <w:sz w:val="24"/>
                <w:szCs w:val="24"/>
              </w:rPr>
            </w:pPr>
          </w:p>
          <w:p>
            <w:pPr>
              <w:adjustRightInd w:val="0"/>
              <w:snapToGrid w:val="0"/>
              <w:spacing w:line="360" w:lineRule="auto"/>
              <w:ind w:firstLine="480" w:firstLineChars="200"/>
              <w:rPr>
                <w:kern w:val="0"/>
                <w:sz w:val="24"/>
                <w:szCs w:val="24"/>
              </w:rPr>
            </w:pPr>
            <w:r>
              <w:rPr>
                <w:rFonts w:hint="eastAsia"/>
                <w:kern w:val="0"/>
                <w:sz w:val="24"/>
                <w:szCs w:val="24"/>
              </w:rPr>
              <w:t>“</w:t>
            </w:r>
            <w:r>
              <w:rPr>
                <w:kern w:val="0"/>
                <w:sz w:val="24"/>
                <w:szCs w:val="24"/>
              </w:rPr>
              <w:t>十四五</w:t>
            </w:r>
            <w:r>
              <w:rPr>
                <w:rFonts w:hint="eastAsia"/>
                <w:kern w:val="0"/>
                <w:sz w:val="24"/>
                <w:szCs w:val="24"/>
              </w:rPr>
              <w:t>”</w:t>
            </w:r>
            <w:r>
              <w:rPr>
                <w:kern w:val="0"/>
                <w:sz w:val="24"/>
                <w:szCs w:val="24"/>
              </w:rPr>
              <w:t>期间国家实行</w:t>
            </w:r>
            <w:r>
              <w:rPr>
                <w:rFonts w:hint="eastAsia"/>
                <w:kern w:val="0"/>
                <w:sz w:val="24"/>
                <w:szCs w:val="24"/>
              </w:rPr>
              <w:t>4</w:t>
            </w:r>
            <w:r>
              <w:rPr>
                <w:kern w:val="0"/>
                <w:sz w:val="24"/>
                <w:szCs w:val="24"/>
              </w:rPr>
              <w:t>项主要污染物总量控制的指标，其中气态污染物</w:t>
            </w:r>
            <w:r>
              <w:rPr>
                <w:rFonts w:hint="eastAsia"/>
                <w:kern w:val="0"/>
                <w:sz w:val="24"/>
                <w:szCs w:val="24"/>
              </w:rPr>
              <w:t>2</w:t>
            </w:r>
            <w:r>
              <w:rPr>
                <w:kern w:val="0"/>
                <w:sz w:val="24"/>
                <w:szCs w:val="24"/>
              </w:rPr>
              <w:t>项（VOCs、NOx），水污染物2项（COD、NH</w:t>
            </w:r>
            <w:r>
              <w:rPr>
                <w:kern w:val="0"/>
                <w:sz w:val="24"/>
                <w:szCs w:val="24"/>
                <w:vertAlign w:val="subscript"/>
              </w:rPr>
              <w:t>3</w:t>
            </w:r>
            <w:r>
              <w:rPr>
                <w:kern w:val="0"/>
                <w:sz w:val="24"/>
                <w:szCs w:val="24"/>
              </w:rPr>
              <w:t>-N）</w:t>
            </w:r>
            <w:r>
              <w:rPr>
                <w:rFonts w:hint="eastAsia"/>
                <w:kern w:val="0"/>
                <w:sz w:val="24"/>
                <w:szCs w:val="24"/>
              </w:rPr>
              <w:t>。</w:t>
            </w:r>
          </w:p>
          <w:p>
            <w:pPr>
              <w:adjustRightInd w:val="0"/>
              <w:snapToGrid w:val="0"/>
              <w:spacing w:line="360" w:lineRule="auto"/>
              <w:ind w:firstLine="480" w:firstLineChars="200"/>
              <w:rPr>
                <w:kern w:val="0"/>
                <w:sz w:val="24"/>
                <w:szCs w:val="24"/>
              </w:rPr>
            </w:pPr>
            <w:r>
              <w:rPr>
                <w:rFonts w:hint="eastAsia"/>
                <w:kern w:val="0"/>
                <w:sz w:val="24"/>
                <w:szCs w:val="24"/>
              </w:rPr>
              <w:t>根据工程分析，本项目纳入总量控制指标的污染物为VOCs，结合项目工艺特征和排污特点，确定本项目污染物总量控制指标：VOCs：</w:t>
            </w:r>
            <w:r>
              <w:rPr>
                <w:rFonts w:hint="eastAsia"/>
                <w:bCs/>
                <w:kern w:val="0"/>
                <w:sz w:val="24"/>
                <w:szCs w:val="24"/>
              </w:rPr>
              <w:t>4.275</w:t>
            </w:r>
            <w:r>
              <w:rPr>
                <w:rFonts w:hint="eastAsia"/>
                <w:kern w:val="0"/>
                <w:sz w:val="24"/>
                <w:szCs w:val="24"/>
              </w:rPr>
              <w:t>t/a。</w:t>
            </w:r>
          </w:p>
          <w:p>
            <w:pPr>
              <w:pStyle w:val="32"/>
              <w:spacing w:line="360" w:lineRule="auto"/>
              <w:ind w:firstLine="482"/>
              <w:jc w:val="both"/>
              <w:rPr>
                <w:b w:val="0"/>
              </w:rPr>
            </w:pPr>
            <w:r>
              <w:rPr>
                <w:rFonts w:hint="eastAsia"/>
                <w:b w:val="0"/>
              </w:rPr>
              <w:t>项目废水最终进入靖边</w:t>
            </w:r>
            <w:r>
              <w:rPr>
                <w:b w:val="0"/>
              </w:rPr>
              <w:t>县</w:t>
            </w:r>
            <w:r>
              <w:rPr>
                <w:rFonts w:hint="eastAsia"/>
                <w:b w:val="0"/>
              </w:rPr>
              <w:t>经济技术开发区</w:t>
            </w:r>
            <w:r>
              <w:rPr>
                <w:b w:val="0"/>
              </w:rPr>
              <w:t>杨桥畔镇污水处理厂</w:t>
            </w:r>
            <w:r>
              <w:rPr>
                <w:rFonts w:hint="eastAsia"/>
                <w:b w:val="0"/>
              </w:rPr>
              <w:t>处理。不设废水污染物总量控制指标。</w:t>
            </w:r>
          </w:p>
          <w:p>
            <w:pPr>
              <w:adjustRightInd w:val="0"/>
              <w:snapToGrid w:val="0"/>
              <w:spacing w:line="360" w:lineRule="auto"/>
              <w:ind w:firstLine="482"/>
              <w:rPr>
                <w:rFonts w:cs="宋体"/>
                <w:kern w:val="0"/>
                <w:sz w:val="24"/>
                <w:szCs w:val="24"/>
              </w:rPr>
            </w:pPr>
            <w:r>
              <w:rPr>
                <w:rFonts w:hint="eastAsia" w:cs="宋体"/>
                <w:kern w:val="0"/>
                <w:sz w:val="24"/>
                <w:szCs w:val="24"/>
              </w:rPr>
              <w:t>项目总量最终应以当地生态环境主管部门下达的总量控制指标为准。</w:t>
            </w:r>
          </w:p>
          <w:p>
            <w:pPr>
              <w:pStyle w:val="2"/>
              <w:rPr>
                <w:rFonts w:ascii="Times New Roman" w:hAnsi="Times New Roman"/>
              </w:rPr>
            </w:pPr>
          </w:p>
          <w:p/>
          <w:p>
            <w:pPr>
              <w:pStyle w:val="2"/>
              <w:rPr>
                <w:rFonts w:ascii="Times New Roman" w:hAnsi="Times New Roman"/>
              </w:rPr>
            </w:pPr>
          </w:p>
          <w:p/>
          <w:p>
            <w:pPr>
              <w:pStyle w:val="2"/>
              <w:rPr>
                <w:rFonts w:ascii="Times New Roman" w:hAnsi="Times New Roman"/>
              </w:rPr>
            </w:pPr>
          </w:p>
          <w:p/>
          <w:p>
            <w:pPr>
              <w:pStyle w:val="2"/>
            </w:pPr>
          </w:p>
          <w:p/>
          <w:p>
            <w:pPr>
              <w:pStyle w:val="2"/>
            </w:pPr>
          </w:p>
          <w:p/>
          <w:p/>
          <w:p>
            <w:pPr>
              <w:pStyle w:val="2"/>
              <w:rPr>
                <w:rFonts w:ascii="Times New Roman" w:hAnsi="Times New Roman"/>
              </w:rPr>
            </w:pPr>
          </w:p>
        </w:tc>
      </w:tr>
    </w:tbl>
    <w:p>
      <w:pPr>
        <w:pStyle w:val="30"/>
        <w:spacing w:before="0" w:beforeAutospacing="0" w:after="0" w:afterAutospacing="0" w:line="360" w:lineRule="auto"/>
        <w:jc w:val="center"/>
        <w:outlineLvl w:val="0"/>
        <w:rPr>
          <w:rFonts w:ascii="Times New Roman" w:hAnsi="Times New Roman"/>
          <w:b/>
          <w:snapToGrid w:val="0"/>
          <w:sz w:val="30"/>
          <w:szCs w:val="30"/>
        </w:rPr>
      </w:pPr>
      <w:r>
        <w:rPr>
          <w:rFonts w:ascii="Times New Roman" w:hAnsi="Times New Roman"/>
          <w:snapToGrid w:val="0"/>
          <w:sz w:val="36"/>
          <w:szCs w:val="36"/>
        </w:rPr>
        <w:br w:type="page"/>
      </w:r>
      <w:r>
        <w:rPr>
          <w:rFonts w:hint="eastAsia" w:ascii="Times New Roman" w:hAnsi="Times New Roman"/>
          <w:b/>
          <w:snapToGrid w:val="0"/>
          <w:sz w:val="30"/>
          <w:szCs w:val="30"/>
        </w:rPr>
        <w:t>四、主要环境影响和保护措施</w:t>
      </w:r>
    </w:p>
    <w:tbl>
      <w:tblPr>
        <w:tblStyle w:val="35"/>
        <w:tblW w:w="938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26"/>
        <w:gridCol w:w="905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590" w:hRule="atLeast"/>
          <w:jc w:val="center"/>
        </w:trPr>
        <w:tc>
          <w:tcPr>
            <w:tcW w:w="836" w:type="dxa"/>
            <w:tcBorders>
              <w:top w:val="single" w:color="auto" w:sz="8" w:space="0"/>
            </w:tcBorders>
            <w:tcMar>
              <w:left w:w="28" w:type="dxa"/>
              <w:right w:w="28" w:type="dxa"/>
            </w:tcMar>
            <w:vAlign w:val="center"/>
          </w:tcPr>
          <w:p>
            <w:pPr>
              <w:adjustRightInd w:val="0"/>
              <w:snapToGrid w:val="0"/>
              <w:spacing w:line="480" w:lineRule="exact"/>
              <w:jc w:val="center"/>
            </w:pPr>
            <w:r>
              <w:rPr>
                <w:rFonts w:hint="eastAsia" w:cs="宋体"/>
                <w:kern w:val="0"/>
                <w:sz w:val="24"/>
                <w:szCs w:val="24"/>
              </w:rPr>
              <w:t>施工期环境保护措施</w:t>
            </w:r>
          </w:p>
        </w:tc>
        <w:tc>
          <w:tcPr>
            <w:tcW w:w="8547" w:type="dxa"/>
            <w:tcBorders>
              <w:top w:val="single" w:color="auto" w:sz="8" w:space="0"/>
            </w:tcBorders>
            <w:vAlign w:val="center"/>
          </w:tcPr>
          <w:p>
            <w:pPr>
              <w:adjustRightInd w:val="0"/>
              <w:snapToGrid w:val="0"/>
              <w:spacing w:line="450" w:lineRule="exact"/>
              <w:ind w:firstLine="480" w:firstLineChars="200"/>
              <w:jc w:val="left"/>
            </w:pPr>
            <w:r>
              <w:rPr>
                <w:sz w:val="24"/>
                <w:szCs w:val="24"/>
              </w:rPr>
              <w:t>本项目</w:t>
            </w:r>
            <w:r>
              <w:rPr>
                <w:rFonts w:hint="eastAsia"/>
                <w:sz w:val="24"/>
                <w:szCs w:val="24"/>
              </w:rPr>
              <w:t>租赁</w:t>
            </w:r>
            <w:r>
              <w:rPr>
                <w:rFonts w:hint="eastAsia" w:cs="宋体"/>
                <w:sz w:val="24"/>
                <w:szCs w:val="24"/>
              </w:rPr>
              <w:t>靖边县鸿路工贸有限公司在靖边县经济技术开发区创业创新园拥有的“工业用地”及闲置“生产厂房、办公及生活用房等”，</w:t>
            </w:r>
            <w:r>
              <w:rPr>
                <w:sz w:val="24"/>
                <w:szCs w:val="24"/>
              </w:rPr>
              <w:t>施工期主要为设备安装、调试等</w:t>
            </w:r>
            <w:r>
              <w:rPr>
                <w:rFonts w:hint="eastAsia"/>
              </w:rPr>
              <w:t>。</w:t>
            </w:r>
          </w:p>
          <w:p>
            <w:pPr>
              <w:adjustRightInd w:val="0"/>
              <w:snapToGrid w:val="0"/>
              <w:spacing w:line="450" w:lineRule="exact"/>
              <w:jc w:val="left"/>
              <w:rPr>
                <w:rFonts w:cs="宋体"/>
                <w:b/>
                <w:sz w:val="24"/>
                <w:szCs w:val="24"/>
              </w:rPr>
            </w:pPr>
            <w:r>
              <w:rPr>
                <w:rFonts w:hint="eastAsia" w:cs="宋体"/>
                <w:b/>
                <w:sz w:val="24"/>
                <w:szCs w:val="24"/>
              </w:rPr>
              <w:t>1、施工期废气污染防治措施</w:t>
            </w:r>
          </w:p>
          <w:p>
            <w:pPr>
              <w:adjustRightInd w:val="0"/>
              <w:snapToGrid w:val="0"/>
              <w:spacing w:line="450" w:lineRule="exact"/>
              <w:ind w:firstLine="480" w:firstLineChars="200"/>
              <w:rPr>
                <w:kern w:val="0"/>
                <w:sz w:val="24"/>
                <w:szCs w:val="28"/>
              </w:rPr>
            </w:pPr>
            <w:r>
              <w:rPr>
                <w:kern w:val="0"/>
                <w:sz w:val="24"/>
                <w:szCs w:val="28"/>
              </w:rPr>
              <w:t>施工期主要废气主要为交通运输等产生的扬尘、施工机械和运输车辆尾气</w:t>
            </w:r>
            <w:r>
              <w:rPr>
                <w:rFonts w:hint="eastAsia"/>
                <w:kern w:val="0"/>
                <w:sz w:val="24"/>
                <w:szCs w:val="28"/>
              </w:rPr>
              <w:t>，将对室内环境空气产生一定的影响，对外环境影响较小。</w:t>
            </w:r>
          </w:p>
          <w:p>
            <w:pPr>
              <w:adjustRightInd w:val="0"/>
              <w:snapToGrid w:val="0"/>
              <w:spacing w:line="450" w:lineRule="exact"/>
              <w:ind w:firstLine="480" w:firstLineChars="200"/>
              <w:rPr>
                <w:kern w:val="0"/>
                <w:sz w:val="24"/>
                <w:szCs w:val="28"/>
              </w:rPr>
            </w:pPr>
            <w:r>
              <w:rPr>
                <w:rFonts w:hint="eastAsia"/>
                <w:kern w:val="0"/>
                <w:sz w:val="24"/>
                <w:szCs w:val="28"/>
              </w:rPr>
              <w:t>（1）扬尘：通过</w:t>
            </w:r>
            <w:r>
              <w:rPr>
                <w:kern w:val="0"/>
                <w:sz w:val="24"/>
                <w:szCs w:val="28"/>
              </w:rPr>
              <w:t>加强施工期的环境管理，实行清洁生产，杜绝粗放式施工；运输车辆不得超载，不得超速行驶，避免产生扬尘。采取以上措施后，项目施工期间对环境空气的影响较小。</w:t>
            </w:r>
          </w:p>
          <w:p>
            <w:pPr>
              <w:adjustRightInd w:val="0"/>
              <w:snapToGrid w:val="0"/>
              <w:spacing w:line="450" w:lineRule="exact"/>
              <w:ind w:firstLine="480" w:firstLineChars="200"/>
              <w:rPr>
                <w:kern w:val="0"/>
                <w:sz w:val="24"/>
                <w:szCs w:val="28"/>
              </w:rPr>
            </w:pPr>
            <w:r>
              <w:rPr>
                <w:rFonts w:hint="eastAsia"/>
                <w:kern w:val="0"/>
                <w:sz w:val="24"/>
                <w:szCs w:val="28"/>
              </w:rPr>
              <w:t>（2）</w:t>
            </w:r>
            <w:r>
              <w:rPr>
                <w:kern w:val="0"/>
                <w:sz w:val="24"/>
                <w:szCs w:val="28"/>
              </w:rPr>
              <w:t>施工机械和运输车辆尾气</w:t>
            </w:r>
            <w:r>
              <w:rPr>
                <w:rFonts w:hint="eastAsia"/>
                <w:kern w:val="0"/>
                <w:sz w:val="24"/>
                <w:szCs w:val="28"/>
              </w:rPr>
              <w:t>：</w:t>
            </w:r>
            <w:r>
              <w:rPr>
                <w:kern w:val="0"/>
                <w:sz w:val="24"/>
                <w:szCs w:val="28"/>
              </w:rPr>
              <w:t>建设单位应加强施工车辆运行管理与维护保养，使用满足</w:t>
            </w:r>
            <w:r>
              <w:rPr>
                <w:rFonts w:hint="eastAsia"/>
                <w:kern w:val="0"/>
                <w:sz w:val="24"/>
                <w:szCs w:val="28"/>
              </w:rPr>
              <w:t>相关标准要求，减小运行车辆尾气对环境的影响</w:t>
            </w:r>
            <w:r>
              <w:rPr>
                <w:kern w:val="0"/>
                <w:sz w:val="24"/>
                <w:szCs w:val="28"/>
              </w:rPr>
              <w:t>。</w:t>
            </w:r>
          </w:p>
          <w:p>
            <w:pPr>
              <w:adjustRightInd w:val="0"/>
              <w:snapToGrid w:val="0"/>
              <w:spacing w:line="450" w:lineRule="exact"/>
              <w:jc w:val="left"/>
              <w:rPr>
                <w:b/>
                <w:sz w:val="24"/>
                <w:szCs w:val="24"/>
              </w:rPr>
            </w:pPr>
            <w:r>
              <w:rPr>
                <w:rFonts w:hint="eastAsia" w:cs="宋体"/>
                <w:b/>
                <w:sz w:val="24"/>
                <w:szCs w:val="24"/>
              </w:rPr>
              <w:t>2、施工废水污染防治措施</w:t>
            </w:r>
          </w:p>
          <w:p>
            <w:pPr>
              <w:adjustRightInd w:val="0"/>
              <w:snapToGrid w:val="0"/>
              <w:spacing w:line="450" w:lineRule="exact"/>
              <w:ind w:firstLine="480" w:firstLineChars="200"/>
              <w:jc w:val="left"/>
              <w:rPr>
                <w:rFonts w:cs="宋体"/>
                <w:sz w:val="24"/>
                <w:szCs w:val="24"/>
              </w:rPr>
            </w:pPr>
            <w:r>
              <w:rPr>
                <w:rFonts w:hint="eastAsia" w:cs="宋体"/>
                <w:sz w:val="24"/>
                <w:szCs w:val="24"/>
              </w:rPr>
              <w:t>施工期废水主要是施工人员生活污水。主要污染物为COD、氨氮、SS等。经园区污水管网排入</w:t>
            </w:r>
            <w:r>
              <w:rPr>
                <w:rFonts w:hint="eastAsia" w:cs="宋体"/>
                <w:bCs/>
                <w:sz w:val="24"/>
                <w:szCs w:val="24"/>
              </w:rPr>
              <w:t>靖边</w:t>
            </w:r>
            <w:r>
              <w:rPr>
                <w:rFonts w:cs="宋体"/>
                <w:bCs/>
                <w:sz w:val="24"/>
                <w:szCs w:val="24"/>
              </w:rPr>
              <w:t>县</w:t>
            </w:r>
            <w:r>
              <w:rPr>
                <w:rFonts w:hint="eastAsia" w:cs="宋体"/>
                <w:bCs/>
                <w:sz w:val="24"/>
                <w:szCs w:val="24"/>
              </w:rPr>
              <w:t>经济技术开发区</w:t>
            </w:r>
            <w:r>
              <w:rPr>
                <w:rFonts w:cs="宋体"/>
                <w:bCs/>
                <w:sz w:val="24"/>
                <w:szCs w:val="24"/>
              </w:rPr>
              <w:t>杨桥畔镇污水处理厂</w:t>
            </w:r>
            <w:r>
              <w:rPr>
                <w:rFonts w:hint="eastAsia" w:cs="宋体"/>
                <w:bCs/>
                <w:sz w:val="24"/>
                <w:szCs w:val="24"/>
              </w:rPr>
              <w:t>集中处理</w:t>
            </w:r>
            <w:r>
              <w:rPr>
                <w:rFonts w:hint="eastAsia" w:cs="宋体"/>
                <w:sz w:val="24"/>
                <w:szCs w:val="24"/>
              </w:rPr>
              <w:t>。</w:t>
            </w:r>
          </w:p>
          <w:p>
            <w:pPr>
              <w:adjustRightInd w:val="0"/>
              <w:snapToGrid w:val="0"/>
              <w:spacing w:line="450" w:lineRule="exact"/>
              <w:jc w:val="left"/>
              <w:rPr>
                <w:b/>
                <w:sz w:val="24"/>
                <w:szCs w:val="24"/>
              </w:rPr>
            </w:pPr>
            <w:r>
              <w:rPr>
                <w:rFonts w:hint="eastAsia" w:cs="宋体"/>
                <w:b/>
                <w:sz w:val="24"/>
                <w:szCs w:val="24"/>
              </w:rPr>
              <w:t>3、施工噪声污染防治措施</w:t>
            </w:r>
          </w:p>
          <w:p>
            <w:pPr>
              <w:adjustRightInd w:val="0"/>
              <w:snapToGrid w:val="0"/>
              <w:spacing w:line="450" w:lineRule="exact"/>
              <w:ind w:firstLine="480" w:firstLineChars="200"/>
              <w:rPr>
                <w:rFonts w:cs="宋体"/>
                <w:sz w:val="24"/>
                <w:szCs w:val="24"/>
              </w:rPr>
            </w:pPr>
            <w:r>
              <w:rPr>
                <w:rFonts w:cs="宋体"/>
                <w:sz w:val="24"/>
                <w:szCs w:val="24"/>
              </w:rPr>
              <w:t>本项目施工期主要噪声源为设备安装噪声。为了减轻本项目施工期噪声的环境影响</w:t>
            </w:r>
            <w:r>
              <w:rPr>
                <w:rFonts w:hint="eastAsia" w:cs="宋体"/>
                <w:sz w:val="24"/>
                <w:szCs w:val="24"/>
              </w:rPr>
              <w:t>，</w:t>
            </w:r>
            <w:r>
              <w:rPr>
                <w:rFonts w:cs="宋体"/>
                <w:sz w:val="24"/>
                <w:szCs w:val="24"/>
              </w:rPr>
              <w:t>施工</w:t>
            </w:r>
            <w:r>
              <w:rPr>
                <w:rFonts w:hint="eastAsia" w:cs="宋体"/>
                <w:sz w:val="24"/>
                <w:szCs w:val="24"/>
              </w:rPr>
              <w:t>期间</w:t>
            </w:r>
            <w:r>
              <w:rPr>
                <w:rFonts w:cs="宋体"/>
                <w:sz w:val="24"/>
                <w:szCs w:val="24"/>
              </w:rPr>
              <w:t>应做好相应防噪措施，确保施工场界噪声符合</w:t>
            </w:r>
            <w:r>
              <w:rPr>
                <w:rFonts w:hint="eastAsia" w:cs="宋体"/>
                <w:sz w:val="24"/>
                <w:szCs w:val="24"/>
              </w:rPr>
              <w:t>相关标准限值</w:t>
            </w:r>
            <w:r>
              <w:rPr>
                <w:rFonts w:cs="宋体"/>
                <w:sz w:val="24"/>
                <w:szCs w:val="24"/>
              </w:rPr>
              <w:t xml:space="preserve">要求，本评价建议项目施工时可采用如下控制措施： </w:t>
            </w:r>
          </w:p>
          <w:p>
            <w:pPr>
              <w:adjustRightInd w:val="0"/>
              <w:snapToGrid w:val="0"/>
              <w:spacing w:line="450" w:lineRule="exact"/>
              <w:ind w:firstLine="480" w:firstLineChars="200"/>
              <w:rPr>
                <w:rFonts w:cs="宋体"/>
                <w:sz w:val="24"/>
                <w:szCs w:val="24"/>
              </w:rPr>
            </w:pPr>
            <w:r>
              <w:rPr>
                <w:rFonts w:hint="eastAsia" w:cs="宋体"/>
                <w:sz w:val="24"/>
                <w:szCs w:val="24"/>
              </w:rPr>
              <w:t>（1）</w:t>
            </w:r>
            <w:r>
              <w:rPr>
                <w:rFonts w:cs="宋体"/>
                <w:sz w:val="24"/>
                <w:szCs w:val="24"/>
              </w:rPr>
              <w:t>施工过程中对机械噪声加强管理，使用低噪声、先进的设备，定期对其进行维护，确保设备良性工作，并采取必要的噪声控制措施</w:t>
            </w:r>
            <w:r>
              <w:rPr>
                <w:rFonts w:hint="eastAsia" w:cs="宋体"/>
                <w:sz w:val="24"/>
                <w:szCs w:val="24"/>
              </w:rPr>
              <w:t>；</w:t>
            </w:r>
          </w:p>
          <w:p>
            <w:pPr>
              <w:adjustRightInd w:val="0"/>
              <w:snapToGrid w:val="0"/>
              <w:spacing w:line="450" w:lineRule="exact"/>
              <w:ind w:firstLine="480" w:firstLineChars="200"/>
              <w:rPr>
                <w:rFonts w:cs="宋体"/>
                <w:sz w:val="24"/>
                <w:szCs w:val="24"/>
              </w:rPr>
            </w:pPr>
            <w:r>
              <w:rPr>
                <w:rFonts w:hint="eastAsia" w:cs="宋体"/>
                <w:sz w:val="24"/>
                <w:szCs w:val="24"/>
              </w:rPr>
              <w:t>（2）</w:t>
            </w:r>
            <w:r>
              <w:rPr>
                <w:rFonts w:cs="宋体"/>
                <w:sz w:val="24"/>
                <w:szCs w:val="24"/>
              </w:rPr>
              <w:t>施工过程应合理安排施工工序，避免高噪声设备在同一作业面同时施工，增加噪声局部排放强度</w:t>
            </w:r>
            <w:r>
              <w:rPr>
                <w:rFonts w:hint="eastAsia" w:cs="宋体"/>
                <w:sz w:val="24"/>
                <w:szCs w:val="24"/>
              </w:rPr>
              <w:t>；</w:t>
            </w:r>
          </w:p>
          <w:p>
            <w:pPr>
              <w:adjustRightInd w:val="0"/>
              <w:snapToGrid w:val="0"/>
              <w:spacing w:line="450" w:lineRule="exact"/>
              <w:ind w:firstLine="480" w:firstLineChars="200"/>
              <w:rPr>
                <w:rFonts w:cs="宋体"/>
                <w:sz w:val="24"/>
                <w:szCs w:val="24"/>
              </w:rPr>
            </w:pPr>
            <w:r>
              <w:rPr>
                <w:rFonts w:hint="eastAsia" w:cs="宋体"/>
                <w:sz w:val="24"/>
                <w:szCs w:val="24"/>
              </w:rPr>
              <w:t>（3）</w:t>
            </w:r>
            <w:r>
              <w:rPr>
                <w:rFonts w:cs="宋体"/>
                <w:sz w:val="24"/>
                <w:szCs w:val="24"/>
              </w:rPr>
              <w:t>应加强施工现场的环境管理，严格执行《建筑施工场界环境噪声排放标准》（GB12523-2011）要求，确保噪声达标排放</w:t>
            </w:r>
            <w:r>
              <w:rPr>
                <w:rFonts w:hint="eastAsia" w:cs="宋体"/>
                <w:sz w:val="24"/>
                <w:szCs w:val="24"/>
              </w:rPr>
              <w:t>。</w:t>
            </w:r>
          </w:p>
          <w:p>
            <w:pPr>
              <w:adjustRightInd w:val="0"/>
              <w:snapToGrid w:val="0"/>
              <w:spacing w:line="450" w:lineRule="exact"/>
              <w:jc w:val="left"/>
              <w:rPr>
                <w:b/>
                <w:sz w:val="24"/>
                <w:szCs w:val="24"/>
              </w:rPr>
            </w:pPr>
            <w:r>
              <w:rPr>
                <w:rFonts w:hint="eastAsia" w:cs="宋体"/>
                <w:b/>
                <w:sz w:val="24"/>
                <w:szCs w:val="24"/>
              </w:rPr>
              <w:t>4、施工期固废污染防治措施</w:t>
            </w:r>
          </w:p>
          <w:p>
            <w:pPr>
              <w:adjustRightInd w:val="0"/>
              <w:snapToGrid w:val="0"/>
              <w:spacing w:line="450" w:lineRule="exact"/>
              <w:ind w:firstLine="480" w:firstLineChars="200"/>
              <w:rPr>
                <w:rFonts w:cs="宋体"/>
                <w:sz w:val="24"/>
                <w:szCs w:val="24"/>
              </w:rPr>
            </w:pPr>
            <w:r>
              <w:rPr>
                <w:rFonts w:hint="eastAsia" w:cs="宋体"/>
                <w:sz w:val="24"/>
                <w:szCs w:val="24"/>
              </w:rPr>
              <w:t>施工期的固体废物主要为施工人员产生的生活垃圾和设备安装产生的废包装材料等。环评建议生活垃圾分类收集，能回收利用的全部回收利用，不能回收的收集后交由环保部门清运至垃圾填埋场进行处置。施工期产生的废包装材料集中收集后外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457" w:hRule="atLeast"/>
          <w:jc w:val="center"/>
        </w:trPr>
        <w:tc>
          <w:tcPr>
            <w:tcW w:w="836" w:type="dxa"/>
            <w:tcBorders>
              <w:bottom w:val="single" w:color="auto" w:sz="8" w:space="0"/>
            </w:tcBorders>
            <w:tcMar>
              <w:left w:w="28" w:type="dxa"/>
              <w:right w:w="28" w:type="dxa"/>
            </w:tcMar>
            <w:vAlign w:val="center"/>
          </w:tcPr>
          <w:p>
            <w:pPr>
              <w:adjustRightInd w:val="0"/>
              <w:snapToGrid w:val="0"/>
              <w:spacing w:line="480" w:lineRule="exact"/>
              <w:jc w:val="center"/>
            </w:pPr>
            <w:r>
              <w:rPr>
                <w:rFonts w:hint="eastAsia" w:cs="宋体"/>
                <w:kern w:val="0"/>
                <w:sz w:val="24"/>
                <w:szCs w:val="24"/>
              </w:rPr>
              <w:t>运营期环境影响和保护措施</w:t>
            </w:r>
          </w:p>
        </w:tc>
        <w:tc>
          <w:tcPr>
            <w:tcW w:w="8547" w:type="dxa"/>
            <w:tcBorders>
              <w:bottom w:val="single" w:color="auto" w:sz="8" w:space="0"/>
            </w:tcBorders>
            <w:vAlign w:val="center"/>
          </w:tcPr>
          <w:p>
            <w:pPr>
              <w:tabs>
                <w:tab w:val="left" w:pos="5830"/>
              </w:tabs>
              <w:adjustRightInd w:val="0"/>
              <w:snapToGrid w:val="0"/>
              <w:spacing w:line="360" w:lineRule="auto"/>
              <w:jc w:val="left"/>
              <w:rPr>
                <w:b/>
                <w:bCs/>
                <w:sz w:val="24"/>
                <w:szCs w:val="24"/>
              </w:rPr>
            </w:pPr>
            <w:r>
              <w:rPr>
                <w:rFonts w:hint="eastAsia"/>
                <w:b/>
                <w:bCs/>
                <w:sz w:val="24"/>
                <w:szCs w:val="24"/>
              </w:rPr>
              <w:t>1、</w:t>
            </w:r>
            <w:r>
              <w:rPr>
                <w:rFonts w:hint="eastAsia" w:cs="宋体"/>
                <w:b/>
                <w:bCs/>
                <w:sz w:val="24"/>
                <w:szCs w:val="24"/>
              </w:rPr>
              <w:t>废气环境影响及治理措施</w:t>
            </w:r>
          </w:p>
          <w:p>
            <w:pPr>
              <w:adjustRightInd w:val="0"/>
              <w:snapToGrid w:val="0"/>
              <w:spacing w:line="360" w:lineRule="auto"/>
              <w:jc w:val="left"/>
              <w:rPr>
                <w:b/>
                <w:bCs/>
                <w:sz w:val="24"/>
                <w:szCs w:val="24"/>
              </w:rPr>
            </w:pPr>
            <w:r>
              <w:rPr>
                <w:rFonts w:hint="eastAsia"/>
                <w:b/>
                <w:bCs/>
                <w:sz w:val="24"/>
                <w:szCs w:val="24"/>
              </w:rPr>
              <w:t>（1）</w:t>
            </w:r>
            <w:r>
              <w:rPr>
                <w:rFonts w:hint="eastAsia" w:cs="宋体"/>
                <w:b/>
                <w:bCs/>
                <w:sz w:val="24"/>
                <w:szCs w:val="24"/>
              </w:rPr>
              <w:t>产污环节</w:t>
            </w:r>
            <w:r>
              <w:rPr>
                <w:rFonts w:hint="eastAsia"/>
                <w:b/>
                <w:bCs/>
                <w:sz w:val="24"/>
                <w:szCs w:val="24"/>
              </w:rPr>
              <w:t>及</w:t>
            </w:r>
            <w:r>
              <w:rPr>
                <w:rFonts w:hint="eastAsia" w:cs="宋体"/>
                <w:b/>
                <w:bCs/>
                <w:sz w:val="24"/>
                <w:szCs w:val="24"/>
              </w:rPr>
              <w:t>污染源强核算</w:t>
            </w:r>
          </w:p>
          <w:p>
            <w:pPr>
              <w:adjustRightInd w:val="0"/>
              <w:snapToGrid w:val="0"/>
              <w:spacing w:line="360" w:lineRule="auto"/>
              <w:ind w:firstLine="480" w:firstLineChars="200"/>
              <w:rPr>
                <w:rFonts w:cs="宋体"/>
                <w:sz w:val="24"/>
                <w:szCs w:val="24"/>
              </w:rPr>
            </w:pPr>
            <w:r>
              <w:rPr>
                <w:rFonts w:hint="eastAsia" w:cs="宋体"/>
                <w:sz w:val="24"/>
                <w:szCs w:val="24"/>
              </w:rPr>
              <w:t>项目运营期废气主要是罐体制作区、封头制作区产生的有机废气（苯乙烯、非甲烷总烃）、打磨修整产生的粉尘以及少量的食堂油烟。</w:t>
            </w:r>
          </w:p>
          <w:p>
            <w:pPr>
              <w:adjustRightInd w:val="0"/>
              <w:snapToGrid w:val="0"/>
              <w:spacing w:line="360" w:lineRule="auto"/>
              <w:ind w:firstLine="480" w:firstLineChars="200"/>
              <w:rPr>
                <w:rFonts w:cs="宋体"/>
                <w:sz w:val="24"/>
                <w:szCs w:val="24"/>
              </w:rPr>
            </w:pPr>
            <w:r>
              <w:rPr>
                <w:rFonts w:hint="eastAsia" w:cs="宋体"/>
                <w:sz w:val="24"/>
                <w:szCs w:val="24"/>
              </w:rPr>
              <w:t>1）有机废气</w:t>
            </w:r>
          </w:p>
          <w:p>
            <w:pPr>
              <w:pStyle w:val="2"/>
              <w:spacing w:line="360" w:lineRule="auto"/>
              <w:rPr>
                <w:rFonts w:ascii="Times New Roman" w:hAnsi="Times New Roman" w:cs="宋体"/>
                <w:sz w:val="24"/>
                <w:szCs w:val="24"/>
              </w:rPr>
            </w:pPr>
            <w:r>
              <w:rPr>
                <w:rFonts w:hint="eastAsia" w:ascii="Times New Roman" w:hAnsi="Times New Roman" w:cs="宋体"/>
                <w:sz w:val="24"/>
                <w:szCs w:val="24"/>
              </w:rPr>
              <w:t>项目产生的有机废气主要是罐体制作区（浸胶、缠绕固化组装）工序、封头制作区工序中使用的不饱和聚酯树脂、固化剂的溶剂或易挥发成分，主要是苯乙烯和非甲烷总烃。</w:t>
            </w:r>
          </w:p>
          <w:p>
            <w:pPr>
              <w:adjustRightInd w:val="0"/>
              <w:snapToGrid w:val="0"/>
              <w:spacing w:line="360" w:lineRule="auto"/>
              <w:ind w:firstLine="480" w:firstLineChars="200"/>
              <w:rPr>
                <w:rFonts w:cs="宋体"/>
                <w:sz w:val="24"/>
                <w:szCs w:val="24"/>
              </w:rPr>
            </w:pPr>
            <w:r>
              <w:rPr>
                <w:rFonts w:hint="eastAsia" w:cs="宋体"/>
                <w:bCs/>
                <w:sz w:val="24"/>
                <w:szCs w:val="24"/>
              </w:rPr>
              <w:t>不饱和聚酯树脂的固化是线性大分子通过交联剂的作用，形成立体网络过程，树脂中与苯乙烯两者都含有不饱和键，在固化过程进行自由基共聚。但是固化过程并不能消耗树脂中全部活性双键而达到100%的固化度。根据建设单位提供的原料成分报告（详见附件9），本项目所用的不饱和聚酯树脂中苯乙烯含量约5%，本项目使用不饱和聚酯树脂共计约459.36t/a，则苯乙烯的总含量为22.97t。参照《新型不饱和树脂苯乙烯挥发性能研究》（张衍、陈锋、刘力，《玻璃钢/复合材料》2010年第006期，文献编号：1003-0999（2010）06-0030-05），低苯乙烯不饱和聚酯树脂固化过程中苯乙烯的挥发质量百分比小于0.4%，本次评价取0.4%。因此，本项目苯乙烯总产生量约0.09t/a</w:t>
            </w:r>
            <w:r>
              <w:rPr>
                <w:rFonts w:hint="eastAsia" w:cs="宋体"/>
                <w:sz w:val="24"/>
                <w:szCs w:val="24"/>
              </w:rPr>
              <w:t>。</w:t>
            </w:r>
            <w:r>
              <w:rPr>
                <w:rFonts w:hint="eastAsia"/>
                <w:sz w:val="24"/>
                <w:szCs w:val="24"/>
              </w:rPr>
              <w:t>根据建设单位提供的资料，项目生产的三种不同规格的罐体直径一致，长度不同，封头规格一致，封头制作使用</w:t>
            </w:r>
            <w:r>
              <w:rPr>
                <w:rFonts w:hint="eastAsia" w:cs="宋体"/>
                <w:sz w:val="24"/>
                <w:szCs w:val="24"/>
              </w:rPr>
              <w:t>不饱和聚酯树脂约90</w:t>
            </w:r>
            <w:r>
              <w:rPr>
                <w:rFonts w:hint="eastAsia" w:cs="宋体"/>
                <w:bCs/>
                <w:sz w:val="24"/>
                <w:szCs w:val="24"/>
              </w:rPr>
              <w:t>t/a，则</w:t>
            </w:r>
            <w:r>
              <w:rPr>
                <w:rFonts w:hint="eastAsia"/>
                <w:sz w:val="24"/>
                <w:szCs w:val="24"/>
              </w:rPr>
              <w:t>封头制作苯乙烯的产生量约0.018</w:t>
            </w:r>
            <w:r>
              <w:rPr>
                <w:rFonts w:hint="eastAsia" w:cs="宋体"/>
                <w:bCs/>
                <w:sz w:val="24"/>
                <w:szCs w:val="24"/>
              </w:rPr>
              <w:t xml:space="preserve"> t/a，罐体制作</w:t>
            </w:r>
            <w:r>
              <w:rPr>
                <w:rFonts w:hint="eastAsia"/>
                <w:sz w:val="24"/>
                <w:szCs w:val="24"/>
              </w:rPr>
              <w:t>苯乙烯的产生量约</w:t>
            </w:r>
            <w:r>
              <w:rPr>
                <w:sz w:val="24"/>
                <w:szCs w:val="24"/>
              </w:rPr>
              <w:t>0.0</w:t>
            </w:r>
            <w:r>
              <w:rPr>
                <w:rFonts w:hint="eastAsia"/>
                <w:sz w:val="24"/>
                <w:szCs w:val="24"/>
              </w:rPr>
              <w:t>74</w:t>
            </w:r>
            <w:r>
              <w:rPr>
                <w:rFonts w:hint="eastAsia" w:cs="宋体"/>
                <w:bCs/>
                <w:sz w:val="24"/>
                <w:szCs w:val="24"/>
              </w:rPr>
              <w:t xml:space="preserve"> t/a。</w:t>
            </w:r>
          </w:p>
          <w:p>
            <w:pPr>
              <w:adjustRightInd w:val="0"/>
              <w:snapToGrid w:val="0"/>
              <w:spacing w:line="360" w:lineRule="auto"/>
              <w:ind w:firstLine="480" w:firstLineChars="200"/>
              <w:rPr>
                <w:sz w:val="24"/>
                <w:szCs w:val="24"/>
              </w:rPr>
            </w:pPr>
            <w:r>
              <w:rPr>
                <w:rFonts w:hint="eastAsia" w:cs="宋体"/>
                <w:sz w:val="24"/>
                <w:szCs w:val="24"/>
              </w:rPr>
              <w:t>根据不饱和聚酯树脂的成分说明，不饱和聚酯树脂中聚酯树脂含量为95%，本次环评固化剂挥发有机分按100%计算。参考《不饱和聚酯树脂—生产及应用》，固化剂中挥发分在生产过程中挥发量为20%，不饱和聚酯树脂中残留挥发分为1%。根据建设单位提供的资料，</w:t>
            </w:r>
            <w:r>
              <w:rPr>
                <w:rFonts w:hint="eastAsia"/>
                <w:sz w:val="24"/>
                <w:szCs w:val="24"/>
              </w:rPr>
              <w:t>封头制作使用</w:t>
            </w:r>
            <w:r>
              <w:rPr>
                <w:rFonts w:hint="eastAsia" w:cs="宋体"/>
                <w:sz w:val="24"/>
                <w:szCs w:val="24"/>
              </w:rPr>
              <w:t>不饱和聚酯树脂约90</w:t>
            </w:r>
            <w:r>
              <w:rPr>
                <w:rFonts w:hint="eastAsia" w:cs="宋体"/>
                <w:bCs/>
                <w:sz w:val="24"/>
                <w:szCs w:val="24"/>
              </w:rPr>
              <w:t>t/a</w:t>
            </w:r>
            <w:r>
              <w:rPr>
                <w:rFonts w:hint="eastAsia" w:cs="宋体"/>
                <w:sz w:val="24"/>
                <w:szCs w:val="24"/>
              </w:rPr>
              <w:t>、固化剂约0.14t/a；</w:t>
            </w:r>
            <w:r>
              <w:rPr>
                <w:rFonts w:hint="eastAsia" w:cs="宋体"/>
                <w:bCs/>
                <w:sz w:val="24"/>
                <w:szCs w:val="24"/>
              </w:rPr>
              <w:t>罐体制作</w:t>
            </w:r>
            <w:r>
              <w:rPr>
                <w:rFonts w:hint="eastAsia"/>
                <w:sz w:val="24"/>
                <w:szCs w:val="24"/>
              </w:rPr>
              <w:t>使用</w:t>
            </w:r>
            <w:r>
              <w:rPr>
                <w:rFonts w:hint="eastAsia" w:cs="宋体"/>
                <w:sz w:val="24"/>
                <w:szCs w:val="24"/>
              </w:rPr>
              <w:t>不饱和聚酯树脂约369.36</w:t>
            </w:r>
            <w:r>
              <w:rPr>
                <w:rFonts w:hint="eastAsia" w:cs="宋体"/>
                <w:bCs/>
                <w:sz w:val="24"/>
                <w:szCs w:val="24"/>
              </w:rPr>
              <w:t>t/a</w:t>
            </w:r>
            <w:r>
              <w:rPr>
                <w:rFonts w:hint="eastAsia" w:cs="宋体"/>
                <w:sz w:val="24"/>
                <w:szCs w:val="24"/>
              </w:rPr>
              <w:t>、固化剂约12t/a。则</w:t>
            </w:r>
            <w:r>
              <w:rPr>
                <w:rFonts w:hint="eastAsia"/>
                <w:sz w:val="24"/>
                <w:szCs w:val="24"/>
              </w:rPr>
              <w:t>封头制作</w:t>
            </w:r>
            <w:r>
              <w:rPr>
                <w:rFonts w:hint="eastAsia" w:cs="宋体"/>
                <w:sz w:val="24"/>
                <w:szCs w:val="24"/>
              </w:rPr>
              <w:t>挥发出的有机废气（以非甲烷总烃计）量约0.93t/a，</w:t>
            </w:r>
            <w:r>
              <w:rPr>
                <w:rFonts w:hint="eastAsia" w:cs="宋体"/>
                <w:bCs/>
                <w:sz w:val="24"/>
                <w:szCs w:val="24"/>
              </w:rPr>
              <w:t>罐体</w:t>
            </w:r>
            <w:r>
              <w:rPr>
                <w:rFonts w:hint="eastAsia"/>
                <w:sz w:val="24"/>
                <w:szCs w:val="24"/>
              </w:rPr>
              <w:t>制作</w:t>
            </w:r>
            <w:r>
              <w:rPr>
                <w:rFonts w:hint="eastAsia" w:cs="宋体"/>
                <w:sz w:val="24"/>
                <w:szCs w:val="24"/>
              </w:rPr>
              <w:t>挥发出的有机废气（以非甲烷总烃计）量约6.09t/a。</w:t>
            </w:r>
          </w:p>
          <w:p>
            <w:pPr>
              <w:pBdr>
                <w:top w:val="none" w:color="auto" w:sz="0" w:space="1"/>
                <w:left w:val="none" w:color="auto" w:sz="0" w:space="4"/>
                <w:bottom w:val="none" w:color="auto" w:sz="0" w:space="1"/>
                <w:right w:val="none" w:color="auto" w:sz="0" w:space="4"/>
              </w:pBdr>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1 \* GB3</w:instrText>
            </w:r>
            <w:r>
              <w:rPr>
                <w:rFonts w:cs="宋体"/>
                <w:sz w:val="24"/>
                <w:szCs w:val="24"/>
              </w:rPr>
              <w:fldChar w:fldCharType="separate"/>
            </w:r>
            <w:r>
              <w:rPr>
                <w:rFonts w:hint="eastAsia" w:cs="宋体"/>
                <w:sz w:val="24"/>
                <w:szCs w:val="24"/>
              </w:rPr>
              <w:t>①</w:t>
            </w:r>
            <w:r>
              <w:rPr>
                <w:rFonts w:cs="宋体"/>
                <w:sz w:val="24"/>
                <w:szCs w:val="24"/>
              </w:rPr>
              <w:fldChar w:fldCharType="end"/>
            </w:r>
            <w:r>
              <w:rPr>
                <w:rFonts w:hint="eastAsia"/>
                <w:sz w:val="24"/>
                <w:szCs w:val="24"/>
              </w:rPr>
              <w:t>罐体制作（浸胶、缠绕固化组装）产生的有机废气</w:t>
            </w:r>
          </w:p>
          <w:p>
            <w:pPr>
              <w:pBdr>
                <w:top w:val="none" w:color="auto" w:sz="0" w:space="1"/>
                <w:left w:val="none" w:color="auto" w:sz="0" w:space="4"/>
                <w:bottom w:val="none" w:color="auto" w:sz="0" w:space="1"/>
                <w:right w:val="none" w:color="auto" w:sz="0" w:space="4"/>
              </w:pBdr>
              <w:spacing w:line="360" w:lineRule="auto"/>
              <w:ind w:firstLine="480" w:firstLineChars="200"/>
              <w:rPr>
                <w:rFonts w:cs="宋体"/>
                <w:sz w:val="24"/>
                <w:szCs w:val="24"/>
              </w:rPr>
            </w:pPr>
            <w:r>
              <w:rPr>
                <w:rFonts w:hint="eastAsia"/>
                <w:sz w:val="24"/>
                <w:szCs w:val="24"/>
              </w:rPr>
              <w:t>项目玻璃钢罐体制</w:t>
            </w:r>
            <w:r>
              <w:rPr>
                <w:rFonts w:hint="eastAsia"/>
                <w:sz w:val="24"/>
              </w:rPr>
              <w:t>作浸胶、缠绕固化工序为自动化操作，且项目浸胶、缠绕固化组装较集中，同时考虑到罐体体积大小及生产过程使用行吊等相关问题，本次罐体制作位于伸缩式密闭房进行，产生的</w:t>
            </w:r>
            <w:r>
              <w:rPr>
                <w:rFonts w:hint="eastAsia" w:cs="宋体"/>
                <w:sz w:val="24"/>
                <w:szCs w:val="24"/>
              </w:rPr>
              <w:t>有机废气经负压收集后采用 “活性炭吸附/脱附浓缩+催化燃烧装置（RCO）”处理后通过1根18m高排气筒（DA001）排放。根据建设单位提供的废气处理设施设计方案，废气处理设施配套风机风量约30000m</w:t>
            </w:r>
            <w:r>
              <w:rPr>
                <w:rFonts w:hint="eastAsia" w:cs="宋体"/>
                <w:sz w:val="24"/>
                <w:szCs w:val="24"/>
                <w:vertAlign w:val="superscript"/>
              </w:rPr>
              <w:t>3</w:t>
            </w:r>
            <w:r>
              <w:rPr>
                <w:rFonts w:hint="eastAsia" w:cs="宋体"/>
                <w:sz w:val="24"/>
                <w:szCs w:val="24"/>
              </w:rPr>
              <w:t>/h。参照《主要污染物总量减排核算技术指南》表2-3 VOCs废气收集率和治理设施去除率通用系数中“密闭空间负压收集效率90%计，活性炭吸附-脱附-催化燃烧VOCs去除率60%”，则本项目经“活性炭吸附/脱附浓缩+催化燃烧（RCO）装置”处理后苯乙烯排放浓度为0.37mg/m</w:t>
            </w:r>
            <w:r>
              <w:rPr>
                <w:rFonts w:hint="eastAsia" w:cs="宋体"/>
                <w:sz w:val="24"/>
                <w:szCs w:val="24"/>
                <w:vertAlign w:val="superscript"/>
              </w:rPr>
              <w:t>3</w:t>
            </w:r>
            <w:r>
              <w:rPr>
                <w:rFonts w:hint="eastAsia" w:cs="宋体"/>
                <w:sz w:val="24"/>
                <w:szCs w:val="24"/>
              </w:rPr>
              <w:t>，排放速率为0.01kg/h，排放量为0.027t/a；非甲烷总烃排放浓度为30.47mg/m</w:t>
            </w:r>
            <w:r>
              <w:rPr>
                <w:rFonts w:hint="eastAsia" w:cs="宋体"/>
                <w:sz w:val="24"/>
                <w:szCs w:val="24"/>
                <w:vertAlign w:val="superscript"/>
              </w:rPr>
              <w:t>3</w:t>
            </w:r>
            <w:r>
              <w:rPr>
                <w:rFonts w:hint="eastAsia" w:cs="宋体"/>
                <w:sz w:val="24"/>
                <w:szCs w:val="24"/>
              </w:rPr>
              <w:t>，排放速率为0.91kg/h，排放量为2.19t/a。未被收集的苯乙烯的排放量为0.01t/a，非甲烷总烃的排放量为0.6t/a。</w:t>
            </w:r>
          </w:p>
          <w:p>
            <w:pPr>
              <w:pBdr>
                <w:top w:val="none" w:color="auto" w:sz="0" w:space="1"/>
                <w:left w:val="none" w:color="auto" w:sz="0" w:space="4"/>
                <w:bottom w:val="none" w:color="auto" w:sz="0" w:space="1"/>
                <w:right w:val="none" w:color="auto" w:sz="0" w:space="4"/>
              </w:pBdr>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2 \* GB3</w:instrText>
            </w:r>
            <w:r>
              <w:rPr>
                <w:rFonts w:cs="宋体"/>
                <w:sz w:val="24"/>
                <w:szCs w:val="24"/>
              </w:rPr>
              <w:fldChar w:fldCharType="separate"/>
            </w:r>
            <w:r>
              <w:rPr>
                <w:rFonts w:hint="eastAsia" w:cs="宋体"/>
                <w:sz w:val="24"/>
                <w:szCs w:val="24"/>
              </w:rPr>
              <w:t>②</w:t>
            </w:r>
            <w:r>
              <w:rPr>
                <w:rFonts w:cs="宋体"/>
                <w:sz w:val="24"/>
                <w:szCs w:val="24"/>
              </w:rPr>
              <w:fldChar w:fldCharType="end"/>
            </w:r>
            <w:r>
              <w:rPr>
                <w:rFonts w:hint="eastAsia"/>
                <w:sz w:val="24"/>
              </w:rPr>
              <w:t>封头制作产生的有机废气</w:t>
            </w:r>
          </w:p>
          <w:p>
            <w:pPr>
              <w:pBdr>
                <w:top w:val="none" w:color="auto" w:sz="0" w:space="1"/>
                <w:left w:val="none" w:color="auto" w:sz="0" w:space="4"/>
                <w:bottom w:val="none" w:color="auto" w:sz="0" w:space="1"/>
                <w:right w:val="none" w:color="auto" w:sz="0" w:space="4"/>
              </w:pBdr>
              <w:spacing w:line="360" w:lineRule="auto"/>
              <w:ind w:firstLine="480" w:firstLineChars="200"/>
              <w:rPr>
                <w:rFonts w:cs="宋体"/>
                <w:sz w:val="24"/>
                <w:szCs w:val="24"/>
              </w:rPr>
            </w:pPr>
            <w:r>
              <w:rPr>
                <w:rFonts w:hint="eastAsia"/>
                <w:sz w:val="24"/>
              </w:rPr>
              <w:t>项目封头制作过程使用叉车等相关问题，本次封头制作过程位于伸缩式密闭房进行封头所用胶液混料、涂抹铺设固化。</w:t>
            </w:r>
            <w:r>
              <w:rPr>
                <w:rFonts w:hint="eastAsia" w:cs="宋体"/>
                <w:sz w:val="24"/>
                <w:szCs w:val="24"/>
              </w:rPr>
              <w:t>封头制作产生的有机废气经负压收集后采用“活性炭吸附/脱附浓缩+催化燃烧（RCO）装置”处理后通过1根18m高排气筒（DA002）排放。根据建设单位提供的废气处理设施设计方案，废气处理设施配套风机风量约20000m</w:t>
            </w:r>
            <w:r>
              <w:rPr>
                <w:rFonts w:hint="eastAsia" w:cs="宋体"/>
                <w:sz w:val="24"/>
                <w:szCs w:val="24"/>
                <w:vertAlign w:val="superscript"/>
              </w:rPr>
              <w:t>3</w:t>
            </w:r>
            <w:r>
              <w:rPr>
                <w:rFonts w:hint="eastAsia" w:cs="宋体"/>
                <w:sz w:val="24"/>
                <w:szCs w:val="24"/>
              </w:rPr>
              <w:t>/h。参照《主要污染物总量减排核算技术指南》表2-3 VOCs废气收集率和治理设施去除率通用系数中“密闭空间负压收集效率90%计，活性炭吸附-脱附-催化燃烧VOCs去除率60%”。则本项目经“两级活性炭吸附”后苯乙烯排放浓度为0.14mg/m</w:t>
            </w:r>
            <w:r>
              <w:rPr>
                <w:rFonts w:hint="eastAsia" w:cs="宋体"/>
                <w:sz w:val="24"/>
                <w:szCs w:val="24"/>
                <w:vertAlign w:val="superscript"/>
              </w:rPr>
              <w:t>3</w:t>
            </w:r>
            <w:r>
              <w:rPr>
                <w:rFonts w:hint="eastAsia" w:cs="宋体"/>
                <w:sz w:val="24"/>
                <w:szCs w:val="24"/>
              </w:rPr>
              <w:t>，排放速率为0.003kg/h，排放量为0.006t/a；非甲烷总烃排放浓度为6.96mg/m</w:t>
            </w:r>
            <w:r>
              <w:rPr>
                <w:rFonts w:hint="eastAsia" w:cs="宋体"/>
                <w:sz w:val="24"/>
                <w:szCs w:val="24"/>
                <w:vertAlign w:val="superscript"/>
              </w:rPr>
              <w:t>3</w:t>
            </w:r>
            <w:r>
              <w:rPr>
                <w:rFonts w:hint="eastAsia" w:cs="宋体"/>
                <w:sz w:val="24"/>
                <w:szCs w:val="24"/>
              </w:rPr>
              <w:t>，排放速率为0.14kg/h，排放量为0.33t/a。未被收集的苯乙烯的排放量为0.02t/a，非甲烷总烃的排放量为0.09t/a。</w:t>
            </w:r>
          </w:p>
          <w:p>
            <w:pPr>
              <w:adjustRightInd w:val="0"/>
              <w:snapToGrid w:val="0"/>
              <w:spacing w:line="360" w:lineRule="auto"/>
              <w:ind w:firstLine="480" w:firstLineChars="200"/>
              <w:rPr>
                <w:rFonts w:cs="宋体"/>
                <w:sz w:val="24"/>
                <w:szCs w:val="24"/>
              </w:rPr>
            </w:pPr>
            <w:r>
              <w:rPr>
                <w:rFonts w:hint="eastAsia" w:cs="宋体"/>
                <w:sz w:val="24"/>
                <w:szCs w:val="24"/>
              </w:rPr>
              <w:t>2）打磨粉尘</w:t>
            </w:r>
          </w:p>
          <w:p>
            <w:pPr>
              <w:pStyle w:val="2"/>
              <w:spacing w:line="360" w:lineRule="auto"/>
              <w:rPr>
                <w:rFonts w:ascii="Times New Roman" w:hAnsi="Times New Roman" w:cs="宋体"/>
                <w:sz w:val="24"/>
                <w:szCs w:val="24"/>
              </w:rPr>
            </w:pPr>
            <w:r>
              <w:rPr>
                <w:rFonts w:hint="eastAsia" w:ascii="Times New Roman" w:hAnsi="Times New Roman" w:cs="宋体"/>
                <w:sz w:val="24"/>
                <w:szCs w:val="24"/>
              </w:rPr>
              <w:t>玻璃钢产品在组装工序中对封头和罐体两头连接处需要进行边缘切割打磨修整，此过程会产生少量的粉尘。参考生态环境部发布的《排放源统计调查产排污核算方法和系数手册》（公告2021年第24号）中《</w:t>
            </w:r>
            <w:r>
              <w:rPr>
                <w:rFonts w:ascii="Times New Roman" w:hAnsi="Times New Roman" w:cs="宋体"/>
                <w:sz w:val="24"/>
                <w:szCs w:val="24"/>
              </w:rPr>
              <w:t>3062 玻璃纤维增强塑料制品制造行业 系数手册</w:t>
            </w:r>
            <w:r>
              <w:rPr>
                <w:rFonts w:hint="eastAsia" w:ascii="Times New Roman" w:hAnsi="Times New Roman" w:cs="宋体"/>
                <w:sz w:val="24"/>
                <w:szCs w:val="24"/>
              </w:rPr>
              <w:t>》中“玻璃钢罐－玻璃纤维、树脂－所有规模”，颗粒物产污系数为3.50kg/t－产品。本项目产品产量约为1100t/a，根据建设单位提供的封头制作配比资料，封头产量共约132t/a，罐体产量共约968t/a。即封头打磨粉尘产生量约0.46t/a，玻璃钢体打磨粉尘产生量约3.39t/a。</w:t>
            </w:r>
          </w:p>
          <w:p>
            <w:pPr>
              <w:pStyle w:val="2"/>
              <w:spacing w:line="360" w:lineRule="auto"/>
              <w:rPr>
                <w:rFonts w:ascii="Times New Roman" w:hAnsi="Times New Roman" w:cs="宋体"/>
                <w:sz w:val="24"/>
                <w:szCs w:val="24"/>
              </w:rPr>
            </w:pPr>
            <w:r>
              <w:rPr>
                <w:rFonts w:ascii="Times New Roman" w:hAnsi="Times New Roman" w:cs="宋体"/>
                <w:sz w:val="24"/>
                <w:szCs w:val="24"/>
              </w:rPr>
              <w:fldChar w:fldCharType="begin"/>
            </w:r>
            <w:r>
              <w:rPr>
                <w:rFonts w:hint="eastAsia" w:ascii="Times New Roman" w:hAnsi="Times New Roman" w:cs="宋体"/>
                <w:sz w:val="24"/>
                <w:szCs w:val="24"/>
              </w:rPr>
              <w:instrText xml:space="preserve">= 1 \* GB3</w:instrText>
            </w:r>
            <w:r>
              <w:rPr>
                <w:rFonts w:ascii="Times New Roman" w:hAnsi="Times New Roman" w:cs="宋体"/>
                <w:sz w:val="24"/>
                <w:szCs w:val="24"/>
              </w:rPr>
              <w:fldChar w:fldCharType="separate"/>
            </w:r>
            <w:r>
              <w:rPr>
                <w:rFonts w:hint="eastAsia" w:ascii="Times New Roman" w:hAnsi="Times New Roman" w:cs="宋体"/>
                <w:sz w:val="24"/>
                <w:szCs w:val="24"/>
              </w:rPr>
              <w:t>①</w:t>
            </w:r>
            <w:r>
              <w:rPr>
                <w:rFonts w:ascii="Times New Roman" w:hAnsi="Times New Roman" w:cs="宋体"/>
                <w:sz w:val="24"/>
                <w:szCs w:val="24"/>
              </w:rPr>
              <w:fldChar w:fldCharType="end"/>
            </w:r>
            <w:r>
              <w:rPr>
                <w:rFonts w:hint="eastAsia" w:ascii="Times New Roman" w:hAnsi="Times New Roman" w:cs="宋体"/>
                <w:sz w:val="24"/>
                <w:szCs w:val="24"/>
              </w:rPr>
              <w:t>封头打磨粉尘</w:t>
            </w:r>
          </w:p>
          <w:p>
            <w:pPr>
              <w:pStyle w:val="2"/>
              <w:spacing w:line="360" w:lineRule="auto"/>
              <w:rPr>
                <w:rFonts w:ascii="Times New Roman" w:hAnsi="Times New Roman" w:cs="宋体"/>
                <w:sz w:val="24"/>
                <w:szCs w:val="24"/>
              </w:rPr>
            </w:pPr>
            <w:r>
              <w:rPr>
                <w:rFonts w:hint="eastAsia" w:ascii="Times New Roman" w:hAnsi="Times New Roman" w:cs="宋体"/>
                <w:sz w:val="24"/>
                <w:szCs w:val="24"/>
              </w:rPr>
              <w:t>项目封头打磨工序在封闭打磨室进行，产生的粉尘经负压收集后采用“布袋除尘器”处理后通过1根18m高排气筒（DA003）排放。项目打磨室封头打磨修整约1.5h/d，依据《</w:t>
            </w:r>
            <w:r>
              <w:rPr>
                <w:rFonts w:ascii="Times New Roman" w:hAnsi="Times New Roman" w:cs="宋体"/>
                <w:sz w:val="24"/>
                <w:szCs w:val="24"/>
              </w:rPr>
              <w:t>3062玻璃纤维增强塑料制品制造行业 系数手册</w:t>
            </w:r>
            <w:r>
              <w:rPr>
                <w:rFonts w:hint="eastAsia" w:ascii="Times New Roman" w:hAnsi="Times New Roman" w:cs="宋体"/>
                <w:sz w:val="24"/>
                <w:szCs w:val="24"/>
              </w:rPr>
              <w:t>》中“玻璃钢罐－玻璃纤维、树脂－缠绕－所有规模”末端治理技术，除尘器化效率约99%。根据建设单位提供的环保设施设计资料，封闭打磨室除尘器配套风机风量约15000m</w:t>
            </w:r>
            <w:r>
              <w:rPr>
                <w:rFonts w:hint="eastAsia" w:ascii="Times New Roman" w:hAnsi="Times New Roman" w:cs="宋体"/>
                <w:sz w:val="24"/>
                <w:szCs w:val="24"/>
                <w:vertAlign w:val="superscript"/>
              </w:rPr>
              <w:t>3</w:t>
            </w:r>
            <w:r>
              <w:rPr>
                <w:rFonts w:hint="eastAsia" w:ascii="Times New Roman" w:hAnsi="Times New Roman" w:cs="宋体"/>
                <w:sz w:val="24"/>
                <w:szCs w:val="24"/>
              </w:rPr>
              <w:t>/h，则打磨室封头打磨粉尘的排放浓度为0.68mg/m</w:t>
            </w:r>
            <w:r>
              <w:rPr>
                <w:rFonts w:hint="eastAsia" w:ascii="Times New Roman" w:hAnsi="Times New Roman" w:cs="宋体"/>
                <w:sz w:val="24"/>
                <w:szCs w:val="24"/>
                <w:vertAlign w:val="superscript"/>
              </w:rPr>
              <w:t>3</w:t>
            </w:r>
            <w:r>
              <w:rPr>
                <w:rFonts w:hint="eastAsia" w:ascii="Times New Roman" w:hAnsi="Times New Roman" w:cs="宋体"/>
                <w:sz w:val="24"/>
                <w:szCs w:val="24"/>
              </w:rPr>
              <w:t>，排放速率为0.01kg/h，排放量为 0.005t/a。</w:t>
            </w:r>
          </w:p>
          <w:p>
            <w:pPr>
              <w:pStyle w:val="2"/>
              <w:spacing w:line="360" w:lineRule="auto"/>
              <w:rPr>
                <w:rFonts w:ascii="Times New Roman" w:hAnsi="Times New Roman" w:cs="宋体"/>
                <w:sz w:val="24"/>
                <w:szCs w:val="24"/>
              </w:rPr>
            </w:pPr>
            <w:r>
              <w:rPr>
                <w:rFonts w:ascii="Times New Roman" w:hAnsi="Times New Roman" w:cs="宋体"/>
                <w:sz w:val="24"/>
                <w:szCs w:val="24"/>
              </w:rPr>
              <w:fldChar w:fldCharType="begin"/>
            </w:r>
            <w:r>
              <w:rPr>
                <w:rFonts w:hint="eastAsia" w:ascii="Times New Roman" w:hAnsi="Times New Roman" w:cs="宋体"/>
                <w:sz w:val="24"/>
                <w:szCs w:val="24"/>
              </w:rPr>
              <w:instrText xml:space="preserve">= 2 \* GB3</w:instrText>
            </w:r>
            <w:r>
              <w:rPr>
                <w:rFonts w:ascii="Times New Roman" w:hAnsi="Times New Roman" w:cs="宋体"/>
                <w:sz w:val="24"/>
                <w:szCs w:val="24"/>
              </w:rPr>
              <w:fldChar w:fldCharType="separate"/>
            </w:r>
            <w:r>
              <w:rPr>
                <w:rFonts w:hint="eastAsia" w:ascii="Times New Roman" w:hAnsi="Times New Roman" w:cs="宋体"/>
                <w:sz w:val="24"/>
                <w:szCs w:val="24"/>
              </w:rPr>
              <w:t>②</w:t>
            </w:r>
            <w:r>
              <w:rPr>
                <w:rFonts w:ascii="Times New Roman" w:hAnsi="Times New Roman" w:cs="宋体"/>
                <w:sz w:val="24"/>
                <w:szCs w:val="24"/>
              </w:rPr>
              <w:fldChar w:fldCharType="end"/>
            </w:r>
            <w:r>
              <w:rPr>
                <w:rFonts w:hint="eastAsia" w:ascii="Times New Roman" w:hAnsi="Times New Roman" w:cs="宋体"/>
                <w:sz w:val="24"/>
                <w:szCs w:val="24"/>
              </w:rPr>
              <w:t>罐体打磨粉尘</w:t>
            </w:r>
          </w:p>
          <w:p>
            <w:pPr>
              <w:pStyle w:val="2"/>
              <w:spacing w:line="360" w:lineRule="auto"/>
              <w:rPr>
                <w:rFonts w:ascii="Times New Roman" w:hAnsi="Times New Roman" w:cs="宋体"/>
                <w:sz w:val="24"/>
                <w:szCs w:val="24"/>
              </w:rPr>
            </w:pPr>
            <w:r>
              <w:rPr>
                <w:rFonts w:hint="eastAsia" w:ascii="Times New Roman" w:hAnsi="Times New Roman" w:cs="宋体"/>
                <w:sz w:val="24"/>
                <w:szCs w:val="24"/>
              </w:rPr>
              <w:t>玻璃钢罐体由于体积大，不方便移动，封头连接处打磨修整在车间内进行打磨修整，产生的粉尘经采用移动式滤筒除尘器处理后于车间排放。项目打磨室封头打磨修整约4h/d，依据《</w:t>
            </w:r>
            <w:r>
              <w:rPr>
                <w:rFonts w:ascii="Times New Roman" w:hAnsi="Times New Roman" w:cs="宋体"/>
                <w:sz w:val="24"/>
                <w:szCs w:val="24"/>
              </w:rPr>
              <w:t>3062玻璃纤维增强塑料制品制造行业 系数手册</w:t>
            </w:r>
            <w:r>
              <w:rPr>
                <w:rFonts w:hint="eastAsia" w:ascii="Times New Roman" w:hAnsi="Times New Roman" w:cs="宋体"/>
                <w:sz w:val="24"/>
                <w:szCs w:val="24"/>
              </w:rPr>
              <w:t>》中“玻璃钢罐－玻璃纤维、树脂－缠绕－所有规模”末端治理技术，除尘器化效率为99%，粉尘收集效率约85%计，除尘器风机风量约5000m</w:t>
            </w:r>
            <w:r>
              <w:rPr>
                <w:rFonts w:hint="eastAsia" w:ascii="Times New Roman" w:hAnsi="Times New Roman" w:cs="宋体"/>
                <w:sz w:val="24"/>
                <w:szCs w:val="24"/>
                <w:vertAlign w:val="superscript"/>
              </w:rPr>
              <w:t>3</w:t>
            </w:r>
            <w:r>
              <w:rPr>
                <w:rFonts w:hint="eastAsia" w:ascii="Times New Roman" w:hAnsi="Times New Roman" w:cs="宋体"/>
                <w:sz w:val="24"/>
                <w:szCs w:val="24"/>
              </w:rPr>
              <w:t>/h。则被收集后粉尘的排放浓度为4.8mg/m</w:t>
            </w:r>
            <w:r>
              <w:rPr>
                <w:rFonts w:hint="eastAsia" w:ascii="Times New Roman" w:hAnsi="Times New Roman" w:cs="宋体"/>
                <w:sz w:val="24"/>
                <w:szCs w:val="24"/>
                <w:vertAlign w:val="superscript"/>
              </w:rPr>
              <w:t>3</w:t>
            </w:r>
            <w:r>
              <w:rPr>
                <w:rFonts w:hint="eastAsia" w:ascii="Times New Roman" w:hAnsi="Times New Roman" w:cs="宋体"/>
                <w:sz w:val="24"/>
                <w:szCs w:val="24"/>
              </w:rPr>
              <w:t>，排放速率为0.02kg/h，排放量为0.03t/a。未被集气罩收集的无组织粉尘约0.2t/a。</w:t>
            </w:r>
          </w:p>
          <w:p>
            <w:pPr>
              <w:adjustRightInd w:val="0"/>
              <w:snapToGrid w:val="0"/>
              <w:spacing w:line="360" w:lineRule="auto"/>
              <w:ind w:firstLine="480" w:firstLineChars="200"/>
              <w:rPr>
                <w:rFonts w:cs="宋体"/>
                <w:sz w:val="24"/>
                <w:szCs w:val="24"/>
              </w:rPr>
            </w:pPr>
            <w:r>
              <w:rPr>
                <w:rFonts w:hint="eastAsia" w:cs="宋体"/>
                <w:sz w:val="24"/>
                <w:szCs w:val="24"/>
              </w:rPr>
              <w:t>3）食堂油烟废气</w:t>
            </w:r>
          </w:p>
          <w:p>
            <w:pPr>
              <w:pStyle w:val="2"/>
              <w:spacing w:line="360" w:lineRule="auto"/>
              <w:rPr>
                <w:rFonts w:ascii="Times New Roman" w:hAnsi="Times New Roman" w:cs="宋体"/>
                <w:sz w:val="24"/>
                <w:szCs w:val="24"/>
              </w:rPr>
            </w:pPr>
            <w:r>
              <w:rPr>
                <w:rFonts w:ascii="Times New Roman" w:hAnsi="Times New Roman" w:cs="宋体"/>
                <w:sz w:val="24"/>
                <w:szCs w:val="24"/>
              </w:rPr>
              <w:t>本项目</w:t>
            </w:r>
            <w:r>
              <w:rPr>
                <w:rFonts w:hint="eastAsia" w:ascii="Times New Roman" w:hAnsi="Times New Roman" w:cs="宋体"/>
                <w:sz w:val="24"/>
                <w:szCs w:val="24"/>
              </w:rPr>
              <w:t>食堂提供一日三餐，</w:t>
            </w:r>
            <w:r>
              <w:rPr>
                <w:rFonts w:ascii="Times New Roman" w:hAnsi="Times New Roman" w:cs="宋体"/>
                <w:sz w:val="24"/>
                <w:szCs w:val="24"/>
              </w:rPr>
              <w:t>就餐职工共有</w:t>
            </w:r>
            <w:r>
              <w:rPr>
                <w:rFonts w:hint="eastAsia" w:ascii="Times New Roman" w:hAnsi="Times New Roman" w:cs="宋体"/>
                <w:sz w:val="24"/>
                <w:szCs w:val="24"/>
              </w:rPr>
              <w:t>31</w:t>
            </w:r>
            <w:r>
              <w:rPr>
                <w:rFonts w:ascii="Times New Roman" w:hAnsi="Times New Roman" w:cs="宋体"/>
                <w:sz w:val="24"/>
                <w:szCs w:val="24"/>
              </w:rPr>
              <w:t>人，</w:t>
            </w:r>
            <w:r>
              <w:rPr>
                <w:rFonts w:hint="eastAsia" w:ascii="Times New Roman" w:hAnsi="Times New Roman"/>
                <w:sz w:val="24"/>
                <w:szCs w:val="24"/>
              </w:rPr>
              <w:t>年工作时间300天，</w:t>
            </w:r>
            <w:r>
              <w:rPr>
                <w:rFonts w:ascii="Times New Roman" w:hAnsi="Times New Roman" w:cs="宋体"/>
                <w:sz w:val="24"/>
                <w:szCs w:val="24"/>
              </w:rPr>
              <w:t>食堂</w:t>
            </w:r>
            <w:r>
              <w:rPr>
                <w:rFonts w:hint="eastAsia" w:ascii="Times New Roman" w:hAnsi="Times New Roman" w:cs="宋体"/>
                <w:sz w:val="24"/>
                <w:szCs w:val="24"/>
              </w:rPr>
              <w:t>设2</w:t>
            </w:r>
            <w:r>
              <w:rPr>
                <w:rFonts w:ascii="Times New Roman" w:hAnsi="Times New Roman" w:cs="宋体"/>
                <w:sz w:val="24"/>
                <w:szCs w:val="24"/>
              </w:rPr>
              <w:t>个</w:t>
            </w:r>
            <w:r>
              <w:rPr>
                <w:rFonts w:hint="eastAsia" w:ascii="Times New Roman" w:hAnsi="Times New Roman" w:cs="宋体"/>
                <w:sz w:val="24"/>
                <w:szCs w:val="24"/>
              </w:rPr>
              <w:t>基准</w:t>
            </w:r>
            <w:r>
              <w:rPr>
                <w:rFonts w:ascii="Times New Roman" w:hAnsi="Times New Roman" w:cs="宋体"/>
                <w:sz w:val="24"/>
                <w:szCs w:val="24"/>
              </w:rPr>
              <w:t>灶头，</w:t>
            </w:r>
            <w:r>
              <w:rPr>
                <w:rFonts w:ascii="Times New Roman" w:hAnsi="Times New Roman"/>
                <w:sz w:val="24"/>
                <w:szCs w:val="24"/>
              </w:rPr>
              <w:t>属于《饮食业油烟排放标准》（GB18483-2001）中的小型饮食业单位</w:t>
            </w:r>
            <w:r>
              <w:rPr>
                <w:rFonts w:ascii="Times New Roman" w:hAnsi="Times New Roman" w:cs="宋体"/>
                <w:sz w:val="24"/>
                <w:szCs w:val="24"/>
              </w:rPr>
              <w:t>。食用油耗油系数为</w:t>
            </w:r>
            <w:r>
              <w:rPr>
                <w:rFonts w:hint="eastAsia" w:ascii="Times New Roman" w:hAnsi="Times New Roman" w:cs="宋体"/>
                <w:sz w:val="24"/>
                <w:szCs w:val="24"/>
              </w:rPr>
              <w:t>30</w:t>
            </w:r>
            <w:r>
              <w:rPr>
                <w:rFonts w:ascii="Times New Roman" w:hAnsi="Times New Roman" w:cs="宋体"/>
                <w:sz w:val="24"/>
                <w:szCs w:val="24"/>
              </w:rPr>
              <w:t>g/人·d，则食用油的用量约</w:t>
            </w:r>
            <w:r>
              <w:rPr>
                <w:rFonts w:hint="eastAsia" w:ascii="Times New Roman" w:hAnsi="Times New Roman" w:cs="宋体"/>
                <w:sz w:val="24"/>
                <w:szCs w:val="24"/>
              </w:rPr>
              <w:t>0.28t</w:t>
            </w:r>
            <w:r>
              <w:rPr>
                <w:rFonts w:ascii="Times New Roman" w:hAnsi="Times New Roman" w:cs="宋体"/>
                <w:sz w:val="24"/>
                <w:szCs w:val="24"/>
              </w:rPr>
              <w:t>/a。</w:t>
            </w:r>
            <w:r>
              <w:rPr>
                <w:rFonts w:hint="eastAsia" w:ascii="Times New Roman" w:hAnsi="Times New Roman" w:cs="宋体"/>
                <w:sz w:val="24"/>
                <w:szCs w:val="24"/>
              </w:rPr>
              <w:t>一般油烟挥发量占总耗油量的2%-4%，本次评价取3%，</w:t>
            </w:r>
            <w:r>
              <w:rPr>
                <w:rFonts w:ascii="Times New Roman" w:hAnsi="Times New Roman" w:cs="宋体"/>
                <w:sz w:val="24"/>
                <w:szCs w:val="24"/>
              </w:rPr>
              <w:t>由此可估算得食堂油烟产生量约为</w:t>
            </w:r>
            <w:r>
              <w:rPr>
                <w:rFonts w:hint="eastAsia" w:ascii="Times New Roman" w:hAnsi="Times New Roman" w:cs="宋体"/>
                <w:sz w:val="24"/>
                <w:szCs w:val="24"/>
              </w:rPr>
              <w:t>0.0084t</w:t>
            </w:r>
            <w:r>
              <w:rPr>
                <w:rFonts w:ascii="Times New Roman" w:hAnsi="Times New Roman" w:cs="宋体"/>
                <w:sz w:val="24"/>
                <w:szCs w:val="24"/>
              </w:rPr>
              <w:t>/a</w:t>
            </w:r>
            <w:r>
              <w:rPr>
                <w:rFonts w:hint="eastAsia" w:ascii="Times New Roman" w:hAnsi="Times New Roman" w:cs="宋体"/>
                <w:sz w:val="24"/>
                <w:szCs w:val="24"/>
              </w:rPr>
              <w:t>。食堂油烟经油烟净化器处理后于楼顶排放。根据</w:t>
            </w:r>
            <w:r>
              <w:rPr>
                <w:rFonts w:ascii="Times New Roman" w:hAnsi="Times New Roman"/>
                <w:sz w:val="24"/>
                <w:szCs w:val="24"/>
              </w:rPr>
              <w:t>《饮食业油烟排放标准》（</w:t>
            </w:r>
            <w:r>
              <w:rPr>
                <w:rFonts w:hint="eastAsia" w:ascii="Times New Roman" w:hAnsi="Times New Roman"/>
                <w:sz w:val="24"/>
                <w:szCs w:val="24"/>
              </w:rPr>
              <w:t>G</w:t>
            </w:r>
            <w:r>
              <w:rPr>
                <w:rFonts w:ascii="Times New Roman" w:hAnsi="Times New Roman"/>
                <w:sz w:val="24"/>
                <w:szCs w:val="24"/>
              </w:rPr>
              <w:t>B18483-2001）</w:t>
            </w:r>
            <w:r>
              <w:rPr>
                <w:rFonts w:hint="eastAsia" w:ascii="Times New Roman" w:hAnsi="Times New Roman" w:cs="宋体"/>
                <w:sz w:val="24"/>
                <w:szCs w:val="24"/>
              </w:rPr>
              <w:t>中小型规模食堂</w:t>
            </w:r>
            <w:r>
              <w:rPr>
                <w:rFonts w:ascii="Times New Roman" w:hAnsi="Times New Roman" w:cs="宋体"/>
                <w:sz w:val="24"/>
                <w:szCs w:val="24"/>
              </w:rPr>
              <w:t>净化设施</w:t>
            </w:r>
            <w:r>
              <w:rPr>
                <w:rFonts w:hint="eastAsia" w:ascii="Times New Roman" w:hAnsi="Times New Roman" w:cs="宋体"/>
                <w:sz w:val="24"/>
                <w:szCs w:val="24"/>
              </w:rPr>
              <w:t>最低</w:t>
            </w:r>
            <w:r>
              <w:rPr>
                <w:rFonts w:ascii="Times New Roman" w:hAnsi="Times New Roman" w:cs="宋体"/>
                <w:sz w:val="24"/>
                <w:szCs w:val="24"/>
              </w:rPr>
              <w:t>去除</w:t>
            </w:r>
            <w:r>
              <w:rPr>
                <w:rFonts w:hint="eastAsia" w:ascii="Times New Roman" w:hAnsi="Times New Roman" w:cs="宋体"/>
                <w:sz w:val="24"/>
                <w:szCs w:val="24"/>
              </w:rPr>
              <w:t>效</w:t>
            </w:r>
            <w:r>
              <w:rPr>
                <w:rFonts w:ascii="Times New Roman" w:hAnsi="Times New Roman" w:cs="宋体"/>
                <w:sz w:val="24"/>
                <w:szCs w:val="24"/>
              </w:rPr>
              <w:t>率</w:t>
            </w:r>
            <w:r>
              <w:rPr>
                <w:rFonts w:hint="eastAsia" w:ascii="Times New Roman" w:hAnsi="Times New Roman" w:cs="宋体"/>
                <w:sz w:val="24"/>
                <w:szCs w:val="24"/>
              </w:rPr>
              <w:t>约60</w:t>
            </w:r>
            <w:r>
              <w:rPr>
                <w:rFonts w:ascii="Times New Roman" w:hAnsi="Times New Roman" w:cs="宋体"/>
                <w:sz w:val="24"/>
                <w:szCs w:val="24"/>
              </w:rPr>
              <w:t>%，</w:t>
            </w:r>
            <w:r>
              <w:rPr>
                <w:rFonts w:hint="eastAsia" w:ascii="Times New Roman" w:hAnsi="Times New Roman" w:cs="宋体"/>
                <w:sz w:val="24"/>
                <w:szCs w:val="24"/>
              </w:rPr>
              <w:t>风量约25</w:t>
            </w:r>
            <w:r>
              <w:rPr>
                <w:rFonts w:ascii="Times New Roman" w:hAnsi="Times New Roman" w:cs="宋体"/>
                <w:sz w:val="24"/>
                <w:szCs w:val="24"/>
              </w:rPr>
              <w:t>00m</w:t>
            </w:r>
            <w:r>
              <w:rPr>
                <w:rFonts w:ascii="Times New Roman" w:hAnsi="Times New Roman" w:cs="宋体"/>
                <w:sz w:val="24"/>
                <w:szCs w:val="24"/>
                <w:vertAlign w:val="superscript"/>
              </w:rPr>
              <w:t>3</w:t>
            </w:r>
            <w:r>
              <w:rPr>
                <w:rFonts w:ascii="Times New Roman" w:hAnsi="Times New Roman" w:cs="宋体"/>
                <w:sz w:val="24"/>
                <w:szCs w:val="24"/>
              </w:rPr>
              <w:t>/h</w:t>
            </w:r>
            <w:r>
              <w:rPr>
                <w:rFonts w:hint="eastAsia" w:ascii="Times New Roman" w:hAnsi="Times New Roman" w:cs="宋体"/>
                <w:sz w:val="24"/>
                <w:szCs w:val="24"/>
              </w:rPr>
              <w:t>，</w:t>
            </w:r>
            <w:r>
              <w:rPr>
                <w:rFonts w:ascii="Times New Roman" w:hAnsi="Times New Roman" w:cs="宋体"/>
                <w:sz w:val="24"/>
                <w:szCs w:val="24"/>
              </w:rPr>
              <w:t>食堂炉灶每天工作</w:t>
            </w:r>
            <w:r>
              <w:rPr>
                <w:rFonts w:hint="eastAsia" w:ascii="Times New Roman" w:hAnsi="Times New Roman" w:cs="宋体"/>
                <w:sz w:val="24"/>
                <w:szCs w:val="24"/>
              </w:rPr>
              <w:t>约5</w:t>
            </w:r>
            <w:r>
              <w:rPr>
                <w:rFonts w:ascii="Times New Roman" w:hAnsi="Times New Roman" w:cs="宋体"/>
                <w:sz w:val="24"/>
                <w:szCs w:val="24"/>
              </w:rPr>
              <w:t>小时，</w:t>
            </w:r>
            <w:r>
              <w:rPr>
                <w:rFonts w:hint="eastAsia" w:ascii="Times New Roman" w:hAnsi="Times New Roman" w:cs="宋体"/>
                <w:sz w:val="24"/>
                <w:szCs w:val="24"/>
              </w:rPr>
              <w:t>则</w:t>
            </w:r>
            <w:r>
              <w:rPr>
                <w:rFonts w:ascii="Times New Roman" w:hAnsi="Times New Roman" w:cs="宋体"/>
                <w:sz w:val="24"/>
                <w:szCs w:val="24"/>
              </w:rPr>
              <w:t>经</w:t>
            </w:r>
            <w:r>
              <w:rPr>
                <w:rFonts w:hint="eastAsia" w:ascii="Times New Roman" w:hAnsi="Times New Roman" w:cs="宋体"/>
                <w:sz w:val="24"/>
                <w:szCs w:val="24"/>
              </w:rPr>
              <w:t>油烟净化器处理</w:t>
            </w:r>
            <w:r>
              <w:rPr>
                <w:rFonts w:ascii="Times New Roman" w:hAnsi="Times New Roman" w:cs="宋体"/>
                <w:sz w:val="24"/>
                <w:szCs w:val="24"/>
              </w:rPr>
              <w:t>后，油烟</w:t>
            </w:r>
            <w:r>
              <w:rPr>
                <w:rFonts w:hint="eastAsia" w:ascii="Times New Roman" w:hAnsi="Times New Roman" w:cs="宋体"/>
                <w:sz w:val="24"/>
                <w:szCs w:val="24"/>
              </w:rPr>
              <w:t>排放浓度为0.88</w:t>
            </w:r>
            <w:r>
              <w:rPr>
                <w:rFonts w:ascii="Times New Roman" w:hAnsi="Times New Roman" w:cs="宋体"/>
                <w:sz w:val="24"/>
                <w:szCs w:val="24"/>
              </w:rPr>
              <w:t>mg/m</w:t>
            </w:r>
            <w:r>
              <w:rPr>
                <w:rFonts w:ascii="Times New Roman" w:hAnsi="Times New Roman" w:cs="宋体"/>
                <w:sz w:val="24"/>
                <w:szCs w:val="24"/>
                <w:vertAlign w:val="superscript"/>
              </w:rPr>
              <w:t>3</w:t>
            </w:r>
            <w:r>
              <w:rPr>
                <w:rFonts w:hint="eastAsia" w:ascii="Times New Roman" w:hAnsi="Times New Roman" w:cs="宋体"/>
                <w:sz w:val="24"/>
                <w:szCs w:val="24"/>
              </w:rPr>
              <w:t>，排放速率</w:t>
            </w:r>
            <w:r>
              <w:rPr>
                <w:rFonts w:ascii="Times New Roman" w:hAnsi="Times New Roman" w:cs="宋体"/>
                <w:sz w:val="24"/>
                <w:szCs w:val="24"/>
              </w:rPr>
              <w:t>为</w:t>
            </w:r>
            <w:r>
              <w:rPr>
                <w:rFonts w:hint="eastAsia" w:ascii="Times New Roman" w:hAnsi="Times New Roman" w:cs="宋体"/>
                <w:sz w:val="24"/>
                <w:szCs w:val="24"/>
              </w:rPr>
              <w:t>0.0022</w:t>
            </w:r>
            <w:r>
              <w:rPr>
                <w:rFonts w:ascii="Times New Roman" w:hAnsi="Times New Roman"/>
                <w:sz w:val="24"/>
                <w:szCs w:val="24"/>
              </w:rPr>
              <w:t>kg/h</w:t>
            </w:r>
            <w:r>
              <w:rPr>
                <w:rFonts w:hint="eastAsia" w:ascii="Times New Roman" w:hAnsi="Times New Roman" w:cs="宋体"/>
                <w:sz w:val="24"/>
                <w:szCs w:val="24"/>
              </w:rPr>
              <w:t>。</w:t>
            </w:r>
            <w:r>
              <w:rPr>
                <w:rFonts w:ascii="Times New Roman" w:hAnsi="Times New Roman" w:cs="宋体"/>
                <w:sz w:val="24"/>
                <w:szCs w:val="24"/>
              </w:rPr>
              <w:t>排放量约为</w:t>
            </w:r>
            <w:r>
              <w:rPr>
                <w:rFonts w:hint="eastAsia" w:ascii="Times New Roman" w:hAnsi="Times New Roman" w:cs="宋体"/>
                <w:sz w:val="24"/>
                <w:szCs w:val="24"/>
              </w:rPr>
              <w:t>0.0033t</w:t>
            </w:r>
            <w:r>
              <w:rPr>
                <w:rFonts w:ascii="Times New Roman" w:hAnsi="Times New Roman" w:cs="宋体"/>
                <w:sz w:val="24"/>
                <w:szCs w:val="24"/>
              </w:rPr>
              <w:t>/</w:t>
            </w:r>
            <w:r>
              <w:rPr>
                <w:rFonts w:hint="eastAsia" w:ascii="Times New Roman" w:hAnsi="Times New Roman" w:cs="宋体"/>
                <w:sz w:val="24"/>
                <w:szCs w:val="24"/>
              </w:rPr>
              <w:t>a。</w:t>
            </w:r>
          </w:p>
          <w:p>
            <w:pPr>
              <w:tabs>
                <w:tab w:val="left" w:pos="851"/>
                <w:tab w:val="left" w:pos="1134"/>
                <w:tab w:val="left" w:pos="1276"/>
              </w:tabs>
              <w:adjustRightInd w:val="0"/>
              <w:snapToGrid w:val="0"/>
              <w:spacing w:line="360" w:lineRule="auto"/>
              <w:jc w:val="left"/>
              <w:rPr>
                <w:rFonts w:cs="宋体"/>
                <w:b/>
                <w:bCs/>
                <w:sz w:val="24"/>
                <w:szCs w:val="24"/>
              </w:rPr>
            </w:pPr>
            <w:r>
              <w:rPr>
                <w:rFonts w:hint="eastAsia"/>
                <w:b/>
                <w:bCs/>
                <w:sz w:val="24"/>
                <w:szCs w:val="24"/>
              </w:rPr>
              <w:t>（2）</w:t>
            </w:r>
            <w:r>
              <w:rPr>
                <w:rFonts w:hint="eastAsia" w:cs="宋体"/>
                <w:b/>
                <w:bCs/>
                <w:sz w:val="24"/>
                <w:szCs w:val="24"/>
              </w:rPr>
              <w:t>废气污染物产排污情况</w:t>
            </w:r>
          </w:p>
          <w:p>
            <w:pPr>
              <w:pStyle w:val="2"/>
              <w:spacing w:line="360" w:lineRule="auto"/>
              <w:rPr>
                <w:rFonts w:ascii="Times New Roman" w:hAnsi="Times New Roman" w:cs="宋体"/>
                <w:sz w:val="24"/>
                <w:szCs w:val="24"/>
              </w:rPr>
            </w:pPr>
            <w:r>
              <w:rPr>
                <w:rFonts w:hint="eastAsia" w:ascii="Times New Roman" w:hAnsi="Times New Roman" w:cs="宋体"/>
                <w:sz w:val="24"/>
                <w:szCs w:val="24"/>
              </w:rPr>
              <w:t>项目运营期大气污染物产生及排放情况见下表。</w:t>
            </w:r>
          </w:p>
          <w:p>
            <w:pPr>
              <w:tabs>
                <w:tab w:val="left" w:pos="851"/>
                <w:tab w:val="left" w:pos="1134"/>
                <w:tab w:val="left" w:pos="1276"/>
              </w:tabs>
              <w:spacing w:line="360" w:lineRule="auto"/>
              <w:jc w:val="center"/>
              <w:rPr>
                <w:b/>
                <w:bCs/>
                <w:szCs w:val="24"/>
              </w:rPr>
            </w:pPr>
            <w:r>
              <w:rPr>
                <w:rFonts w:hint="eastAsia" w:cs="宋体"/>
                <w:b/>
                <w:bCs/>
                <w:szCs w:val="24"/>
              </w:rPr>
              <w:t>表</w:t>
            </w:r>
            <w:r>
              <w:rPr>
                <w:b/>
                <w:bCs/>
                <w:szCs w:val="24"/>
              </w:rPr>
              <w:t>4-</w:t>
            </w:r>
            <w:r>
              <w:rPr>
                <w:rFonts w:hint="eastAsia"/>
                <w:b/>
                <w:bCs/>
                <w:szCs w:val="24"/>
              </w:rPr>
              <w:t xml:space="preserve">1 </w:t>
            </w:r>
            <w:r>
              <w:rPr>
                <w:rFonts w:hint="eastAsia" w:cs="宋体"/>
                <w:b/>
                <w:bCs/>
                <w:szCs w:val="24"/>
              </w:rPr>
              <w:t>本项目废气产生排放情况一览表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
              <w:gridCol w:w="811"/>
              <w:gridCol w:w="973"/>
              <w:gridCol w:w="977"/>
              <w:gridCol w:w="1636"/>
              <w:gridCol w:w="890"/>
              <w:gridCol w:w="903"/>
              <w:gridCol w:w="869"/>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65"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产污环节</w:t>
                  </w:r>
                </w:p>
              </w:tc>
              <w:tc>
                <w:tcPr>
                  <w:tcW w:w="459"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排放形式</w:t>
                  </w:r>
                </w:p>
              </w:tc>
              <w:tc>
                <w:tcPr>
                  <w:tcW w:w="551"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污染物</w:t>
                  </w:r>
                </w:p>
              </w:tc>
              <w:tc>
                <w:tcPr>
                  <w:tcW w:w="553" w:type="pct"/>
                  <w:vMerge w:val="restar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产生量</w:t>
                  </w:r>
                  <w:r>
                    <w:rPr>
                      <w:kern w:val="0"/>
                    </w:rPr>
                    <w:t>t/a</w:t>
                  </w:r>
                </w:p>
              </w:tc>
              <w:tc>
                <w:tcPr>
                  <w:tcW w:w="1430" w:type="pct"/>
                  <w:gridSpan w:val="2"/>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废气处理设施</w:t>
                  </w:r>
                </w:p>
              </w:tc>
              <w:tc>
                <w:tcPr>
                  <w:tcW w:w="1541" w:type="pct"/>
                  <w:gridSpan w:val="3"/>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污染物排放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5"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p>
              </w:tc>
              <w:tc>
                <w:tcPr>
                  <w:tcW w:w="45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p>
              </w:tc>
              <w:tc>
                <w:tcPr>
                  <w:tcW w:w="551"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污染防治措施</w:t>
                  </w:r>
                </w:p>
              </w:tc>
              <w:tc>
                <w:tcPr>
                  <w:tcW w:w="50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是否为可行技术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排放浓度</w:t>
                  </w:r>
                  <w:r>
                    <w:rPr>
                      <w:spacing w:val="-16"/>
                      <w:kern w:val="0"/>
                    </w:rPr>
                    <w:t>mg/m</w:t>
                  </w:r>
                  <w:r>
                    <w:rPr>
                      <w:spacing w:val="-16"/>
                      <w:kern w:val="0"/>
                      <w:vertAlign w:val="superscript"/>
                    </w:rPr>
                    <w:t>3</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排放速率</w:t>
                  </w:r>
                  <w:r>
                    <w:rPr>
                      <w:kern w:val="0"/>
                    </w:rPr>
                    <w:t>kg/h</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排放量</w:t>
                  </w:r>
                  <w:r>
                    <w:rPr>
                      <w:kern w:val="0"/>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kern w:val="0"/>
                    </w:rPr>
                    <w:t>封头制作伸缩式密闭房有机废气</w:t>
                  </w:r>
                </w:p>
              </w:tc>
              <w:tc>
                <w:tcPr>
                  <w:tcW w:w="459"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kern w:val="0"/>
                    </w:rPr>
                    <w:t>有组织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cs="宋体"/>
                    </w:rPr>
                    <w:t>苯乙烯</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0.016</w:t>
                  </w:r>
                </w:p>
              </w:tc>
              <w:tc>
                <w:tcPr>
                  <w:tcW w:w="926"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kern w:val="0"/>
                    </w:rPr>
                    <w:t>伸缩式密闭房负压收集（收集率约90%）+活性炭吸附/脱附浓缩+</w:t>
                  </w:r>
                  <w:r>
                    <w:rPr>
                      <w:rFonts w:hint="eastAsia"/>
                    </w:rPr>
                    <w:t>催化燃烧（RCO）</w:t>
                  </w:r>
                  <w:r>
                    <w:rPr>
                      <w:rFonts w:hint="eastAsia" w:cs="宋体"/>
                      <w:kern w:val="0"/>
                    </w:rPr>
                    <w:t>（净化效率约60</w:t>
                  </w:r>
                  <w:r>
                    <w:rPr>
                      <w:rFonts w:cs="宋体"/>
                      <w:kern w:val="0"/>
                    </w:rPr>
                    <w:t>%</w:t>
                  </w:r>
                  <w:r>
                    <w:rPr>
                      <w:rFonts w:hint="eastAsia" w:cs="宋体"/>
                      <w:kern w:val="0"/>
                    </w:rPr>
                    <w:t>）</w:t>
                  </w:r>
                  <w:r>
                    <w:rPr>
                      <w:rFonts w:cs="宋体"/>
                      <w:kern w:val="0"/>
                    </w:rPr>
                    <w:t>+1</w:t>
                  </w:r>
                  <w:r>
                    <w:rPr>
                      <w:rFonts w:hint="eastAsia" w:cs="宋体"/>
                      <w:kern w:val="0"/>
                    </w:rPr>
                    <w:t>8</w:t>
                  </w:r>
                  <w:r>
                    <w:rPr>
                      <w:rFonts w:cs="宋体"/>
                      <w:kern w:val="0"/>
                    </w:rPr>
                    <w:t>m</w:t>
                  </w:r>
                  <w:r>
                    <w:rPr>
                      <w:rFonts w:hint="eastAsia" w:cs="宋体"/>
                      <w:kern w:val="0"/>
                    </w:rPr>
                    <w:t>排气筒</w:t>
                  </w:r>
                </w:p>
              </w:tc>
              <w:tc>
                <w:tcPr>
                  <w:tcW w:w="504"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kern w:val="0"/>
                    </w:rPr>
                    <w:t>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0.14</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0.003</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非甲烷总烃</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0.84</w:t>
                  </w:r>
                </w:p>
              </w:tc>
              <w:tc>
                <w:tcPr>
                  <w:tcW w:w="926"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504"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6.96</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0.14</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无组织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cs="宋体"/>
                    </w:rPr>
                    <w:t>苯乙烯</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0.02</w:t>
                  </w:r>
                </w:p>
              </w:tc>
              <w:tc>
                <w:tcPr>
                  <w:tcW w:w="926" w:type="pct"/>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04"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0.008</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非甲烷总烃</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0.09</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04"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0.039</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restart"/>
                  <w:tcBorders>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罐体制作伸缩密闭房（浸胶、缠绕固化组装）</w:t>
                  </w:r>
                </w:p>
              </w:tc>
              <w:tc>
                <w:tcPr>
                  <w:tcW w:w="459" w:type="pct"/>
                  <w:vMerge w:val="restart"/>
                  <w:tcBorders>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有组织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cs="宋体"/>
                    </w:rPr>
                    <w:t>苯乙烯</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0.07</w:t>
                  </w:r>
                </w:p>
              </w:tc>
              <w:tc>
                <w:tcPr>
                  <w:tcW w:w="926" w:type="pct"/>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伸缩式密闭房负压收集（收集率约90%）+活性炭吸附/脱附浓缩+</w:t>
                  </w:r>
                  <w:r>
                    <w:rPr>
                      <w:rFonts w:hint="eastAsia"/>
                    </w:rPr>
                    <w:t>催化燃烧（RCO）</w:t>
                  </w:r>
                  <w:r>
                    <w:rPr>
                      <w:rFonts w:hint="eastAsia" w:cs="宋体"/>
                      <w:kern w:val="0"/>
                    </w:rPr>
                    <w:t>（净化效率约60</w:t>
                  </w:r>
                  <w:r>
                    <w:rPr>
                      <w:rFonts w:cs="宋体"/>
                      <w:kern w:val="0"/>
                    </w:rPr>
                    <w:t>%</w:t>
                  </w:r>
                  <w:r>
                    <w:rPr>
                      <w:rFonts w:hint="eastAsia" w:cs="宋体"/>
                      <w:kern w:val="0"/>
                    </w:rPr>
                    <w:t>）</w:t>
                  </w:r>
                  <w:r>
                    <w:rPr>
                      <w:rFonts w:cs="宋体"/>
                      <w:kern w:val="0"/>
                    </w:rPr>
                    <w:t>+1</w:t>
                  </w:r>
                  <w:r>
                    <w:rPr>
                      <w:rFonts w:hint="eastAsia" w:cs="宋体"/>
                      <w:kern w:val="0"/>
                    </w:rPr>
                    <w:t>8</w:t>
                  </w:r>
                  <w:r>
                    <w:rPr>
                      <w:rFonts w:cs="宋体"/>
                      <w:kern w:val="0"/>
                    </w:rPr>
                    <w:t>m</w:t>
                  </w:r>
                  <w:r>
                    <w:rPr>
                      <w:rFonts w:hint="eastAsia" w:cs="宋体"/>
                      <w:kern w:val="0"/>
                    </w:rPr>
                    <w:t>排气筒</w:t>
                  </w:r>
                </w:p>
              </w:tc>
              <w:tc>
                <w:tcPr>
                  <w:tcW w:w="504" w:type="pct"/>
                  <w:vMerge w:val="restart"/>
                  <w:tcBorders>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0.37</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0.01</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非甲烷总烃</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5.48</w:t>
                  </w:r>
                </w:p>
              </w:tc>
              <w:tc>
                <w:tcPr>
                  <w:tcW w:w="926"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04"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30.47</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0.91</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restart"/>
                  <w:tcBorders>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无组织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cs="宋体"/>
                    </w:rPr>
                    <w:t>苯乙烯</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0.01</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04" w:type="pct"/>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0.003</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c>
                <w:tcPr>
                  <w:tcW w:w="459" w:type="pct"/>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非甲烷总烃</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0.6</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04" w:type="pct"/>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0.25</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tcBorders>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封头打磨室</w:t>
                  </w:r>
                </w:p>
              </w:tc>
              <w:tc>
                <w:tcPr>
                  <w:tcW w:w="45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有组织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粉尘</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0.46</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封闭打磨室+布袋除尘器（</w:t>
                  </w:r>
                  <w:r>
                    <w:rPr>
                      <w:rFonts w:hint="eastAsia" w:cs="宋体"/>
                    </w:rPr>
                    <w:t>净化效率约</w:t>
                  </w:r>
                  <w:r>
                    <w:rPr>
                      <w:rFonts w:hint="eastAsia"/>
                    </w:rPr>
                    <w:t>99</w:t>
                  </w:r>
                  <w:r>
                    <w:t>%</w:t>
                  </w:r>
                  <w:r>
                    <w:rPr>
                      <w:rFonts w:hint="eastAsia" w:cs="宋体"/>
                      <w:kern w:val="0"/>
                    </w:rPr>
                    <w:t>）</w:t>
                  </w:r>
                  <w:r>
                    <w:t>+1</w:t>
                  </w:r>
                  <w:r>
                    <w:rPr>
                      <w:rFonts w:hint="eastAsia"/>
                    </w:rPr>
                    <w:t>8</w:t>
                  </w:r>
                  <w:r>
                    <w:t>m</w:t>
                  </w:r>
                  <w:r>
                    <w:rPr>
                      <w:rFonts w:hint="eastAsia" w:cs="宋体"/>
                    </w:rPr>
                    <w:t>排气筒</w:t>
                  </w:r>
                </w:p>
              </w:tc>
              <w:tc>
                <w:tcPr>
                  <w:tcW w:w="50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0.68</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0.01</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罐体打磨</w:t>
                  </w:r>
                </w:p>
              </w:tc>
              <w:tc>
                <w:tcPr>
                  <w:tcW w:w="45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无组织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粉尘</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3.39</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移动式滤筒除尘器（</w:t>
                  </w:r>
                  <w:r>
                    <w:rPr>
                      <w:rFonts w:hint="eastAsia" w:cs="宋体"/>
                    </w:rPr>
                    <w:t>净化效率约</w:t>
                  </w:r>
                  <w:r>
                    <w:rPr>
                      <w:rFonts w:hint="eastAsia"/>
                    </w:rPr>
                    <w:t>99</w:t>
                  </w:r>
                  <w:r>
                    <w:t>%</w:t>
                  </w:r>
                  <w:r>
                    <w:rPr>
                      <w:rFonts w:hint="eastAsia" w:cs="宋体"/>
                      <w:kern w:val="0"/>
                    </w:rPr>
                    <w:t>）</w:t>
                  </w:r>
                </w:p>
              </w:tc>
              <w:tc>
                <w:tcPr>
                  <w:tcW w:w="50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0.02</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65" w:type="pct"/>
                  <w:tcBorders>
                    <w:top w:val="single" w:color="auto" w:sz="4" w:space="0"/>
                    <w:left w:val="single" w:color="auto" w:sz="4" w:space="0"/>
                    <w:right w:val="single" w:color="auto" w:sz="4" w:space="0"/>
                  </w:tcBorders>
                  <w:vAlign w:val="center"/>
                </w:tcPr>
                <w:p>
                  <w:pPr>
                    <w:widowControl/>
                    <w:adjustRightInd w:val="0"/>
                    <w:snapToGrid w:val="0"/>
                    <w:jc w:val="center"/>
                    <w:rPr>
                      <w:rFonts w:cs="宋体"/>
                    </w:rPr>
                  </w:pPr>
                  <w:r>
                    <w:rPr>
                      <w:rFonts w:hint="eastAsia" w:cs="宋体"/>
                    </w:rPr>
                    <w:t>食堂</w:t>
                  </w:r>
                </w:p>
              </w:tc>
              <w:tc>
                <w:tcPr>
                  <w:tcW w:w="45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有组织</w:t>
                  </w:r>
                </w:p>
              </w:tc>
              <w:tc>
                <w:tcPr>
                  <w:tcW w:w="55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rPr>
                    <w:t>油烟</w:t>
                  </w:r>
                </w:p>
              </w:tc>
              <w:tc>
                <w:tcPr>
                  <w:tcW w:w="553"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0.0084</w:t>
                  </w:r>
                </w:p>
              </w:tc>
              <w:tc>
                <w:tcPr>
                  <w:tcW w:w="92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rPr>
                    <w:t>油烟净化器（净化效率约</w:t>
                  </w:r>
                  <w:r>
                    <w:rPr>
                      <w:rFonts w:hint="eastAsia"/>
                    </w:rPr>
                    <w:t>60</w:t>
                  </w:r>
                  <w:r>
                    <w:t>%</w:t>
                  </w:r>
                  <w:r>
                    <w:rPr>
                      <w:rFonts w:hint="eastAsia" w:cs="宋体"/>
                    </w:rPr>
                    <w:t>）</w:t>
                  </w:r>
                </w:p>
              </w:tc>
              <w:tc>
                <w:tcPr>
                  <w:tcW w:w="504"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是</w:t>
                  </w:r>
                </w:p>
              </w:tc>
              <w:tc>
                <w:tcPr>
                  <w:tcW w:w="5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0.88</w:t>
                  </w:r>
                </w:p>
              </w:tc>
              <w:tc>
                <w:tcPr>
                  <w:tcW w:w="492"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0.0022</w:t>
                  </w:r>
                </w:p>
              </w:tc>
              <w:tc>
                <w:tcPr>
                  <w:tcW w:w="5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0.0033</w:t>
                  </w:r>
                </w:p>
              </w:tc>
            </w:tr>
          </w:tbl>
          <w:p>
            <w:pPr>
              <w:tabs>
                <w:tab w:val="left" w:pos="851"/>
                <w:tab w:val="left" w:pos="1134"/>
                <w:tab w:val="left" w:pos="1276"/>
              </w:tabs>
              <w:adjustRightInd w:val="0"/>
              <w:snapToGrid w:val="0"/>
              <w:spacing w:line="360" w:lineRule="auto"/>
              <w:jc w:val="left"/>
              <w:rPr>
                <w:b/>
                <w:sz w:val="24"/>
              </w:rPr>
            </w:pPr>
            <w:r>
              <w:rPr>
                <w:rFonts w:hint="eastAsia"/>
                <w:b/>
                <w:bCs/>
                <w:sz w:val="24"/>
                <w:szCs w:val="24"/>
              </w:rPr>
              <w:t>（3）</w:t>
            </w:r>
            <w:r>
              <w:rPr>
                <w:rFonts w:hint="eastAsia"/>
                <w:b/>
                <w:sz w:val="24"/>
              </w:rPr>
              <w:t>本项目大气</w:t>
            </w:r>
            <w:r>
              <w:rPr>
                <w:b/>
                <w:sz w:val="24"/>
              </w:rPr>
              <w:t>污染物源强</w:t>
            </w:r>
            <w:r>
              <w:rPr>
                <w:rFonts w:hint="eastAsia"/>
                <w:b/>
                <w:sz w:val="24"/>
              </w:rPr>
              <w:t>核算</w:t>
            </w:r>
            <w:r>
              <w:rPr>
                <w:b/>
                <w:sz w:val="24"/>
              </w:rPr>
              <w:t>及排气筒设置情况</w:t>
            </w:r>
          </w:p>
          <w:p>
            <w:pPr>
              <w:tabs>
                <w:tab w:val="left" w:pos="851"/>
                <w:tab w:val="left" w:pos="1134"/>
                <w:tab w:val="left" w:pos="1276"/>
              </w:tabs>
              <w:spacing w:line="360" w:lineRule="auto"/>
              <w:jc w:val="center"/>
              <w:rPr>
                <w:rFonts w:cs="宋体"/>
                <w:b/>
                <w:bCs/>
                <w:szCs w:val="24"/>
              </w:rPr>
            </w:pPr>
            <w:r>
              <w:rPr>
                <w:rFonts w:cs="宋体"/>
                <w:b/>
                <w:bCs/>
                <w:szCs w:val="24"/>
              </w:rPr>
              <w:t>表4-</w:t>
            </w:r>
            <w:r>
              <w:rPr>
                <w:rFonts w:hint="eastAsia" w:cs="宋体"/>
                <w:b/>
                <w:bCs/>
                <w:szCs w:val="24"/>
              </w:rPr>
              <w:t>2 大气污染物有组织</w:t>
            </w:r>
            <w:r>
              <w:rPr>
                <w:rFonts w:cs="宋体"/>
                <w:b/>
                <w:bCs/>
                <w:szCs w:val="24"/>
              </w:rPr>
              <w:t>年度排放量核算表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1507"/>
              <w:gridCol w:w="23"/>
              <w:gridCol w:w="1544"/>
              <w:gridCol w:w="1628"/>
              <w:gridCol w:w="1842"/>
              <w:gridCol w:w="1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Align w:val="center"/>
                </w:tcPr>
                <w:p>
                  <w:pPr>
                    <w:pStyle w:val="135"/>
                    <w:rPr>
                      <w:sz w:val="21"/>
                      <w:szCs w:val="21"/>
                      <w:lang w:val="en-GB"/>
                    </w:rPr>
                  </w:pPr>
                  <w:r>
                    <w:rPr>
                      <w:sz w:val="21"/>
                      <w:szCs w:val="21"/>
                      <w:lang w:val="en-GB"/>
                    </w:rPr>
                    <w:t>序号</w:t>
                  </w:r>
                </w:p>
              </w:tc>
              <w:tc>
                <w:tcPr>
                  <w:tcW w:w="866" w:type="pct"/>
                  <w:gridSpan w:val="2"/>
                  <w:vAlign w:val="center"/>
                </w:tcPr>
                <w:p>
                  <w:pPr>
                    <w:pStyle w:val="135"/>
                    <w:rPr>
                      <w:sz w:val="21"/>
                      <w:szCs w:val="21"/>
                      <w:lang w:val="en-GB"/>
                    </w:rPr>
                  </w:pPr>
                  <w:r>
                    <w:rPr>
                      <w:sz w:val="21"/>
                      <w:szCs w:val="21"/>
                      <w:lang w:val="en-GB"/>
                    </w:rPr>
                    <w:t>排放口编号</w:t>
                  </w:r>
                </w:p>
              </w:tc>
              <w:tc>
                <w:tcPr>
                  <w:tcW w:w="874" w:type="pct"/>
                  <w:vAlign w:val="center"/>
                </w:tcPr>
                <w:p>
                  <w:pPr>
                    <w:pStyle w:val="135"/>
                    <w:rPr>
                      <w:sz w:val="21"/>
                      <w:szCs w:val="21"/>
                      <w:lang w:val="en-GB"/>
                    </w:rPr>
                  </w:pPr>
                  <w:r>
                    <w:rPr>
                      <w:sz w:val="21"/>
                      <w:szCs w:val="21"/>
                      <w:lang w:val="en-GB"/>
                    </w:rPr>
                    <w:t>污染物</w:t>
                  </w:r>
                </w:p>
              </w:tc>
              <w:tc>
                <w:tcPr>
                  <w:tcW w:w="922" w:type="pct"/>
                  <w:vAlign w:val="center"/>
                </w:tcPr>
                <w:p>
                  <w:pPr>
                    <w:pStyle w:val="135"/>
                    <w:rPr>
                      <w:sz w:val="21"/>
                      <w:szCs w:val="21"/>
                    </w:rPr>
                  </w:pPr>
                  <w:r>
                    <w:rPr>
                      <w:sz w:val="21"/>
                      <w:szCs w:val="21"/>
                      <w:lang w:val="en-GB"/>
                    </w:rPr>
                    <w:t>核算排放浓度</w:t>
                  </w:r>
                  <w:r>
                    <w:rPr>
                      <w:sz w:val="21"/>
                      <w:szCs w:val="21"/>
                    </w:rPr>
                    <w:t>（mg/m</w:t>
                  </w:r>
                  <w:r>
                    <w:rPr>
                      <w:sz w:val="21"/>
                      <w:szCs w:val="21"/>
                      <w:vertAlign w:val="superscript"/>
                    </w:rPr>
                    <w:t>3</w:t>
                  </w:r>
                  <w:r>
                    <w:rPr>
                      <w:sz w:val="21"/>
                      <w:szCs w:val="21"/>
                    </w:rPr>
                    <w:t>）</w:t>
                  </w:r>
                </w:p>
              </w:tc>
              <w:tc>
                <w:tcPr>
                  <w:tcW w:w="1043" w:type="pct"/>
                  <w:vAlign w:val="center"/>
                </w:tcPr>
                <w:p>
                  <w:pPr>
                    <w:pStyle w:val="135"/>
                    <w:rPr>
                      <w:sz w:val="21"/>
                      <w:szCs w:val="21"/>
                      <w:lang w:val="en-GB"/>
                    </w:rPr>
                  </w:pPr>
                  <w:r>
                    <w:rPr>
                      <w:sz w:val="21"/>
                      <w:szCs w:val="21"/>
                      <w:lang w:val="en-GB"/>
                    </w:rPr>
                    <w:t>核算排放速率（</w:t>
                  </w:r>
                  <w:r>
                    <w:rPr>
                      <w:sz w:val="21"/>
                      <w:szCs w:val="21"/>
                    </w:rPr>
                    <w:t>kg/h</w:t>
                  </w:r>
                  <w:r>
                    <w:rPr>
                      <w:sz w:val="21"/>
                      <w:szCs w:val="21"/>
                      <w:lang w:val="en-GB"/>
                    </w:rPr>
                    <w:t>）</w:t>
                  </w:r>
                </w:p>
              </w:tc>
              <w:tc>
                <w:tcPr>
                  <w:tcW w:w="926" w:type="pct"/>
                  <w:vAlign w:val="center"/>
                </w:tcPr>
                <w:p>
                  <w:pPr>
                    <w:pStyle w:val="135"/>
                    <w:rPr>
                      <w:sz w:val="21"/>
                      <w:szCs w:val="21"/>
                    </w:rPr>
                  </w:pPr>
                  <w:r>
                    <w:rPr>
                      <w:sz w:val="21"/>
                      <w:szCs w:val="21"/>
                      <w:lang w:val="en-GB"/>
                    </w:rPr>
                    <w:t>核算年排放量</w:t>
                  </w:r>
                  <w:r>
                    <w:rPr>
                      <w:sz w:val="21"/>
                      <w:szCs w:val="21"/>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7"/>
                  <w:vAlign w:val="center"/>
                </w:tcPr>
                <w:p>
                  <w:pPr>
                    <w:pStyle w:val="135"/>
                    <w:rPr>
                      <w:sz w:val="21"/>
                      <w:szCs w:val="21"/>
                    </w:rPr>
                  </w:pPr>
                  <w:r>
                    <w:rPr>
                      <w:rFonts w:hint="eastAsia"/>
                      <w:sz w:val="21"/>
                      <w:szCs w:val="21"/>
                    </w:rPr>
                    <w:t>一般排放口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Merge w:val="restart"/>
                  <w:vAlign w:val="center"/>
                </w:tcPr>
                <w:p>
                  <w:pPr>
                    <w:pStyle w:val="135"/>
                    <w:adjustRightInd w:val="0"/>
                    <w:rPr>
                      <w:sz w:val="21"/>
                      <w:szCs w:val="21"/>
                    </w:rPr>
                  </w:pPr>
                  <w:r>
                    <w:rPr>
                      <w:sz w:val="21"/>
                      <w:szCs w:val="21"/>
                    </w:rPr>
                    <w:t>1</w:t>
                  </w:r>
                </w:p>
              </w:tc>
              <w:tc>
                <w:tcPr>
                  <w:tcW w:w="866" w:type="pct"/>
                  <w:gridSpan w:val="2"/>
                  <w:vMerge w:val="restart"/>
                  <w:vAlign w:val="center"/>
                </w:tcPr>
                <w:p>
                  <w:pPr>
                    <w:pStyle w:val="135"/>
                    <w:adjustRightInd w:val="0"/>
                    <w:rPr>
                      <w:sz w:val="21"/>
                      <w:szCs w:val="21"/>
                    </w:rPr>
                  </w:pPr>
                  <w:r>
                    <w:rPr>
                      <w:rFonts w:hint="eastAsia"/>
                      <w:sz w:val="21"/>
                      <w:szCs w:val="21"/>
                    </w:rPr>
                    <w:t>DA001</w:t>
                  </w:r>
                </w:p>
              </w:tc>
              <w:tc>
                <w:tcPr>
                  <w:tcW w:w="874" w:type="pct"/>
                  <w:vAlign w:val="center"/>
                </w:tcPr>
                <w:p>
                  <w:pPr>
                    <w:jc w:val="center"/>
                  </w:pPr>
                  <w:r>
                    <w:rPr>
                      <w:rFonts w:hint="eastAsia"/>
                    </w:rPr>
                    <w:t>苯乙烯</w:t>
                  </w:r>
                </w:p>
              </w:tc>
              <w:tc>
                <w:tcPr>
                  <w:tcW w:w="922" w:type="pct"/>
                  <w:vAlign w:val="center"/>
                </w:tcPr>
                <w:p>
                  <w:pPr>
                    <w:pStyle w:val="135"/>
                    <w:adjustRightInd w:val="0"/>
                    <w:rPr>
                      <w:sz w:val="21"/>
                      <w:szCs w:val="21"/>
                    </w:rPr>
                  </w:pPr>
                  <w:r>
                    <w:rPr>
                      <w:rFonts w:hint="eastAsia"/>
                      <w:sz w:val="21"/>
                      <w:szCs w:val="21"/>
                    </w:rPr>
                    <w:t>0.37</w:t>
                  </w:r>
                </w:p>
              </w:tc>
              <w:tc>
                <w:tcPr>
                  <w:tcW w:w="1043" w:type="pct"/>
                  <w:vAlign w:val="center"/>
                </w:tcPr>
                <w:p>
                  <w:pPr>
                    <w:jc w:val="center"/>
                  </w:pPr>
                  <w:r>
                    <w:rPr>
                      <w:rFonts w:hint="eastAsia"/>
                    </w:rPr>
                    <w:t>0.01</w:t>
                  </w:r>
                </w:p>
              </w:tc>
              <w:tc>
                <w:tcPr>
                  <w:tcW w:w="926" w:type="pct"/>
                  <w:vAlign w:val="center"/>
                </w:tcPr>
                <w:p>
                  <w:pPr>
                    <w:pStyle w:val="135"/>
                    <w:adjustRightInd w:val="0"/>
                    <w:rPr>
                      <w:sz w:val="21"/>
                      <w:szCs w:val="21"/>
                    </w:rPr>
                  </w:pPr>
                  <w:r>
                    <w:rPr>
                      <w:rFonts w:hint="eastAsia"/>
                      <w:sz w:val="21"/>
                      <w:szCs w:val="21"/>
                    </w:rPr>
                    <w:t>0.027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Merge w:val="continue"/>
                  <w:vAlign w:val="center"/>
                </w:tcPr>
                <w:p>
                  <w:pPr>
                    <w:pStyle w:val="135"/>
                    <w:adjustRightInd w:val="0"/>
                    <w:rPr>
                      <w:sz w:val="21"/>
                      <w:szCs w:val="21"/>
                    </w:rPr>
                  </w:pPr>
                </w:p>
              </w:tc>
              <w:tc>
                <w:tcPr>
                  <w:tcW w:w="866" w:type="pct"/>
                  <w:gridSpan w:val="2"/>
                  <w:vMerge w:val="continue"/>
                  <w:vAlign w:val="center"/>
                </w:tcPr>
                <w:p>
                  <w:pPr>
                    <w:pStyle w:val="135"/>
                    <w:adjustRightInd w:val="0"/>
                    <w:rPr>
                      <w:sz w:val="21"/>
                      <w:szCs w:val="21"/>
                    </w:rPr>
                  </w:pPr>
                </w:p>
              </w:tc>
              <w:tc>
                <w:tcPr>
                  <w:tcW w:w="874" w:type="pct"/>
                  <w:vAlign w:val="center"/>
                </w:tcPr>
                <w:p>
                  <w:pPr>
                    <w:jc w:val="center"/>
                  </w:pPr>
                  <w:r>
                    <w:t>非甲烷总烃</w:t>
                  </w:r>
                </w:p>
              </w:tc>
              <w:tc>
                <w:tcPr>
                  <w:tcW w:w="922" w:type="pct"/>
                  <w:vAlign w:val="center"/>
                </w:tcPr>
                <w:p>
                  <w:pPr>
                    <w:pStyle w:val="135"/>
                    <w:adjustRightInd w:val="0"/>
                    <w:rPr>
                      <w:sz w:val="21"/>
                      <w:szCs w:val="21"/>
                    </w:rPr>
                  </w:pPr>
                  <w:r>
                    <w:rPr>
                      <w:rFonts w:hint="eastAsia"/>
                      <w:sz w:val="21"/>
                      <w:szCs w:val="21"/>
                    </w:rPr>
                    <w:t>30.47</w:t>
                  </w:r>
                </w:p>
              </w:tc>
              <w:tc>
                <w:tcPr>
                  <w:tcW w:w="1043" w:type="pct"/>
                  <w:vAlign w:val="center"/>
                </w:tcPr>
                <w:p>
                  <w:pPr>
                    <w:jc w:val="center"/>
                  </w:pPr>
                  <w:r>
                    <w:rPr>
                      <w:rFonts w:hint="eastAsia"/>
                    </w:rPr>
                    <w:t>0.91</w:t>
                  </w:r>
                </w:p>
              </w:tc>
              <w:tc>
                <w:tcPr>
                  <w:tcW w:w="926" w:type="pct"/>
                  <w:vAlign w:val="center"/>
                </w:tcPr>
                <w:p>
                  <w:pPr>
                    <w:pStyle w:val="135"/>
                    <w:adjustRightInd w:val="0"/>
                    <w:rPr>
                      <w:sz w:val="21"/>
                      <w:szCs w:val="21"/>
                    </w:rPr>
                  </w:pPr>
                  <w:r>
                    <w:rPr>
                      <w:rFonts w:hint="eastAsia"/>
                      <w:sz w:val="21"/>
                      <w:szCs w:val="21"/>
                    </w:rPr>
                    <w:t>2.19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Merge w:val="restart"/>
                  <w:vAlign w:val="center"/>
                </w:tcPr>
                <w:p>
                  <w:pPr>
                    <w:pStyle w:val="135"/>
                    <w:adjustRightInd w:val="0"/>
                    <w:rPr>
                      <w:sz w:val="21"/>
                      <w:szCs w:val="21"/>
                    </w:rPr>
                  </w:pPr>
                  <w:r>
                    <w:rPr>
                      <w:rFonts w:hint="eastAsia"/>
                      <w:sz w:val="21"/>
                      <w:szCs w:val="21"/>
                    </w:rPr>
                    <w:t>2</w:t>
                  </w:r>
                </w:p>
              </w:tc>
              <w:tc>
                <w:tcPr>
                  <w:tcW w:w="866" w:type="pct"/>
                  <w:gridSpan w:val="2"/>
                  <w:vMerge w:val="restart"/>
                  <w:vAlign w:val="center"/>
                </w:tcPr>
                <w:p>
                  <w:pPr>
                    <w:pStyle w:val="135"/>
                    <w:adjustRightInd w:val="0"/>
                    <w:rPr>
                      <w:sz w:val="21"/>
                      <w:szCs w:val="21"/>
                    </w:rPr>
                  </w:pPr>
                  <w:r>
                    <w:rPr>
                      <w:rFonts w:hint="eastAsia"/>
                      <w:sz w:val="21"/>
                      <w:szCs w:val="21"/>
                    </w:rPr>
                    <w:t>DA002</w:t>
                  </w:r>
                </w:p>
              </w:tc>
              <w:tc>
                <w:tcPr>
                  <w:tcW w:w="874" w:type="pct"/>
                  <w:vAlign w:val="center"/>
                </w:tcPr>
                <w:p>
                  <w:pPr>
                    <w:jc w:val="center"/>
                  </w:pPr>
                  <w:r>
                    <w:rPr>
                      <w:rFonts w:hint="eastAsia"/>
                    </w:rPr>
                    <w:t>苯乙烯</w:t>
                  </w:r>
                </w:p>
              </w:tc>
              <w:tc>
                <w:tcPr>
                  <w:tcW w:w="922" w:type="pct"/>
                  <w:vAlign w:val="center"/>
                </w:tcPr>
                <w:p>
                  <w:pPr>
                    <w:pStyle w:val="135"/>
                    <w:adjustRightInd w:val="0"/>
                    <w:rPr>
                      <w:sz w:val="21"/>
                      <w:szCs w:val="21"/>
                    </w:rPr>
                  </w:pPr>
                  <w:r>
                    <w:rPr>
                      <w:rFonts w:hint="eastAsia"/>
                      <w:sz w:val="21"/>
                      <w:szCs w:val="21"/>
                    </w:rPr>
                    <w:t>0.14</w:t>
                  </w:r>
                </w:p>
              </w:tc>
              <w:tc>
                <w:tcPr>
                  <w:tcW w:w="1043" w:type="pct"/>
                  <w:vAlign w:val="center"/>
                </w:tcPr>
                <w:p>
                  <w:pPr>
                    <w:jc w:val="center"/>
                  </w:pPr>
                  <w:r>
                    <w:rPr>
                      <w:rFonts w:hint="eastAsia"/>
                    </w:rPr>
                    <w:t>0.003</w:t>
                  </w:r>
                </w:p>
              </w:tc>
              <w:tc>
                <w:tcPr>
                  <w:tcW w:w="926" w:type="pct"/>
                  <w:vAlign w:val="center"/>
                </w:tcPr>
                <w:p>
                  <w:pPr>
                    <w:pStyle w:val="135"/>
                    <w:adjustRightInd w:val="0"/>
                    <w:rPr>
                      <w:sz w:val="21"/>
                      <w:szCs w:val="21"/>
                    </w:rPr>
                  </w:pPr>
                  <w:r>
                    <w:rPr>
                      <w:rFonts w:hint="eastAsia"/>
                      <w:sz w:val="21"/>
                      <w:szCs w:val="21"/>
                    </w:rPr>
                    <w:t>0.006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Merge w:val="continue"/>
                  <w:vAlign w:val="center"/>
                </w:tcPr>
                <w:p>
                  <w:pPr>
                    <w:pStyle w:val="135"/>
                    <w:adjustRightInd w:val="0"/>
                    <w:rPr>
                      <w:sz w:val="21"/>
                      <w:szCs w:val="21"/>
                    </w:rPr>
                  </w:pPr>
                </w:p>
              </w:tc>
              <w:tc>
                <w:tcPr>
                  <w:tcW w:w="866" w:type="pct"/>
                  <w:gridSpan w:val="2"/>
                  <w:vMerge w:val="continue"/>
                  <w:vAlign w:val="center"/>
                </w:tcPr>
                <w:p>
                  <w:pPr>
                    <w:pStyle w:val="135"/>
                    <w:adjustRightInd w:val="0"/>
                    <w:rPr>
                      <w:sz w:val="21"/>
                      <w:szCs w:val="21"/>
                    </w:rPr>
                  </w:pPr>
                </w:p>
              </w:tc>
              <w:tc>
                <w:tcPr>
                  <w:tcW w:w="874" w:type="pct"/>
                  <w:vAlign w:val="center"/>
                </w:tcPr>
                <w:p>
                  <w:pPr>
                    <w:jc w:val="center"/>
                  </w:pPr>
                  <w:r>
                    <w:t>非甲烷总烃</w:t>
                  </w:r>
                </w:p>
              </w:tc>
              <w:tc>
                <w:tcPr>
                  <w:tcW w:w="922" w:type="pct"/>
                  <w:vAlign w:val="center"/>
                </w:tcPr>
                <w:p>
                  <w:pPr>
                    <w:pStyle w:val="135"/>
                    <w:adjustRightInd w:val="0"/>
                    <w:rPr>
                      <w:sz w:val="21"/>
                      <w:szCs w:val="21"/>
                    </w:rPr>
                  </w:pPr>
                  <w:r>
                    <w:rPr>
                      <w:rFonts w:hint="eastAsia"/>
                      <w:sz w:val="21"/>
                      <w:szCs w:val="21"/>
                    </w:rPr>
                    <w:t>6.96</w:t>
                  </w:r>
                </w:p>
              </w:tc>
              <w:tc>
                <w:tcPr>
                  <w:tcW w:w="1043" w:type="pct"/>
                  <w:vAlign w:val="center"/>
                </w:tcPr>
                <w:p>
                  <w:pPr>
                    <w:jc w:val="center"/>
                  </w:pPr>
                  <w:r>
                    <w:rPr>
                      <w:rFonts w:hint="eastAsia"/>
                    </w:rPr>
                    <w:t>0.14</w:t>
                  </w:r>
                </w:p>
              </w:tc>
              <w:tc>
                <w:tcPr>
                  <w:tcW w:w="926" w:type="pct"/>
                  <w:vAlign w:val="center"/>
                </w:tcPr>
                <w:p>
                  <w:pPr>
                    <w:pStyle w:val="135"/>
                    <w:adjustRightInd w:val="0"/>
                    <w:rPr>
                      <w:sz w:val="21"/>
                      <w:szCs w:val="21"/>
                    </w:rPr>
                  </w:pPr>
                  <w:r>
                    <w:rPr>
                      <w:rFonts w:hint="eastAsia"/>
                      <w:sz w:val="21"/>
                      <w:szCs w:val="21"/>
                    </w:rPr>
                    <w:t>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Align w:val="center"/>
                </w:tcPr>
                <w:p>
                  <w:pPr>
                    <w:pStyle w:val="135"/>
                    <w:adjustRightInd w:val="0"/>
                    <w:rPr>
                      <w:sz w:val="21"/>
                      <w:szCs w:val="21"/>
                    </w:rPr>
                  </w:pPr>
                  <w:r>
                    <w:rPr>
                      <w:rFonts w:hint="eastAsia"/>
                      <w:sz w:val="21"/>
                      <w:szCs w:val="21"/>
                    </w:rPr>
                    <w:t>3</w:t>
                  </w:r>
                </w:p>
              </w:tc>
              <w:tc>
                <w:tcPr>
                  <w:tcW w:w="866" w:type="pct"/>
                  <w:gridSpan w:val="2"/>
                  <w:vAlign w:val="center"/>
                </w:tcPr>
                <w:p>
                  <w:pPr>
                    <w:pStyle w:val="135"/>
                    <w:adjustRightInd w:val="0"/>
                    <w:rPr>
                      <w:sz w:val="21"/>
                      <w:szCs w:val="21"/>
                    </w:rPr>
                  </w:pPr>
                  <w:r>
                    <w:rPr>
                      <w:rFonts w:hint="eastAsia"/>
                      <w:sz w:val="21"/>
                      <w:szCs w:val="21"/>
                    </w:rPr>
                    <w:t>DA003</w:t>
                  </w:r>
                </w:p>
              </w:tc>
              <w:tc>
                <w:tcPr>
                  <w:tcW w:w="874" w:type="pct"/>
                  <w:vAlign w:val="center"/>
                </w:tcPr>
                <w:p>
                  <w:pPr>
                    <w:jc w:val="center"/>
                  </w:pPr>
                  <w:r>
                    <w:rPr>
                      <w:rFonts w:hint="eastAsia"/>
                    </w:rPr>
                    <w:t>颗粒物</w:t>
                  </w:r>
                </w:p>
              </w:tc>
              <w:tc>
                <w:tcPr>
                  <w:tcW w:w="922" w:type="pct"/>
                  <w:vAlign w:val="center"/>
                </w:tcPr>
                <w:p>
                  <w:pPr>
                    <w:adjustRightInd w:val="0"/>
                    <w:snapToGrid w:val="0"/>
                    <w:jc w:val="center"/>
                  </w:pPr>
                  <w:r>
                    <w:rPr>
                      <w:rFonts w:hint="eastAsia"/>
                    </w:rPr>
                    <w:t>0.68</w:t>
                  </w:r>
                </w:p>
              </w:tc>
              <w:tc>
                <w:tcPr>
                  <w:tcW w:w="1043" w:type="pct"/>
                  <w:vAlign w:val="center"/>
                </w:tcPr>
                <w:p>
                  <w:pPr>
                    <w:jc w:val="center"/>
                  </w:pPr>
                  <w:r>
                    <w:rPr>
                      <w:rFonts w:hint="eastAsia"/>
                    </w:rPr>
                    <w:t>0.01</w:t>
                  </w:r>
                </w:p>
              </w:tc>
              <w:tc>
                <w:tcPr>
                  <w:tcW w:w="926" w:type="pct"/>
                  <w:vAlign w:val="center"/>
                </w:tcPr>
                <w:p>
                  <w:pPr>
                    <w:pStyle w:val="135"/>
                    <w:adjustRightInd w:val="0"/>
                    <w:rPr>
                      <w:sz w:val="21"/>
                      <w:szCs w:val="21"/>
                    </w:rPr>
                  </w:pPr>
                  <w:r>
                    <w:rPr>
                      <w:rFonts w:hint="eastAsia"/>
                      <w:sz w:val="21"/>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69" w:type="pct"/>
                  <w:vAlign w:val="center"/>
                </w:tcPr>
                <w:p>
                  <w:pPr>
                    <w:pStyle w:val="135"/>
                    <w:adjustRightInd w:val="0"/>
                    <w:rPr>
                      <w:sz w:val="21"/>
                      <w:szCs w:val="21"/>
                    </w:rPr>
                  </w:pPr>
                  <w:r>
                    <w:rPr>
                      <w:rFonts w:hint="eastAsia"/>
                      <w:sz w:val="21"/>
                      <w:szCs w:val="21"/>
                    </w:rPr>
                    <w:t>4</w:t>
                  </w:r>
                </w:p>
              </w:tc>
              <w:tc>
                <w:tcPr>
                  <w:tcW w:w="866" w:type="pct"/>
                  <w:gridSpan w:val="2"/>
                  <w:vAlign w:val="center"/>
                </w:tcPr>
                <w:p>
                  <w:pPr>
                    <w:pStyle w:val="135"/>
                    <w:adjustRightInd w:val="0"/>
                    <w:rPr>
                      <w:sz w:val="21"/>
                      <w:szCs w:val="21"/>
                    </w:rPr>
                  </w:pPr>
                  <w:r>
                    <w:rPr>
                      <w:rFonts w:hint="eastAsia"/>
                      <w:sz w:val="21"/>
                      <w:szCs w:val="21"/>
                    </w:rPr>
                    <w:t>DA004</w:t>
                  </w:r>
                </w:p>
              </w:tc>
              <w:tc>
                <w:tcPr>
                  <w:tcW w:w="874" w:type="pct"/>
                  <w:vAlign w:val="center"/>
                </w:tcPr>
                <w:p>
                  <w:pPr>
                    <w:jc w:val="center"/>
                  </w:pPr>
                  <w:r>
                    <w:rPr>
                      <w:rFonts w:hint="eastAsia"/>
                    </w:rPr>
                    <w:t>油烟</w:t>
                  </w:r>
                </w:p>
              </w:tc>
              <w:tc>
                <w:tcPr>
                  <w:tcW w:w="922" w:type="pct"/>
                  <w:vAlign w:val="center"/>
                </w:tcPr>
                <w:p>
                  <w:pPr>
                    <w:adjustRightInd w:val="0"/>
                    <w:snapToGrid w:val="0"/>
                    <w:jc w:val="center"/>
                  </w:pPr>
                  <w:r>
                    <w:rPr>
                      <w:rFonts w:hint="eastAsia"/>
                    </w:rPr>
                    <w:t>0.88</w:t>
                  </w:r>
                </w:p>
              </w:tc>
              <w:tc>
                <w:tcPr>
                  <w:tcW w:w="1043" w:type="pct"/>
                  <w:vAlign w:val="center"/>
                </w:tcPr>
                <w:p>
                  <w:pPr>
                    <w:jc w:val="center"/>
                  </w:pPr>
                  <w:r>
                    <w:rPr>
                      <w:rFonts w:hint="eastAsia"/>
                    </w:rPr>
                    <w:t>0.0022</w:t>
                  </w:r>
                </w:p>
              </w:tc>
              <w:tc>
                <w:tcPr>
                  <w:tcW w:w="926" w:type="pct"/>
                  <w:vAlign w:val="center"/>
                </w:tcPr>
                <w:p>
                  <w:pPr>
                    <w:pStyle w:val="135"/>
                    <w:adjustRightInd w:val="0"/>
                    <w:rPr>
                      <w:sz w:val="21"/>
                      <w:szCs w:val="21"/>
                    </w:rPr>
                  </w:pPr>
                  <w:r>
                    <w:rPr>
                      <w:rFonts w:hint="eastAsia"/>
                      <w:sz w:val="21"/>
                      <w:szCs w:val="21"/>
                    </w:rPr>
                    <w:t>0.0033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35" w:type="pct"/>
                  <w:gridSpan w:val="3"/>
                  <w:vMerge w:val="restart"/>
                  <w:vAlign w:val="center"/>
                </w:tcPr>
                <w:p>
                  <w:pPr>
                    <w:pStyle w:val="135"/>
                    <w:adjustRightInd w:val="0"/>
                    <w:rPr>
                      <w:sz w:val="21"/>
                      <w:szCs w:val="21"/>
                    </w:rPr>
                  </w:pPr>
                  <w:r>
                    <w:rPr>
                      <w:rFonts w:hint="eastAsia"/>
                      <w:sz w:val="21"/>
                      <w:szCs w:val="21"/>
                    </w:rPr>
                    <w:t>一般排放口合计</w:t>
                  </w:r>
                </w:p>
              </w:tc>
              <w:tc>
                <w:tcPr>
                  <w:tcW w:w="2839" w:type="pct"/>
                  <w:gridSpan w:val="3"/>
                  <w:vAlign w:val="center"/>
                </w:tcPr>
                <w:p>
                  <w:pPr>
                    <w:jc w:val="center"/>
                  </w:pPr>
                  <w:r>
                    <w:rPr>
                      <w:rFonts w:hint="eastAsia"/>
                    </w:rPr>
                    <w:t>非甲烷总烃</w:t>
                  </w:r>
                </w:p>
              </w:tc>
              <w:tc>
                <w:tcPr>
                  <w:tcW w:w="926" w:type="pct"/>
                  <w:vAlign w:val="center"/>
                </w:tcPr>
                <w:p>
                  <w:pPr>
                    <w:pStyle w:val="135"/>
                    <w:adjustRightInd w:val="0"/>
                    <w:rPr>
                      <w:sz w:val="21"/>
                      <w:szCs w:val="21"/>
                    </w:rPr>
                  </w:pPr>
                  <w:r>
                    <w:rPr>
                      <w:rFonts w:hint="eastAsia"/>
                      <w:sz w:val="21"/>
                      <w:szCs w:val="21"/>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35" w:type="pct"/>
                  <w:gridSpan w:val="3"/>
                  <w:vMerge w:val="continue"/>
                  <w:vAlign w:val="center"/>
                </w:tcPr>
                <w:p>
                  <w:pPr>
                    <w:pStyle w:val="135"/>
                    <w:adjustRightInd w:val="0"/>
                    <w:rPr>
                      <w:sz w:val="21"/>
                      <w:szCs w:val="21"/>
                    </w:rPr>
                  </w:pPr>
                </w:p>
              </w:tc>
              <w:tc>
                <w:tcPr>
                  <w:tcW w:w="2839" w:type="pct"/>
                  <w:gridSpan w:val="3"/>
                  <w:vAlign w:val="center"/>
                </w:tcPr>
                <w:p>
                  <w:pPr>
                    <w:jc w:val="center"/>
                  </w:pPr>
                  <w:r>
                    <w:rPr>
                      <w:rFonts w:hint="eastAsia"/>
                    </w:rPr>
                    <w:t>苯乙烯</w:t>
                  </w:r>
                </w:p>
              </w:tc>
              <w:tc>
                <w:tcPr>
                  <w:tcW w:w="926" w:type="pct"/>
                  <w:vAlign w:val="center"/>
                </w:tcPr>
                <w:p>
                  <w:pPr>
                    <w:pStyle w:val="135"/>
                    <w:adjustRightInd w:val="0"/>
                    <w:rPr>
                      <w:sz w:val="21"/>
                      <w:szCs w:val="21"/>
                    </w:rPr>
                  </w:pPr>
                  <w:r>
                    <w:rPr>
                      <w:rFonts w:hint="eastAsia"/>
                      <w:sz w:val="21"/>
                      <w:szCs w:val="21"/>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35" w:type="pct"/>
                  <w:gridSpan w:val="3"/>
                  <w:vMerge w:val="continue"/>
                  <w:vAlign w:val="center"/>
                </w:tcPr>
                <w:p>
                  <w:pPr>
                    <w:pStyle w:val="135"/>
                    <w:adjustRightInd w:val="0"/>
                    <w:rPr>
                      <w:sz w:val="21"/>
                      <w:szCs w:val="21"/>
                    </w:rPr>
                  </w:pPr>
                </w:p>
              </w:tc>
              <w:tc>
                <w:tcPr>
                  <w:tcW w:w="2839" w:type="pct"/>
                  <w:gridSpan w:val="3"/>
                  <w:vAlign w:val="center"/>
                </w:tcPr>
                <w:p>
                  <w:pPr>
                    <w:jc w:val="center"/>
                  </w:pPr>
                  <w:r>
                    <w:rPr>
                      <w:rFonts w:hint="eastAsia"/>
                    </w:rPr>
                    <w:t>颗粒物</w:t>
                  </w:r>
                </w:p>
              </w:tc>
              <w:tc>
                <w:tcPr>
                  <w:tcW w:w="926" w:type="pct"/>
                  <w:vAlign w:val="center"/>
                </w:tcPr>
                <w:p>
                  <w:pPr>
                    <w:pStyle w:val="135"/>
                    <w:adjustRightInd w:val="0"/>
                    <w:rPr>
                      <w:sz w:val="21"/>
                      <w:szCs w:val="21"/>
                    </w:rPr>
                  </w:pPr>
                  <w:r>
                    <w:rPr>
                      <w:rFonts w:hint="eastAsia"/>
                      <w:sz w:val="21"/>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35" w:type="pct"/>
                  <w:gridSpan w:val="3"/>
                  <w:vMerge w:val="continue"/>
                  <w:vAlign w:val="center"/>
                </w:tcPr>
                <w:p>
                  <w:pPr>
                    <w:pStyle w:val="135"/>
                    <w:adjustRightInd w:val="0"/>
                    <w:rPr>
                      <w:sz w:val="21"/>
                      <w:szCs w:val="21"/>
                    </w:rPr>
                  </w:pPr>
                </w:p>
              </w:tc>
              <w:tc>
                <w:tcPr>
                  <w:tcW w:w="2839" w:type="pct"/>
                  <w:gridSpan w:val="3"/>
                  <w:vAlign w:val="center"/>
                </w:tcPr>
                <w:p>
                  <w:pPr>
                    <w:jc w:val="center"/>
                  </w:pPr>
                  <w:r>
                    <w:rPr>
                      <w:rFonts w:hint="eastAsia"/>
                    </w:rPr>
                    <w:t>油烟</w:t>
                  </w:r>
                </w:p>
              </w:tc>
              <w:tc>
                <w:tcPr>
                  <w:tcW w:w="926" w:type="pct"/>
                  <w:vAlign w:val="center"/>
                </w:tcPr>
                <w:p>
                  <w:pPr>
                    <w:pStyle w:val="135"/>
                    <w:adjustRightInd w:val="0"/>
                    <w:rPr>
                      <w:sz w:val="21"/>
                      <w:szCs w:val="21"/>
                    </w:rPr>
                  </w:pPr>
                  <w:r>
                    <w:rPr>
                      <w:rFonts w:hint="eastAsia" w:cs="宋体"/>
                      <w:sz w:val="21"/>
                      <w:szCs w:val="21"/>
                    </w:rPr>
                    <w:t>0.0033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000" w:type="pct"/>
                  <w:gridSpan w:val="7"/>
                  <w:vAlign w:val="center"/>
                </w:tcPr>
                <w:p>
                  <w:pPr>
                    <w:pStyle w:val="135"/>
                    <w:adjustRightInd w:val="0"/>
                    <w:rPr>
                      <w:sz w:val="21"/>
                      <w:szCs w:val="21"/>
                    </w:rPr>
                  </w:pPr>
                  <w:r>
                    <w:rPr>
                      <w:rFonts w:hint="eastAsia"/>
                      <w:sz w:val="21"/>
                      <w:szCs w:val="21"/>
                    </w:rPr>
                    <w:t>有组织排放总计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2" w:type="pct"/>
                  <w:gridSpan w:val="2"/>
                  <w:vMerge w:val="restart"/>
                  <w:vAlign w:val="center"/>
                </w:tcPr>
                <w:p>
                  <w:pPr>
                    <w:jc w:val="center"/>
                  </w:pPr>
                  <w:r>
                    <w:t>有组织排放总计</w:t>
                  </w:r>
                </w:p>
              </w:tc>
              <w:tc>
                <w:tcPr>
                  <w:tcW w:w="2852" w:type="pct"/>
                  <w:gridSpan w:val="4"/>
                  <w:vAlign w:val="center"/>
                </w:tcPr>
                <w:p>
                  <w:pPr>
                    <w:jc w:val="center"/>
                  </w:pPr>
                  <w:r>
                    <w:rPr>
                      <w:rFonts w:hint="eastAsia"/>
                    </w:rPr>
                    <w:t>非甲烷总烃</w:t>
                  </w:r>
                </w:p>
              </w:tc>
              <w:tc>
                <w:tcPr>
                  <w:tcW w:w="926" w:type="pct"/>
                  <w:vAlign w:val="center"/>
                </w:tcPr>
                <w:p>
                  <w:pPr>
                    <w:pStyle w:val="135"/>
                    <w:adjustRightInd w:val="0"/>
                    <w:rPr>
                      <w:sz w:val="21"/>
                      <w:szCs w:val="21"/>
                    </w:rPr>
                  </w:pPr>
                  <w:r>
                    <w:rPr>
                      <w:rFonts w:hint="eastAsia"/>
                      <w:sz w:val="21"/>
                      <w:szCs w:val="21"/>
                    </w:rPr>
                    <w:t>2.52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2" w:type="pct"/>
                  <w:gridSpan w:val="2"/>
                  <w:vMerge w:val="continue"/>
                  <w:vAlign w:val="center"/>
                </w:tcPr>
                <w:p>
                  <w:pPr>
                    <w:jc w:val="center"/>
                  </w:pPr>
                </w:p>
              </w:tc>
              <w:tc>
                <w:tcPr>
                  <w:tcW w:w="2852" w:type="pct"/>
                  <w:gridSpan w:val="4"/>
                  <w:vAlign w:val="center"/>
                </w:tcPr>
                <w:p>
                  <w:pPr>
                    <w:jc w:val="center"/>
                  </w:pPr>
                  <w:r>
                    <w:rPr>
                      <w:rFonts w:hint="eastAsia"/>
                    </w:rPr>
                    <w:t>苯乙烯</w:t>
                  </w:r>
                </w:p>
              </w:tc>
              <w:tc>
                <w:tcPr>
                  <w:tcW w:w="926" w:type="pct"/>
                  <w:vAlign w:val="center"/>
                </w:tcPr>
                <w:p>
                  <w:pPr>
                    <w:pStyle w:val="135"/>
                    <w:adjustRightInd w:val="0"/>
                    <w:rPr>
                      <w:sz w:val="21"/>
                      <w:szCs w:val="21"/>
                    </w:rPr>
                  </w:pPr>
                  <w:r>
                    <w:rPr>
                      <w:rFonts w:hint="eastAsia"/>
                      <w:sz w:val="21"/>
                      <w:szCs w:val="21"/>
                    </w:rPr>
                    <w:t>0.033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2" w:type="pct"/>
                  <w:gridSpan w:val="2"/>
                  <w:vMerge w:val="continue"/>
                  <w:vAlign w:val="center"/>
                </w:tcPr>
                <w:p>
                  <w:pPr>
                    <w:jc w:val="center"/>
                  </w:pPr>
                </w:p>
              </w:tc>
              <w:tc>
                <w:tcPr>
                  <w:tcW w:w="2852" w:type="pct"/>
                  <w:gridSpan w:val="4"/>
                  <w:vAlign w:val="center"/>
                </w:tcPr>
                <w:p>
                  <w:pPr>
                    <w:jc w:val="center"/>
                  </w:pPr>
                  <w:r>
                    <w:rPr>
                      <w:rFonts w:hint="eastAsia"/>
                    </w:rPr>
                    <w:t>颗粒物</w:t>
                  </w:r>
                </w:p>
              </w:tc>
              <w:tc>
                <w:tcPr>
                  <w:tcW w:w="926" w:type="pct"/>
                  <w:vAlign w:val="center"/>
                </w:tcPr>
                <w:p>
                  <w:pPr>
                    <w:pStyle w:val="135"/>
                    <w:adjustRightInd w:val="0"/>
                    <w:rPr>
                      <w:sz w:val="21"/>
                      <w:szCs w:val="21"/>
                    </w:rPr>
                  </w:pPr>
                  <w:r>
                    <w:rPr>
                      <w:rFonts w:hint="eastAsia"/>
                      <w:sz w:val="21"/>
                      <w:szCs w:val="21"/>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222" w:type="pct"/>
                  <w:gridSpan w:val="2"/>
                  <w:vMerge w:val="continue"/>
                  <w:vAlign w:val="center"/>
                </w:tcPr>
                <w:p>
                  <w:pPr>
                    <w:jc w:val="center"/>
                  </w:pPr>
                </w:p>
              </w:tc>
              <w:tc>
                <w:tcPr>
                  <w:tcW w:w="2852" w:type="pct"/>
                  <w:gridSpan w:val="4"/>
                  <w:vAlign w:val="center"/>
                </w:tcPr>
                <w:p>
                  <w:pPr>
                    <w:jc w:val="center"/>
                  </w:pPr>
                  <w:r>
                    <w:rPr>
                      <w:rFonts w:hint="eastAsia"/>
                    </w:rPr>
                    <w:t>油烟</w:t>
                  </w:r>
                </w:p>
              </w:tc>
              <w:tc>
                <w:tcPr>
                  <w:tcW w:w="926" w:type="pct"/>
                  <w:vAlign w:val="center"/>
                </w:tcPr>
                <w:p>
                  <w:pPr>
                    <w:pStyle w:val="135"/>
                    <w:adjustRightInd w:val="0"/>
                    <w:rPr>
                      <w:sz w:val="21"/>
                      <w:szCs w:val="21"/>
                    </w:rPr>
                  </w:pPr>
                  <w:r>
                    <w:rPr>
                      <w:rFonts w:hint="eastAsia"/>
                      <w:sz w:val="21"/>
                      <w:szCs w:val="21"/>
                    </w:rPr>
                    <w:t>0.0033</w:t>
                  </w:r>
                </w:p>
              </w:tc>
            </w:tr>
          </w:tbl>
          <w:p>
            <w:pPr>
              <w:tabs>
                <w:tab w:val="left" w:pos="851"/>
                <w:tab w:val="left" w:pos="1134"/>
                <w:tab w:val="left" w:pos="1276"/>
              </w:tabs>
              <w:spacing w:line="360" w:lineRule="auto"/>
              <w:jc w:val="center"/>
              <w:rPr>
                <w:rFonts w:cs="宋体"/>
                <w:b/>
                <w:bCs/>
                <w:szCs w:val="24"/>
              </w:rPr>
            </w:pPr>
            <w:r>
              <w:rPr>
                <w:rFonts w:cs="宋体"/>
                <w:b/>
                <w:bCs/>
                <w:szCs w:val="24"/>
              </w:rPr>
              <w:t>表4-</w:t>
            </w:r>
            <w:r>
              <w:rPr>
                <w:rFonts w:hint="eastAsia" w:cs="宋体"/>
                <w:b/>
                <w:bCs/>
                <w:szCs w:val="24"/>
              </w:rPr>
              <w:t>3 大气污染物无</w:t>
            </w:r>
            <w:r>
              <w:rPr>
                <w:rFonts w:cs="宋体"/>
                <w:b/>
                <w:bCs/>
                <w:szCs w:val="24"/>
              </w:rPr>
              <w:t>组织排放</w:t>
            </w:r>
            <w:r>
              <w:rPr>
                <w:rFonts w:hint="eastAsia" w:cs="宋体"/>
                <w:b/>
                <w:bCs/>
                <w:szCs w:val="24"/>
              </w:rPr>
              <w:t>量核算表</w:t>
            </w:r>
          </w:p>
          <w:tbl>
            <w:tblPr>
              <w:tblStyle w:val="36"/>
              <w:tblW w:w="88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7"/>
              <w:gridCol w:w="1245"/>
              <w:gridCol w:w="1174"/>
              <w:gridCol w:w="216"/>
              <w:gridCol w:w="3266"/>
              <w:gridCol w:w="938"/>
              <w:gridCol w:w="259"/>
              <w:gridCol w:w="8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7" w:type="dxa"/>
                  <w:vMerge w:val="restart"/>
                  <w:vAlign w:val="center"/>
                </w:tcPr>
                <w:p>
                  <w:pPr>
                    <w:adjustRightInd w:val="0"/>
                    <w:snapToGrid w:val="0"/>
                    <w:jc w:val="center"/>
                    <w:rPr>
                      <w:bCs/>
                    </w:rPr>
                  </w:pPr>
                  <w:r>
                    <w:rPr>
                      <w:rFonts w:hint="eastAsia"/>
                      <w:bCs/>
                    </w:rPr>
                    <w:t>产污环节</w:t>
                  </w:r>
                </w:p>
              </w:tc>
              <w:tc>
                <w:tcPr>
                  <w:tcW w:w="1245" w:type="dxa"/>
                  <w:vMerge w:val="restart"/>
                  <w:vAlign w:val="center"/>
                </w:tcPr>
                <w:p>
                  <w:pPr>
                    <w:adjustRightInd w:val="0"/>
                    <w:snapToGrid w:val="0"/>
                    <w:jc w:val="center"/>
                    <w:rPr>
                      <w:bCs/>
                    </w:rPr>
                  </w:pPr>
                  <w:r>
                    <w:rPr>
                      <w:rFonts w:hint="eastAsia"/>
                      <w:bCs/>
                    </w:rPr>
                    <w:t>污染物</w:t>
                  </w:r>
                </w:p>
              </w:tc>
              <w:tc>
                <w:tcPr>
                  <w:tcW w:w="1174" w:type="dxa"/>
                  <w:vMerge w:val="restart"/>
                  <w:vAlign w:val="center"/>
                </w:tcPr>
                <w:p>
                  <w:pPr>
                    <w:adjustRightInd w:val="0"/>
                    <w:snapToGrid w:val="0"/>
                    <w:jc w:val="center"/>
                    <w:rPr>
                      <w:bCs/>
                    </w:rPr>
                  </w:pPr>
                  <w:r>
                    <w:rPr>
                      <w:rFonts w:hint="eastAsia"/>
                      <w:bCs/>
                    </w:rPr>
                    <w:t>主要污染防治措施</w:t>
                  </w:r>
                </w:p>
              </w:tc>
              <w:tc>
                <w:tcPr>
                  <w:tcW w:w="4679" w:type="dxa"/>
                  <w:gridSpan w:val="4"/>
                  <w:vAlign w:val="center"/>
                </w:tcPr>
                <w:p>
                  <w:pPr>
                    <w:adjustRightInd w:val="0"/>
                    <w:snapToGrid w:val="0"/>
                    <w:jc w:val="center"/>
                    <w:rPr>
                      <w:bCs/>
                    </w:rPr>
                  </w:pPr>
                  <w:r>
                    <w:rPr>
                      <w:rFonts w:hint="eastAsia"/>
                      <w:bCs/>
                    </w:rPr>
                    <w:t>国家或地方污染物排放标准</w:t>
                  </w:r>
                </w:p>
              </w:tc>
              <w:tc>
                <w:tcPr>
                  <w:tcW w:w="886" w:type="dxa"/>
                  <w:vMerge w:val="restart"/>
                  <w:vAlign w:val="center"/>
                </w:tcPr>
                <w:p>
                  <w:pPr>
                    <w:adjustRightInd w:val="0"/>
                    <w:snapToGrid w:val="0"/>
                    <w:jc w:val="center"/>
                  </w:pPr>
                  <w:r>
                    <w:rPr>
                      <w:lang w:val="en-GB"/>
                    </w:rPr>
                    <w:t>年排放量</w:t>
                  </w:r>
                  <w: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7" w:type="dxa"/>
                  <w:vMerge w:val="continue"/>
                  <w:vAlign w:val="center"/>
                </w:tcPr>
                <w:p>
                  <w:pPr>
                    <w:adjustRightInd w:val="0"/>
                    <w:snapToGrid w:val="0"/>
                    <w:jc w:val="center"/>
                    <w:rPr>
                      <w:bCs/>
                    </w:rPr>
                  </w:pPr>
                </w:p>
              </w:tc>
              <w:tc>
                <w:tcPr>
                  <w:tcW w:w="1245" w:type="dxa"/>
                  <w:vMerge w:val="continue"/>
                  <w:vAlign w:val="center"/>
                </w:tcPr>
                <w:p>
                  <w:pPr>
                    <w:adjustRightInd w:val="0"/>
                    <w:snapToGrid w:val="0"/>
                    <w:jc w:val="center"/>
                    <w:rPr>
                      <w:bCs/>
                    </w:rPr>
                  </w:pPr>
                </w:p>
              </w:tc>
              <w:tc>
                <w:tcPr>
                  <w:tcW w:w="1174" w:type="dxa"/>
                  <w:vMerge w:val="continue"/>
                  <w:vAlign w:val="center"/>
                </w:tcPr>
                <w:p>
                  <w:pPr>
                    <w:adjustRightInd w:val="0"/>
                    <w:snapToGrid w:val="0"/>
                    <w:jc w:val="center"/>
                    <w:rPr>
                      <w:bCs/>
                    </w:rPr>
                  </w:pPr>
                </w:p>
              </w:tc>
              <w:tc>
                <w:tcPr>
                  <w:tcW w:w="3482" w:type="dxa"/>
                  <w:gridSpan w:val="2"/>
                  <w:vAlign w:val="center"/>
                </w:tcPr>
                <w:p>
                  <w:pPr>
                    <w:adjustRightInd w:val="0"/>
                    <w:snapToGrid w:val="0"/>
                    <w:jc w:val="center"/>
                    <w:rPr>
                      <w:bCs/>
                    </w:rPr>
                  </w:pPr>
                  <w:r>
                    <w:rPr>
                      <w:rFonts w:hint="eastAsia"/>
                      <w:bCs/>
                    </w:rPr>
                    <w:t>标准名称</w:t>
                  </w:r>
                </w:p>
              </w:tc>
              <w:tc>
                <w:tcPr>
                  <w:tcW w:w="1197" w:type="dxa"/>
                  <w:gridSpan w:val="2"/>
                  <w:vAlign w:val="center"/>
                </w:tcPr>
                <w:p>
                  <w:pPr>
                    <w:adjustRightInd w:val="0"/>
                    <w:snapToGrid w:val="0"/>
                    <w:jc w:val="center"/>
                    <w:rPr>
                      <w:bCs/>
                    </w:rPr>
                  </w:pPr>
                  <w:r>
                    <w:rPr>
                      <w:rFonts w:hint="eastAsia"/>
                      <w:bCs/>
                    </w:rPr>
                    <w:t>浓度限值</w:t>
                  </w:r>
                  <w:r>
                    <w:rPr>
                      <w:bCs/>
                    </w:rPr>
                    <w:t>（mg/m</w:t>
                  </w:r>
                  <w:r>
                    <w:rPr>
                      <w:bCs/>
                      <w:vertAlign w:val="superscript"/>
                    </w:rPr>
                    <w:t>3</w:t>
                  </w:r>
                  <w:r>
                    <w:rPr>
                      <w:bCs/>
                    </w:rPr>
                    <w:t>）</w:t>
                  </w:r>
                </w:p>
              </w:tc>
              <w:tc>
                <w:tcPr>
                  <w:tcW w:w="886" w:type="dxa"/>
                  <w:vMerge w:val="continue"/>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7" w:type="dxa"/>
                  <w:vMerge w:val="restart"/>
                  <w:vAlign w:val="center"/>
                </w:tcPr>
                <w:p>
                  <w:pPr>
                    <w:adjustRightInd w:val="0"/>
                    <w:snapToGrid w:val="0"/>
                    <w:jc w:val="center"/>
                  </w:pPr>
                  <w:r>
                    <w:rPr>
                      <w:rFonts w:hint="eastAsia"/>
                    </w:rPr>
                    <w:t>封头制作区、罐体制作区</w:t>
                  </w:r>
                </w:p>
              </w:tc>
              <w:tc>
                <w:tcPr>
                  <w:tcW w:w="1245" w:type="dxa"/>
                  <w:vMerge w:val="restart"/>
                  <w:vAlign w:val="center"/>
                </w:tcPr>
                <w:p>
                  <w:pPr>
                    <w:adjustRightInd w:val="0"/>
                    <w:snapToGrid w:val="0"/>
                    <w:jc w:val="center"/>
                  </w:pPr>
                  <w:r>
                    <w:rPr>
                      <w:rFonts w:hint="eastAsia"/>
                    </w:rPr>
                    <w:t>非甲烷总烃</w:t>
                  </w:r>
                </w:p>
              </w:tc>
              <w:tc>
                <w:tcPr>
                  <w:tcW w:w="1174" w:type="dxa"/>
                  <w:vMerge w:val="restart"/>
                  <w:vAlign w:val="center"/>
                </w:tcPr>
                <w:p>
                  <w:pPr>
                    <w:adjustRightInd w:val="0"/>
                    <w:snapToGrid w:val="0"/>
                    <w:jc w:val="center"/>
                  </w:pPr>
                  <w:r>
                    <w:rPr>
                      <w:rFonts w:hint="eastAsia"/>
                    </w:rPr>
                    <w:t>原料包装桶带盖密封，原料密闭管道输送、车间加强通风</w:t>
                  </w:r>
                </w:p>
              </w:tc>
              <w:tc>
                <w:tcPr>
                  <w:tcW w:w="3482" w:type="dxa"/>
                  <w:gridSpan w:val="2"/>
                  <w:vAlign w:val="center"/>
                </w:tcPr>
                <w:p>
                  <w:pPr>
                    <w:adjustRightInd w:val="0"/>
                    <w:snapToGrid w:val="0"/>
                    <w:jc w:val="center"/>
                  </w:pPr>
                  <w:r>
                    <w:rPr>
                      <w:rFonts w:hint="eastAsia"/>
                    </w:rPr>
                    <w:t>《合成树脂工业污染物排放标准》（GB31572-2015）中表9企业边界大气污染物浓度限值</w:t>
                  </w:r>
                </w:p>
              </w:tc>
              <w:tc>
                <w:tcPr>
                  <w:tcW w:w="1197" w:type="dxa"/>
                  <w:gridSpan w:val="2"/>
                  <w:vAlign w:val="center"/>
                </w:tcPr>
                <w:p>
                  <w:pPr>
                    <w:adjustRightInd w:val="0"/>
                    <w:snapToGrid w:val="0"/>
                    <w:jc w:val="center"/>
                  </w:pPr>
                  <w:r>
                    <w:rPr>
                      <w:rFonts w:hint="eastAsia"/>
                    </w:rPr>
                    <w:t>4.0</w:t>
                  </w:r>
                </w:p>
              </w:tc>
              <w:tc>
                <w:tcPr>
                  <w:tcW w:w="886" w:type="dxa"/>
                  <w:vMerge w:val="restart"/>
                  <w:vAlign w:val="center"/>
                </w:tcPr>
                <w:p>
                  <w:pPr>
                    <w:adjustRightInd w:val="0"/>
                    <w:snapToGrid w:val="0"/>
                    <w:jc w:val="center"/>
                  </w:pPr>
                  <w:r>
                    <w:rPr>
                      <w:rFonts w:hint="eastAsia"/>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47" w:type="dxa"/>
                  <w:vMerge w:val="continue"/>
                  <w:vAlign w:val="center"/>
                </w:tcPr>
                <w:p>
                  <w:pPr>
                    <w:adjustRightInd w:val="0"/>
                    <w:snapToGrid w:val="0"/>
                    <w:jc w:val="center"/>
                  </w:pPr>
                </w:p>
              </w:tc>
              <w:tc>
                <w:tcPr>
                  <w:tcW w:w="1245" w:type="dxa"/>
                  <w:vMerge w:val="continue"/>
                  <w:vAlign w:val="center"/>
                </w:tcPr>
                <w:p>
                  <w:pPr>
                    <w:adjustRightInd w:val="0"/>
                    <w:snapToGrid w:val="0"/>
                    <w:jc w:val="center"/>
                  </w:pPr>
                </w:p>
              </w:tc>
              <w:tc>
                <w:tcPr>
                  <w:tcW w:w="1174" w:type="dxa"/>
                  <w:vMerge w:val="continue"/>
                  <w:vAlign w:val="center"/>
                </w:tcPr>
                <w:p>
                  <w:pPr>
                    <w:adjustRightInd w:val="0"/>
                    <w:snapToGrid w:val="0"/>
                    <w:jc w:val="center"/>
                  </w:pPr>
                </w:p>
              </w:tc>
              <w:tc>
                <w:tcPr>
                  <w:tcW w:w="3482" w:type="dxa"/>
                  <w:gridSpan w:val="2"/>
                  <w:vAlign w:val="center"/>
                </w:tcPr>
                <w:p>
                  <w:pPr>
                    <w:adjustRightInd w:val="0"/>
                    <w:snapToGrid w:val="0"/>
                    <w:jc w:val="center"/>
                  </w:pPr>
                  <w:r>
                    <w:rPr>
                      <w:rFonts w:hint="eastAsia"/>
                    </w:rPr>
                    <w:t>《挥发性有机物无组织排放控制标准》（GB37822-2019）表A.1特别排放限值</w:t>
                  </w:r>
                </w:p>
              </w:tc>
              <w:tc>
                <w:tcPr>
                  <w:tcW w:w="1197" w:type="dxa"/>
                  <w:gridSpan w:val="2"/>
                  <w:vAlign w:val="center"/>
                </w:tcPr>
                <w:p>
                  <w:pPr>
                    <w:adjustRightInd w:val="0"/>
                    <w:snapToGrid w:val="0"/>
                    <w:jc w:val="center"/>
                  </w:pPr>
                  <w:r>
                    <w:rPr>
                      <w:rFonts w:hint="eastAsia"/>
                    </w:rPr>
                    <w:t>6.0</w:t>
                  </w:r>
                </w:p>
              </w:tc>
              <w:tc>
                <w:tcPr>
                  <w:tcW w:w="886" w:type="dxa"/>
                  <w:vMerge w:val="continue"/>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847" w:type="dxa"/>
                  <w:vMerge w:val="continue"/>
                  <w:vAlign w:val="center"/>
                </w:tcPr>
                <w:p>
                  <w:pPr>
                    <w:adjustRightInd w:val="0"/>
                    <w:snapToGrid w:val="0"/>
                    <w:jc w:val="center"/>
                  </w:pPr>
                </w:p>
              </w:tc>
              <w:tc>
                <w:tcPr>
                  <w:tcW w:w="1245" w:type="dxa"/>
                  <w:vAlign w:val="center"/>
                </w:tcPr>
                <w:p>
                  <w:pPr>
                    <w:adjustRightInd w:val="0"/>
                    <w:snapToGrid w:val="0"/>
                    <w:jc w:val="center"/>
                  </w:pPr>
                  <w:r>
                    <w:rPr>
                      <w:rFonts w:hint="eastAsia"/>
                    </w:rPr>
                    <w:t>苯乙烯</w:t>
                  </w:r>
                </w:p>
              </w:tc>
              <w:tc>
                <w:tcPr>
                  <w:tcW w:w="1174" w:type="dxa"/>
                  <w:vMerge w:val="continue"/>
                  <w:vAlign w:val="center"/>
                </w:tcPr>
                <w:p>
                  <w:pPr>
                    <w:adjustRightInd w:val="0"/>
                    <w:snapToGrid w:val="0"/>
                    <w:jc w:val="center"/>
                  </w:pPr>
                </w:p>
              </w:tc>
              <w:tc>
                <w:tcPr>
                  <w:tcW w:w="3482" w:type="dxa"/>
                  <w:gridSpan w:val="2"/>
                  <w:vAlign w:val="center"/>
                </w:tcPr>
                <w:p>
                  <w:pPr>
                    <w:adjustRightInd w:val="0"/>
                    <w:snapToGrid w:val="0"/>
                    <w:jc w:val="center"/>
                  </w:pPr>
                  <w:r>
                    <w:rPr>
                      <w:rFonts w:hint="eastAsia"/>
                      <w:bCs/>
                    </w:rPr>
                    <w:t>《恶臭污染物排放标准》（GB14554-1993）表1厂界标准值</w:t>
                  </w:r>
                </w:p>
              </w:tc>
              <w:tc>
                <w:tcPr>
                  <w:tcW w:w="1197" w:type="dxa"/>
                  <w:gridSpan w:val="2"/>
                  <w:vAlign w:val="center"/>
                </w:tcPr>
                <w:p>
                  <w:pPr>
                    <w:adjustRightInd w:val="0"/>
                    <w:snapToGrid w:val="0"/>
                    <w:jc w:val="center"/>
                  </w:pPr>
                  <w:r>
                    <w:rPr>
                      <w:rFonts w:hint="eastAsia"/>
                    </w:rPr>
                    <w:t>5.0</w:t>
                  </w:r>
                </w:p>
              </w:tc>
              <w:tc>
                <w:tcPr>
                  <w:tcW w:w="886" w:type="dxa"/>
                  <w:vAlign w:val="center"/>
                </w:tcPr>
                <w:p>
                  <w:pPr>
                    <w:adjustRightInd w:val="0"/>
                    <w:snapToGrid w:val="0"/>
                    <w:jc w:val="center"/>
                  </w:pPr>
                  <w:r>
                    <w:rPr>
                      <w:rFonts w:hint="eastAsia"/>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47" w:type="dxa"/>
                  <w:vAlign w:val="center"/>
                </w:tcPr>
                <w:p>
                  <w:pPr>
                    <w:adjustRightInd w:val="0"/>
                    <w:snapToGrid w:val="0"/>
                    <w:jc w:val="center"/>
                  </w:pPr>
                  <w:r>
                    <w:rPr>
                      <w:rFonts w:hint="eastAsia"/>
                    </w:rPr>
                    <w:t>罐体打磨工序</w:t>
                  </w:r>
                </w:p>
              </w:tc>
              <w:tc>
                <w:tcPr>
                  <w:tcW w:w="1245" w:type="dxa"/>
                  <w:vAlign w:val="center"/>
                </w:tcPr>
                <w:p>
                  <w:pPr>
                    <w:adjustRightInd w:val="0"/>
                    <w:snapToGrid w:val="0"/>
                    <w:jc w:val="center"/>
                  </w:pPr>
                  <w:r>
                    <w:rPr>
                      <w:rFonts w:hint="eastAsia"/>
                    </w:rPr>
                    <w:t>颗粒物</w:t>
                  </w:r>
                </w:p>
              </w:tc>
              <w:tc>
                <w:tcPr>
                  <w:tcW w:w="1174" w:type="dxa"/>
                  <w:vMerge w:val="continue"/>
                  <w:vAlign w:val="center"/>
                </w:tcPr>
                <w:p>
                  <w:pPr>
                    <w:adjustRightInd w:val="0"/>
                    <w:snapToGrid w:val="0"/>
                    <w:jc w:val="center"/>
                  </w:pPr>
                </w:p>
              </w:tc>
              <w:tc>
                <w:tcPr>
                  <w:tcW w:w="3482" w:type="dxa"/>
                  <w:gridSpan w:val="2"/>
                  <w:vAlign w:val="center"/>
                </w:tcPr>
                <w:p>
                  <w:pPr>
                    <w:adjustRightInd w:val="0"/>
                    <w:snapToGrid w:val="0"/>
                    <w:jc w:val="center"/>
                  </w:pPr>
                  <w:r>
                    <w:rPr>
                      <w:rFonts w:hint="eastAsia"/>
                    </w:rPr>
                    <w:t>《合成树脂工业污染物排放标准》（GB31572-2015）中表9企业边界大气污染物浓度限值</w:t>
                  </w:r>
                </w:p>
              </w:tc>
              <w:tc>
                <w:tcPr>
                  <w:tcW w:w="1197" w:type="dxa"/>
                  <w:gridSpan w:val="2"/>
                  <w:vAlign w:val="center"/>
                </w:tcPr>
                <w:p>
                  <w:pPr>
                    <w:adjustRightInd w:val="0"/>
                    <w:snapToGrid w:val="0"/>
                    <w:jc w:val="center"/>
                  </w:pPr>
                  <w:r>
                    <w:rPr>
                      <w:rFonts w:hint="eastAsia"/>
                    </w:rPr>
                    <w:t>1.0</w:t>
                  </w:r>
                </w:p>
              </w:tc>
              <w:tc>
                <w:tcPr>
                  <w:tcW w:w="886" w:type="dxa"/>
                  <w:vAlign w:val="center"/>
                </w:tcPr>
                <w:p>
                  <w:pPr>
                    <w:adjustRightInd w:val="0"/>
                    <w:snapToGrid w:val="0"/>
                    <w:jc w:val="center"/>
                  </w:pPr>
                  <w:r>
                    <w:t>0.</w:t>
                  </w:r>
                  <w:r>
                    <w:rPr>
                      <w:rFonts w:hint="eastAsia"/>
                    </w:rPr>
                    <w:t>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8831" w:type="dxa"/>
                  <w:gridSpan w:val="8"/>
                  <w:vAlign w:val="center"/>
                </w:tcPr>
                <w:p>
                  <w:pPr>
                    <w:adjustRightInd w:val="0"/>
                    <w:snapToGrid w:val="0"/>
                    <w:jc w:val="center"/>
                  </w:pPr>
                  <w:r>
                    <w:rPr>
                      <w:rFonts w:hint="eastAsia"/>
                    </w:rPr>
                    <w:t>无组织排放总计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482" w:type="dxa"/>
                  <w:gridSpan w:val="4"/>
                  <w:vMerge w:val="restart"/>
                  <w:vAlign w:val="center"/>
                </w:tcPr>
                <w:p>
                  <w:pPr>
                    <w:adjustRightInd w:val="0"/>
                    <w:snapToGrid w:val="0"/>
                    <w:jc w:val="center"/>
                  </w:pPr>
                  <w:r>
                    <w:rPr>
                      <w:rFonts w:hint="eastAsia"/>
                    </w:rPr>
                    <w:t>无组织排放总计</w:t>
                  </w:r>
                </w:p>
              </w:tc>
              <w:tc>
                <w:tcPr>
                  <w:tcW w:w="4204" w:type="dxa"/>
                  <w:gridSpan w:val="2"/>
                  <w:vAlign w:val="center"/>
                </w:tcPr>
                <w:p>
                  <w:pPr>
                    <w:adjustRightInd w:val="0"/>
                    <w:snapToGrid w:val="0"/>
                    <w:jc w:val="center"/>
                  </w:pPr>
                  <w:r>
                    <w:rPr>
                      <w:rFonts w:hint="eastAsia"/>
                    </w:rPr>
                    <w:t>非甲烷总烃</w:t>
                  </w:r>
                </w:p>
              </w:tc>
              <w:tc>
                <w:tcPr>
                  <w:tcW w:w="1145" w:type="dxa"/>
                  <w:gridSpan w:val="2"/>
                  <w:vAlign w:val="center"/>
                </w:tcPr>
                <w:p>
                  <w:pPr>
                    <w:adjustRightInd w:val="0"/>
                    <w:snapToGrid w:val="0"/>
                    <w:jc w:val="center"/>
                  </w:pPr>
                  <w:r>
                    <w:rPr>
                      <w:rFonts w:hint="eastAsia"/>
                    </w:rPr>
                    <w:t>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482" w:type="dxa"/>
                  <w:gridSpan w:val="4"/>
                  <w:vMerge w:val="continue"/>
                  <w:vAlign w:val="center"/>
                </w:tcPr>
                <w:p>
                  <w:pPr>
                    <w:adjustRightInd w:val="0"/>
                    <w:snapToGrid w:val="0"/>
                    <w:jc w:val="center"/>
                  </w:pPr>
                </w:p>
              </w:tc>
              <w:tc>
                <w:tcPr>
                  <w:tcW w:w="4204" w:type="dxa"/>
                  <w:gridSpan w:val="2"/>
                  <w:vAlign w:val="center"/>
                </w:tcPr>
                <w:p>
                  <w:pPr>
                    <w:adjustRightInd w:val="0"/>
                    <w:snapToGrid w:val="0"/>
                    <w:jc w:val="center"/>
                  </w:pPr>
                  <w:r>
                    <w:rPr>
                      <w:rFonts w:hint="eastAsia"/>
                    </w:rPr>
                    <w:t>苯乙烯</w:t>
                  </w:r>
                </w:p>
              </w:tc>
              <w:tc>
                <w:tcPr>
                  <w:tcW w:w="1145" w:type="dxa"/>
                  <w:gridSpan w:val="2"/>
                  <w:vAlign w:val="center"/>
                </w:tcPr>
                <w:p>
                  <w:pPr>
                    <w:adjustRightInd w:val="0"/>
                    <w:snapToGrid w:val="0"/>
                    <w:jc w:val="center"/>
                  </w:pPr>
                  <w:r>
                    <w:rPr>
                      <w:rFonts w:hint="eastAsia"/>
                    </w:rPr>
                    <w:t>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3482" w:type="dxa"/>
                  <w:gridSpan w:val="4"/>
                  <w:vMerge w:val="continue"/>
                  <w:vAlign w:val="center"/>
                </w:tcPr>
                <w:p>
                  <w:pPr>
                    <w:adjustRightInd w:val="0"/>
                    <w:snapToGrid w:val="0"/>
                    <w:jc w:val="center"/>
                  </w:pPr>
                </w:p>
              </w:tc>
              <w:tc>
                <w:tcPr>
                  <w:tcW w:w="4204" w:type="dxa"/>
                  <w:gridSpan w:val="2"/>
                  <w:vAlign w:val="center"/>
                </w:tcPr>
                <w:p>
                  <w:pPr>
                    <w:adjustRightInd w:val="0"/>
                    <w:snapToGrid w:val="0"/>
                    <w:jc w:val="center"/>
                  </w:pPr>
                  <w:r>
                    <w:rPr>
                      <w:rFonts w:hint="eastAsia"/>
                    </w:rPr>
                    <w:t>颗粒物</w:t>
                  </w:r>
                </w:p>
              </w:tc>
              <w:tc>
                <w:tcPr>
                  <w:tcW w:w="1145" w:type="dxa"/>
                  <w:gridSpan w:val="2"/>
                  <w:vAlign w:val="center"/>
                </w:tcPr>
                <w:p>
                  <w:pPr>
                    <w:adjustRightInd w:val="0"/>
                    <w:snapToGrid w:val="0"/>
                    <w:jc w:val="center"/>
                  </w:pPr>
                  <w:r>
                    <w:t>0.</w:t>
                  </w:r>
                  <w:r>
                    <w:rPr>
                      <w:rFonts w:hint="eastAsia"/>
                    </w:rPr>
                    <w:t>03</w:t>
                  </w:r>
                </w:p>
              </w:tc>
            </w:tr>
          </w:tbl>
          <w:p>
            <w:pPr>
              <w:adjustRightInd w:val="0"/>
              <w:snapToGrid w:val="0"/>
              <w:ind w:firstLine="422" w:firstLineChars="200"/>
              <w:jc w:val="center"/>
              <w:rPr>
                <w:b/>
                <w:bCs/>
              </w:rPr>
            </w:pPr>
            <w:r>
              <w:rPr>
                <w:b/>
                <w:bCs/>
              </w:rPr>
              <w:t>表4-</w:t>
            </w:r>
            <w:r>
              <w:rPr>
                <w:rFonts w:hint="eastAsia"/>
                <w:b/>
                <w:bCs/>
              </w:rPr>
              <w:t>4 大气污染物年排放量核算表</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9"/>
              <w:gridCol w:w="4748"/>
              <w:gridCol w:w="2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pct"/>
                  <w:vAlign w:val="center"/>
                </w:tcPr>
                <w:p>
                  <w:pPr>
                    <w:adjustRightInd w:val="0"/>
                    <w:snapToGrid w:val="0"/>
                    <w:jc w:val="center"/>
                    <w:rPr>
                      <w:b/>
                      <w:bCs/>
                    </w:rPr>
                  </w:pPr>
                  <w:r>
                    <w:rPr>
                      <w:rFonts w:hint="eastAsia"/>
                      <w:b/>
                      <w:bCs/>
                    </w:rPr>
                    <w:t>序号</w:t>
                  </w:r>
                </w:p>
              </w:tc>
              <w:tc>
                <w:tcPr>
                  <w:tcW w:w="2688" w:type="pct"/>
                  <w:vAlign w:val="center"/>
                </w:tcPr>
                <w:p>
                  <w:pPr>
                    <w:adjustRightInd w:val="0"/>
                    <w:snapToGrid w:val="0"/>
                    <w:jc w:val="center"/>
                    <w:rPr>
                      <w:b/>
                      <w:bCs/>
                    </w:rPr>
                  </w:pPr>
                  <w:r>
                    <w:rPr>
                      <w:rFonts w:hint="eastAsia"/>
                      <w:b/>
                      <w:bCs/>
                    </w:rPr>
                    <w:t>污染物</w:t>
                  </w:r>
                </w:p>
              </w:tc>
              <w:tc>
                <w:tcPr>
                  <w:tcW w:w="1667" w:type="pct"/>
                  <w:vAlign w:val="center"/>
                </w:tcPr>
                <w:p>
                  <w:pPr>
                    <w:adjustRightInd w:val="0"/>
                    <w:snapToGrid w:val="0"/>
                    <w:jc w:val="center"/>
                    <w:rPr>
                      <w:b/>
                      <w:bCs/>
                    </w:rPr>
                  </w:pPr>
                  <w:r>
                    <w:rPr>
                      <w:rFonts w:hint="eastAsia"/>
                      <w:b/>
                      <w:bCs/>
                    </w:rPr>
                    <w:t>年排放量</w:t>
                  </w:r>
                  <w:r>
                    <w:rPr>
                      <w:b/>
                      <w:bCs/>
                    </w:rPr>
                    <w:t>（t/a）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pct"/>
                  <w:vAlign w:val="center"/>
                </w:tcPr>
                <w:p>
                  <w:pPr>
                    <w:adjustRightInd w:val="0"/>
                    <w:snapToGrid w:val="0"/>
                    <w:jc w:val="center"/>
                  </w:pPr>
                  <w:r>
                    <w:rPr>
                      <w:rFonts w:hint="eastAsia"/>
                    </w:rPr>
                    <w:t>1</w:t>
                  </w:r>
                </w:p>
              </w:tc>
              <w:tc>
                <w:tcPr>
                  <w:tcW w:w="2688" w:type="pct"/>
                  <w:vAlign w:val="center"/>
                </w:tcPr>
                <w:p>
                  <w:pPr>
                    <w:adjustRightInd w:val="0"/>
                    <w:snapToGrid w:val="0"/>
                    <w:jc w:val="center"/>
                  </w:pPr>
                  <w:r>
                    <w:rPr>
                      <w:rFonts w:hint="eastAsia"/>
                    </w:rPr>
                    <w:t>非甲烷总烃</w:t>
                  </w:r>
                </w:p>
              </w:tc>
              <w:tc>
                <w:tcPr>
                  <w:tcW w:w="1667" w:type="pct"/>
                  <w:vAlign w:val="center"/>
                </w:tcPr>
                <w:p>
                  <w:pPr>
                    <w:adjustRightInd w:val="0"/>
                    <w:snapToGrid w:val="0"/>
                    <w:jc w:val="center"/>
                  </w:pPr>
                  <w:r>
                    <w:rPr>
                      <w:rFonts w:hint="eastAsia"/>
                    </w:rPr>
                    <w:t>3.21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pct"/>
                  <w:vAlign w:val="center"/>
                </w:tcPr>
                <w:p>
                  <w:pPr>
                    <w:adjustRightInd w:val="0"/>
                    <w:snapToGrid w:val="0"/>
                    <w:jc w:val="center"/>
                  </w:pPr>
                  <w:r>
                    <w:rPr>
                      <w:rFonts w:hint="eastAsia"/>
                    </w:rPr>
                    <w:t>2</w:t>
                  </w:r>
                </w:p>
              </w:tc>
              <w:tc>
                <w:tcPr>
                  <w:tcW w:w="2688" w:type="pct"/>
                  <w:vAlign w:val="center"/>
                </w:tcPr>
                <w:p>
                  <w:pPr>
                    <w:adjustRightInd w:val="0"/>
                    <w:snapToGrid w:val="0"/>
                    <w:jc w:val="center"/>
                  </w:pPr>
                  <w:r>
                    <w:rPr>
                      <w:rFonts w:hint="eastAsia"/>
                    </w:rPr>
                    <w:t>苯乙烯</w:t>
                  </w:r>
                </w:p>
              </w:tc>
              <w:tc>
                <w:tcPr>
                  <w:tcW w:w="1667" w:type="pct"/>
                  <w:vAlign w:val="center"/>
                </w:tcPr>
                <w:p>
                  <w:pPr>
                    <w:adjustRightInd w:val="0"/>
                    <w:snapToGrid w:val="0"/>
                    <w:jc w:val="center"/>
                  </w:pPr>
                  <w:r>
                    <w:rPr>
                      <w:rFonts w:hint="eastAsia"/>
                    </w:rPr>
                    <w:t>0.093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pct"/>
                  <w:vAlign w:val="center"/>
                </w:tcPr>
                <w:p>
                  <w:pPr>
                    <w:adjustRightInd w:val="0"/>
                    <w:snapToGrid w:val="0"/>
                    <w:jc w:val="center"/>
                  </w:pPr>
                  <w:r>
                    <w:rPr>
                      <w:rFonts w:hint="eastAsia"/>
                    </w:rPr>
                    <w:t>3</w:t>
                  </w:r>
                </w:p>
              </w:tc>
              <w:tc>
                <w:tcPr>
                  <w:tcW w:w="2688" w:type="pct"/>
                  <w:vAlign w:val="center"/>
                </w:tcPr>
                <w:p>
                  <w:pPr>
                    <w:adjustRightInd w:val="0"/>
                    <w:snapToGrid w:val="0"/>
                    <w:jc w:val="center"/>
                  </w:pPr>
                  <w:r>
                    <w:rPr>
                      <w:rFonts w:hint="eastAsia"/>
                    </w:rPr>
                    <w:t>颗粒物</w:t>
                  </w:r>
                </w:p>
              </w:tc>
              <w:tc>
                <w:tcPr>
                  <w:tcW w:w="1667" w:type="pct"/>
                  <w:vAlign w:val="center"/>
                </w:tcPr>
                <w:p>
                  <w:pPr>
                    <w:adjustRightInd w:val="0"/>
                    <w:snapToGrid w:val="0"/>
                    <w:jc w:val="center"/>
                  </w:pPr>
                  <w:r>
                    <w:rPr>
                      <w:rFonts w:hint="eastAsia"/>
                    </w:rPr>
                    <w:t>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5" w:type="pct"/>
                  <w:vAlign w:val="center"/>
                </w:tcPr>
                <w:p>
                  <w:pPr>
                    <w:adjustRightInd w:val="0"/>
                    <w:snapToGrid w:val="0"/>
                    <w:jc w:val="center"/>
                  </w:pPr>
                  <w:r>
                    <w:rPr>
                      <w:rFonts w:hint="eastAsia"/>
                    </w:rPr>
                    <w:t>4</w:t>
                  </w:r>
                </w:p>
              </w:tc>
              <w:tc>
                <w:tcPr>
                  <w:tcW w:w="2688" w:type="pct"/>
                  <w:vAlign w:val="center"/>
                </w:tcPr>
                <w:p>
                  <w:pPr>
                    <w:adjustRightInd w:val="0"/>
                    <w:snapToGrid w:val="0"/>
                    <w:jc w:val="center"/>
                  </w:pPr>
                  <w:r>
                    <w:rPr>
                      <w:rFonts w:hint="eastAsia"/>
                    </w:rPr>
                    <w:t>油烟</w:t>
                  </w:r>
                </w:p>
              </w:tc>
              <w:tc>
                <w:tcPr>
                  <w:tcW w:w="1667" w:type="pct"/>
                  <w:vAlign w:val="center"/>
                </w:tcPr>
                <w:p>
                  <w:pPr>
                    <w:adjustRightInd w:val="0"/>
                    <w:snapToGrid w:val="0"/>
                    <w:jc w:val="center"/>
                  </w:pPr>
                  <w:r>
                    <w:rPr>
                      <w:rFonts w:hint="eastAsia"/>
                    </w:rPr>
                    <w:t>0.0033</w:t>
                  </w:r>
                </w:p>
              </w:tc>
            </w:tr>
          </w:tbl>
          <w:p>
            <w:pPr>
              <w:tabs>
                <w:tab w:val="left" w:pos="851"/>
                <w:tab w:val="left" w:pos="1134"/>
                <w:tab w:val="left" w:pos="1276"/>
              </w:tabs>
              <w:adjustRightInd w:val="0"/>
              <w:snapToGrid w:val="0"/>
              <w:spacing w:line="480" w:lineRule="exact"/>
              <w:jc w:val="left"/>
              <w:rPr>
                <w:b/>
                <w:bCs/>
                <w:sz w:val="24"/>
                <w:szCs w:val="24"/>
              </w:rPr>
            </w:pPr>
            <w:r>
              <w:rPr>
                <w:rFonts w:hint="eastAsia" w:cs="宋体"/>
                <w:b/>
                <w:bCs/>
                <w:sz w:val="24"/>
                <w:szCs w:val="24"/>
              </w:rPr>
              <w:t>（4）废气排放口设置</w:t>
            </w:r>
          </w:p>
          <w:p>
            <w:pPr>
              <w:pStyle w:val="34"/>
              <w:adjustRightInd w:val="0"/>
              <w:snapToGrid w:val="0"/>
              <w:spacing w:after="0" w:line="480" w:lineRule="exact"/>
              <w:ind w:left="0" w:leftChars="0" w:firstLine="0"/>
              <w:jc w:val="center"/>
              <w:rPr>
                <w:b/>
                <w:bCs/>
              </w:rPr>
            </w:pPr>
            <w:r>
              <w:rPr>
                <w:rFonts w:hint="eastAsia" w:cs="宋体"/>
                <w:b/>
                <w:bCs/>
              </w:rPr>
              <w:t>表</w:t>
            </w:r>
            <w:r>
              <w:rPr>
                <w:b/>
                <w:bCs/>
              </w:rPr>
              <w:t>4-</w:t>
            </w:r>
            <w:r>
              <w:rPr>
                <w:rFonts w:hint="eastAsia"/>
                <w:b/>
                <w:bCs/>
              </w:rPr>
              <w:t xml:space="preserve">5 </w:t>
            </w:r>
            <w:r>
              <w:rPr>
                <w:rFonts w:hint="eastAsia" w:cs="宋体"/>
                <w:b/>
                <w:bCs/>
              </w:rPr>
              <w:t>项目废气排放口设置情况</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5"/>
              <w:gridCol w:w="1127"/>
              <w:gridCol w:w="618"/>
              <w:gridCol w:w="616"/>
              <w:gridCol w:w="751"/>
              <w:gridCol w:w="850"/>
              <w:gridCol w:w="1671"/>
              <w:gridCol w:w="19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排放口</w:t>
                  </w:r>
                </w:p>
                <w:p>
                  <w:pPr>
                    <w:widowControl/>
                    <w:adjustRightInd w:val="0"/>
                    <w:snapToGrid w:val="0"/>
                    <w:spacing w:line="300" w:lineRule="exact"/>
                    <w:jc w:val="center"/>
                    <w:rPr>
                      <w:kern w:val="0"/>
                    </w:rPr>
                  </w:pPr>
                  <w:r>
                    <w:rPr>
                      <w:rFonts w:hint="eastAsia" w:cs="宋体"/>
                      <w:kern w:val="0"/>
                    </w:rPr>
                    <w:t>名称</w:t>
                  </w:r>
                </w:p>
              </w:tc>
              <w:tc>
                <w:tcPr>
                  <w:tcW w:w="6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污染物</w:t>
                  </w:r>
                </w:p>
              </w:tc>
              <w:tc>
                <w:tcPr>
                  <w:tcW w:w="35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高度</w:t>
                  </w:r>
                  <w:r>
                    <w:rPr>
                      <w:kern w:val="0"/>
                    </w:rPr>
                    <w:t>/m</w:t>
                  </w:r>
                </w:p>
              </w:tc>
              <w:tc>
                <w:tcPr>
                  <w:tcW w:w="34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内径</w:t>
                  </w:r>
                  <w:r>
                    <w:rPr>
                      <w:kern w:val="0"/>
                    </w:rPr>
                    <w:t>/m</w:t>
                  </w:r>
                </w:p>
              </w:tc>
              <w:tc>
                <w:tcPr>
                  <w:tcW w:w="42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温度</w:t>
                  </w:r>
                  <w:r>
                    <w:rPr>
                      <w:kern w:val="0"/>
                    </w:rPr>
                    <w:t>/</w:t>
                  </w:r>
                  <w:r>
                    <w:rPr>
                      <w:rFonts w:hint="eastAsia" w:cs="宋体"/>
                      <w:kern w:val="0"/>
                    </w:rPr>
                    <w:t>℃</w:t>
                  </w:r>
                </w:p>
              </w:tc>
              <w:tc>
                <w:tcPr>
                  <w:tcW w:w="48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类型</w:t>
                  </w:r>
                </w:p>
              </w:tc>
              <w:tc>
                <w:tcPr>
                  <w:tcW w:w="94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坐标</w:t>
                  </w:r>
                </w:p>
              </w:tc>
              <w:tc>
                <w:tcPr>
                  <w:tcW w:w="110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排放标准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罐体制作废气排气筒（</w:t>
                  </w:r>
                  <w:r>
                    <w:rPr>
                      <w:kern w:val="0"/>
                    </w:rPr>
                    <w:t>DA00</w:t>
                  </w:r>
                  <w:r>
                    <w:rPr>
                      <w:rFonts w:hint="eastAsia"/>
                      <w:kern w:val="0"/>
                    </w:rPr>
                    <w:t>1</w:t>
                  </w:r>
                  <w:r>
                    <w:rPr>
                      <w:rFonts w:hint="eastAsia" w:cs="宋体"/>
                      <w:kern w:val="0"/>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pPr>
                  <w:r>
                    <w:rPr>
                      <w:rFonts w:hint="eastAsia" w:cs="宋体"/>
                    </w:rPr>
                    <w:t>非甲烷总烃、苯乙烯</w:t>
                  </w:r>
                </w:p>
              </w:tc>
              <w:tc>
                <w:tcPr>
                  <w:tcW w:w="35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1</w:t>
                  </w:r>
                  <w:r>
                    <w:rPr>
                      <w:rFonts w:hint="eastAsia"/>
                      <w:kern w:val="0"/>
                    </w:rPr>
                    <w:t>8</w:t>
                  </w:r>
                </w:p>
              </w:tc>
              <w:tc>
                <w:tcPr>
                  <w:tcW w:w="34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0.</w:t>
                  </w:r>
                  <w:r>
                    <w:rPr>
                      <w:rFonts w:hint="eastAsia"/>
                      <w:kern w:val="0"/>
                    </w:rPr>
                    <w:t>9</w:t>
                  </w:r>
                </w:p>
              </w:tc>
              <w:tc>
                <w:tcPr>
                  <w:tcW w:w="42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常温</w:t>
                  </w:r>
                </w:p>
              </w:tc>
              <w:tc>
                <w:tcPr>
                  <w:tcW w:w="48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一般排放口</w:t>
                  </w:r>
                </w:p>
              </w:tc>
              <w:tc>
                <w:tcPr>
                  <w:tcW w:w="94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E108°59′51.42″</w:t>
                  </w:r>
                </w:p>
                <w:p>
                  <w:pPr>
                    <w:widowControl/>
                    <w:adjustRightInd w:val="0"/>
                    <w:snapToGrid w:val="0"/>
                    <w:spacing w:line="300" w:lineRule="exact"/>
                    <w:jc w:val="center"/>
                    <w:rPr>
                      <w:kern w:val="0"/>
                    </w:rPr>
                  </w:pPr>
                  <w:r>
                    <w:rPr>
                      <w:kern w:val="0"/>
                    </w:rPr>
                    <w:t>N 37°37′28.9″</w:t>
                  </w:r>
                </w:p>
              </w:tc>
              <w:tc>
                <w:tcPr>
                  <w:tcW w:w="110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cs="宋体"/>
                      <w:kern w:val="0"/>
                    </w:rPr>
                  </w:pPr>
                  <w:r>
                    <w:rPr>
                      <w:rFonts w:hint="eastAsia" w:cs="宋体"/>
                      <w:kern w:val="0"/>
                    </w:rPr>
                    <w:t>封头制作废气排气筒（</w:t>
                  </w:r>
                  <w:r>
                    <w:rPr>
                      <w:kern w:val="0"/>
                    </w:rPr>
                    <w:t>DA00</w:t>
                  </w:r>
                  <w:r>
                    <w:rPr>
                      <w:rFonts w:hint="eastAsia"/>
                      <w:kern w:val="0"/>
                    </w:rPr>
                    <w:t>2</w:t>
                  </w:r>
                  <w:r>
                    <w:rPr>
                      <w:rFonts w:hint="eastAsia" w:cs="宋体"/>
                      <w:kern w:val="0"/>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cs="宋体"/>
                    </w:rPr>
                  </w:pPr>
                  <w:r>
                    <w:rPr>
                      <w:rFonts w:hint="eastAsia" w:cs="宋体"/>
                    </w:rPr>
                    <w:t>非甲烷总烃、苯乙烯</w:t>
                  </w:r>
                </w:p>
              </w:tc>
              <w:tc>
                <w:tcPr>
                  <w:tcW w:w="35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1</w:t>
                  </w:r>
                  <w:r>
                    <w:rPr>
                      <w:rFonts w:hint="eastAsia"/>
                      <w:kern w:val="0"/>
                    </w:rPr>
                    <w:t>8</w:t>
                  </w:r>
                </w:p>
              </w:tc>
              <w:tc>
                <w:tcPr>
                  <w:tcW w:w="34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0.7</w:t>
                  </w:r>
                </w:p>
              </w:tc>
              <w:tc>
                <w:tcPr>
                  <w:tcW w:w="42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常温</w:t>
                  </w:r>
                </w:p>
              </w:tc>
              <w:tc>
                <w:tcPr>
                  <w:tcW w:w="48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一般排放口</w:t>
                  </w:r>
                </w:p>
              </w:tc>
              <w:tc>
                <w:tcPr>
                  <w:tcW w:w="94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 xml:space="preserve">E108°59′54.82″ </w:t>
                  </w:r>
                </w:p>
                <w:p>
                  <w:pPr>
                    <w:widowControl/>
                    <w:adjustRightInd w:val="0"/>
                    <w:snapToGrid w:val="0"/>
                    <w:spacing w:line="300" w:lineRule="exact"/>
                    <w:jc w:val="center"/>
                    <w:rPr>
                      <w:kern w:val="0"/>
                    </w:rPr>
                  </w:pPr>
                  <w:r>
                    <w:rPr>
                      <w:kern w:val="0"/>
                    </w:rPr>
                    <w:t>N 37°37′28.28″</w:t>
                  </w:r>
                </w:p>
              </w:tc>
              <w:tc>
                <w:tcPr>
                  <w:tcW w:w="110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cs="宋体"/>
                      <w:kern w:val="0"/>
                    </w:rPr>
                  </w:pPr>
                  <w:r>
                    <w:rPr>
                      <w:rFonts w:hint="eastAsia" w:cs="宋体"/>
                      <w:kern w:val="0"/>
                    </w:rPr>
                    <w:t>打磨室除尘器排气筒（</w:t>
                  </w:r>
                  <w:r>
                    <w:rPr>
                      <w:kern w:val="0"/>
                    </w:rPr>
                    <w:t>DA00</w:t>
                  </w:r>
                  <w:r>
                    <w:rPr>
                      <w:rFonts w:hint="eastAsia"/>
                      <w:kern w:val="0"/>
                    </w:rPr>
                    <w:t>3</w:t>
                  </w:r>
                  <w:r>
                    <w:rPr>
                      <w:rFonts w:hint="eastAsia" w:cs="宋体"/>
                      <w:kern w:val="0"/>
                    </w:rPr>
                    <w:t>）</w:t>
                  </w:r>
                </w:p>
              </w:tc>
              <w:tc>
                <w:tcPr>
                  <w:tcW w:w="638"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cs="宋体"/>
                    </w:rPr>
                  </w:pPr>
                  <w:r>
                    <w:rPr>
                      <w:rFonts w:hint="eastAsia" w:cs="宋体"/>
                    </w:rPr>
                    <w:t>颗粒物</w:t>
                  </w:r>
                </w:p>
              </w:tc>
              <w:tc>
                <w:tcPr>
                  <w:tcW w:w="35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18</w:t>
                  </w:r>
                </w:p>
              </w:tc>
              <w:tc>
                <w:tcPr>
                  <w:tcW w:w="349"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0.7</w:t>
                  </w:r>
                </w:p>
              </w:tc>
              <w:tc>
                <w:tcPr>
                  <w:tcW w:w="425"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常温</w:t>
                  </w:r>
                </w:p>
              </w:tc>
              <w:tc>
                <w:tcPr>
                  <w:tcW w:w="48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cs="宋体"/>
                      <w:kern w:val="0"/>
                    </w:rPr>
                    <w:t>一般排放口</w:t>
                  </w:r>
                </w:p>
              </w:tc>
              <w:tc>
                <w:tcPr>
                  <w:tcW w:w="94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E108°59′54.27″</w:t>
                  </w:r>
                </w:p>
                <w:p>
                  <w:pPr>
                    <w:widowControl/>
                    <w:adjustRightInd w:val="0"/>
                    <w:snapToGrid w:val="0"/>
                    <w:spacing w:line="300" w:lineRule="exact"/>
                    <w:jc w:val="center"/>
                    <w:rPr>
                      <w:kern w:val="0"/>
                    </w:rPr>
                  </w:pPr>
                  <w:r>
                    <w:rPr>
                      <w:kern w:val="0"/>
                    </w:rPr>
                    <w:t>N37°37′29.05″</w:t>
                  </w:r>
                </w:p>
              </w:tc>
              <w:tc>
                <w:tcPr>
                  <w:tcW w:w="110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71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cs="宋体"/>
                      <w:kern w:val="0"/>
                    </w:rPr>
                  </w:pPr>
                  <w:r>
                    <w:rPr>
                      <w:rFonts w:hint="eastAsia" w:cs="宋体"/>
                      <w:kern w:val="0"/>
                    </w:rPr>
                    <w:t>食堂油烟</w:t>
                  </w:r>
                </w:p>
                <w:p>
                  <w:pPr>
                    <w:widowControl/>
                    <w:adjustRightInd w:val="0"/>
                    <w:snapToGrid w:val="0"/>
                    <w:spacing w:line="300" w:lineRule="exact"/>
                    <w:jc w:val="center"/>
                  </w:pPr>
                  <w:r>
                    <w:rPr>
                      <w:rFonts w:hint="eastAsia" w:cs="宋体"/>
                      <w:kern w:val="0"/>
                    </w:rPr>
                    <w:t>排气筒（</w:t>
                  </w:r>
                  <w:r>
                    <w:rPr>
                      <w:kern w:val="0"/>
                    </w:rPr>
                    <w:t>DA00</w:t>
                  </w:r>
                  <w:r>
                    <w:rPr>
                      <w:rFonts w:hint="eastAsia"/>
                      <w:kern w:val="0"/>
                    </w:rPr>
                    <w:t>4</w:t>
                  </w:r>
                  <w:r>
                    <w:rPr>
                      <w:rFonts w:hint="eastAsia" w:cs="宋体"/>
                      <w:kern w:val="0"/>
                    </w:rPr>
                    <w:t>）</w:t>
                  </w:r>
                </w:p>
              </w:tc>
              <w:tc>
                <w:tcPr>
                  <w:tcW w:w="638" w:type="pct"/>
                  <w:tcBorders>
                    <w:top w:val="single" w:color="auto" w:sz="4" w:space="0"/>
                    <w:left w:val="single" w:color="auto" w:sz="4" w:space="0"/>
                    <w:right w:val="single" w:color="auto" w:sz="4" w:space="0"/>
                  </w:tcBorders>
                  <w:vAlign w:val="center"/>
                </w:tcPr>
                <w:p>
                  <w:pPr>
                    <w:adjustRightInd w:val="0"/>
                    <w:snapToGrid w:val="0"/>
                    <w:spacing w:line="300" w:lineRule="exact"/>
                    <w:jc w:val="center"/>
                  </w:pPr>
                  <w:r>
                    <w:rPr>
                      <w:rFonts w:hint="eastAsia" w:cs="宋体"/>
                    </w:rPr>
                    <w:t>油烟</w:t>
                  </w:r>
                </w:p>
              </w:tc>
              <w:tc>
                <w:tcPr>
                  <w:tcW w:w="350"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kern w:val="0"/>
                    </w:rPr>
                  </w:pPr>
                  <w:r>
                    <w:rPr>
                      <w:rFonts w:hint="eastAsia"/>
                      <w:kern w:val="0"/>
                    </w:rPr>
                    <w:t>/</w:t>
                  </w:r>
                </w:p>
              </w:tc>
              <w:tc>
                <w:tcPr>
                  <w:tcW w:w="349"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kern w:val="0"/>
                    </w:rPr>
                  </w:pPr>
                  <w:r>
                    <w:rPr>
                      <w:rFonts w:hint="eastAsia"/>
                      <w:kern w:val="0"/>
                    </w:rPr>
                    <w:t>/</w:t>
                  </w:r>
                </w:p>
              </w:tc>
              <w:tc>
                <w:tcPr>
                  <w:tcW w:w="425"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kern w:val="0"/>
                    </w:rPr>
                  </w:pPr>
                  <w:r>
                    <w:rPr>
                      <w:rFonts w:hint="eastAsia"/>
                      <w:kern w:val="0"/>
                    </w:rPr>
                    <w:t>常温</w:t>
                  </w:r>
                </w:p>
              </w:tc>
              <w:tc>
                <w:tcPr>
                  <w:tcW w:w="481"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kern w:val="0"/>
                    </w:rPr>
                  </w:pPr>
                  <w:r>
                    <w:rPr>
                      <w:rFonts w:hint="eastAsia" w:cs="宋体"/>
                      <w:kern w:val="0"/>
                    </w:rPr>
                    <w:t>一般排放口</w:t>
                  </w:r>
                </w:p>
              </w:tc>
              <w:tc>
                <w:tcPr>
                  <w:tcW w:w="946"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kern w:val="0"/>
                    </w:rPr>
                  </w:pPr>
                  <w:r>
                    <w:rPr>
                      <w:kern w:val="0"/>
                    </w:rPr>
                    <w:t>E109°01′57.205″</w:t>
                  </w:r>
                </w:p>
                <w:p>
                  <w:pPr>
                    <w:adjustRightInd w:val="0"/>
                    <w:snapToGrid w:val="0"/>
                    <w:spacing w:line="300" w:lineRule="exact"/>
                    <w:jc w:val="center"/>
                    <w:rPr>
                      <w:kern w:val="0"/>
                    </w:rPr>
                  </w:pPr>
                  <w:r>
                    <w:rPr>
                      <w:kern w:val="0"/>
                    </w:rPr>
                    <w:t>N 34°39′36.292″</w:t>
                  </w:r>
                </w:p>
              </w:tc>
              <w:tc>
                <w:tcPr>
                  <w:tcW w:w="1100" w:type="pct"/>
                  <w:tcBorders>
                    <w:top w:val="single" w:color="auto" w:sz="4" w:space="0"/>
                    <w:left w:val="single" w:color="auto" w:sz="4" w:space="0"/>
                    <w:right w:val="single" w:color="auto" w:sz="4" w:space="0"/>
                  </w:tcBorders>
                  <w:vAlign w:val="center"/>
                </w:tcPr>
                <w:p>
                  <w:pPr>
                    <w:adjustRightInd w:val="0"/>
                    <w:snapToGrid w:val="0"/>
                    <w:spacing w:line="300" w:lineRule="exact"/>
                    <w:jc w:val="center"/>
                    <w:rPr>
                      <w:kern w:val="0"/>
                    </w:rPr>
                  </w:pPr>
                  <w:r>
                    <w:rPr>
                      <w:kern w:val="0"/>
                    </w:rPr>
                    <w:t>《饮食业油烟排放标准》（</w:t>
                  </w:r>
                  <w:r>
                    <w:rPr>
                      <w:rFonts w:hint="eastAsia"/>
                      <w:kern w:val="0"/>
                    </w:rPr>
                    <w:t>G</w:t>
                  </w:r>
                  <w:r>
                    <w:rPr>
                      <w:kern w:val="0"/>
                    </w:rPr>
                    <w:t>B18483-2001）</w:t>
                  </w:r>
                </w:p>
              </w:tc>
            </w:tr>
          </w:tbl>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（5）</w:t>
            </w:r>
            <w:r>
              <w:rPr>
                <w:rFonts w:hint="eastAsia" w:cs="宋体"/>
                <w:b/>
                <w:bCs/>
                <w:sz w:val="24"/>
                <w:szCs w:val="24"/>
              </w:rPr>
              <w:t>废气达标排放及环境影响分析</w:t>
            </w:r>
          </w:p>
          <w:p>
            <w:pPr>
              <w:spacing w:line="360" w:lineRule="auto"/>
              <w:ind w:firstLine="480" w:firstLineChars="200"/>
              <w:rPr>
                <w:sz w:val="24"/>
                <w:szCs w:val="24"/>
              </w:rPr>
            </w:pPr>
            <w:r>
              <w:rPr>
                <w:sz w:val="24"/>
                <w:szCs w:val="24"/>
              </w:rPr>
              <w:fldChar w:fldCharType="begin"/>
            </w:r>
            <w:r>
              <w:rPr>
                <w:rFonts w:hint="eastAsia"/>
                <w:sz w:val="24"/>
                <w:szCs w:val="24"/>
              </w:rPr>
              <w:instrText xml:space="preserve">= 1 \* GB3</w:instrText>
            </w:r>
            <w:r>
              <w:rPr>
                <w:sz w:val="24"/>
                <w:szCs w:val="24"/>
              </w:rPr>
              <w:fldChar w:fldCharType="separate"/>
            </w:r>
            <w:r>
              <w:rPr>
                <w:rFonts w:hint="eastAsia"/>
                <w:sz w:val="24"/>
                <w:szCs w:val="24"/>
              </w:rPr>
              <w:t>①</w:t>
            </w:r>
            <w:r>
              <w:rPr>
                <w:sz w:val="24"/>
                <w:szCs w:val="24"/>
              </w:rPr>
              <w:fldChar w:fldCharType="end"/>
            </w:r>
            <w:r>
              <w:rPr>
                <w:bCs/>
                <w:sz w:val="24"/>
                <w:szCs w:val="24"/>
              </w:rPr>
              <w:t>可行性分析</w:t>
            </w:r>
          </w:p>
          <w:p>
            <w:pPr>
              <w:spacing w:line="360" w:lineRule="auto"/>
              <w:ind w:firstLine="480" w:firstLineChars="200"/>
              <w:rPr>
                <w:sz w:val="24"/>
                <w:szCs w:val="24"/>
              </w:rPr>
            </w:pPr>
            <w:r>
              <w:rPr>
                <w:rFonts w:hint="eastAsia"/>
                <w:sz w:val="24"/>
                <w:szCs w:val="24"/>
              </w:rPr>
              <w:t>根据《排放源统计调查产排污核算方法和系数手册》中《</w:t>
            </w:r>
            <w:r>
              <w:rPr>
                <w:sz w:val="24"/>
                <w:szCs w:val="24"/>
              </w:rPr>
              <w:t>3062玻璃纤维增强塑料制品制造行业 系数手册</w:t>
            </w:r>
            <w:r>
              <w:rPr>
                <w:rFonts w:hint="eastAsia"/>
                <w:sz w:val="24"/>
                <w:szCs w:val="24"/>
              </w:rPr>
              <w:t>》末端治理技术及参考《排污许可证申请与核发技术规范 橡胶和塑料制品工业》（HJ1122-2020）表A.2中的吸附法，项目有机废气（活性炭吸附/脱附浓缩+催化燃烧装置（RCO））、打磨修整（布袋除尘器、滤筒除尘器）污染</w:t>
            </w:r>
            <w:r>
              <w:rPr>
                <w:sz w:val="24"/>
                <w:szCs w:val="24"/>
              </w:rPr>
              <w:t>治理设施</w:t>
            </w:r>
            <w:r>
              <w:rPr>
                <w:rFonts w:hint="eastAsia"/>
                <w:sz w:val="24"/>
                <w:szCs w:val="24"/>
              </w:rPr>
              <w:t>均</w:t>
            </w:r>
            <w:r>
              <w:rPr>
                <w:sz w:val="24"/>
                <w:szCs w:val="24"/>
              </w:rPr>
              <w:t>属于规范中推荐的</w:t>
            </w:r>
            <w:r>
              <w:rPr>
                <w:rFonts w:hint="eastAsia"/>
                <w:sz w:val="24"/>
                <w:szCs w:val="24"/>
              </w:rPr>
              <w:t>可行治理技术</w:t>
            </w:r>
            <w:r>
              <w:rPr>
                <w:sz w:val="24"/>
                <w:szCs w:val="24"/>
              </w:rPr>
              <w:t>，</w:t>
            </w:r>
            <w:r>
              <w:rPr>
                <w:rFonts w:hint="eastAsia"/>
                <w:sz w:val="24"/>
                <w:szCs w:val="24"/>
              </w:rPr>
              <w:t>即本项目废气污染治理措施可行。</w:t>
            </w:r>
          </w:p>
          <w:p>
            <w:pPr>
              <w:spacing w:line="360" w:lineRule="auto"/>
              <w:ind w:firstLine="482" w:firstLineChars="200"/>
              <w:rPr>
                <w:sz w:val="24"/>
                <w:szCs w:val="24"/>
              </w:rPr>
            </w:pPr>
            <w:r>
              <w:rPr>
                <w:rFonts w:hint="eastAsia"/>
                <w:b/>
                <w:sz w:val="24"/>
                <w:szCs w:val="24"/>
              </w:rPr>
              <w:t>“活性炭吸附/脱附浓缩+催化燃烧处理工艺（RCO）”工作原理：</w:t>
            </w:r>
            <w:r>
              <w:rPr>
                <w:rFonts w:hint="eastAsia"/>
                <w:sz w:val="24"/>
                <w:szCs w:val="24"/>
              </w:rPr>
              <w:t>有机废气在催化剂作用下可以在 300℃左右发生氧化反应并释放大量热量，具体反应方程如下：Cn H</w:t>
            </w:r>
            <w:r>
              <w:rPr>
                <w:rFonts w:hint="eastAsia"/>
                <w:sz w:val="24"/>
                <w:szCs w:val="24"/>
                <w:vertAlign w:val="subscript"/>
              </w:rPr>
              <w:t>2n-6</w:t>
            </w:r>
            <w:r>
              <w:rPr>
                <w:rFonts w:hint="eastAsia"/>
                <w:sz w:val="24"/>
                <w:szCs w:val="24"/>
              </w:rPr>
              <w:t>+O</w:t>
            </w:r>
            <w:r>
              <w:rPr>
                <w:rFonts w:hint="eastAsia"/>
                <w:sz w:val="24"/>
                <w:szCs w:val="24"/>
                <w:vertAlign w:val="subscript"/>
              </w:rPr>
              <w:t>2</w:t>
            </w:r>
            <w:r>
              <w:rPr>
                <w:rFonts w:hint="eastAsia"/>
                <w:sz w:val="24"/>
                <w:szCs w:val="24"/>
              </w:rPr>
              <w:t>（催化剂）→CO</w:t>
            </w:r>
            <w:r>
              <w:rPr>
                <w:rFonts w:hint="eastAsia"/>
                <w:sz w:val="24"/>
                <w:szCs w:val="24"/>
                <w:vertAlign w:val="subscript"/>
              </w:rPr>
              <w:t>2</w:t>
            </w:r>
            <w:r>
              <w:rPr>
                <w:rFonts w:hint="eastAsia"/>
                <w:sz w:val="24"/>
                <w:szCs w:val="24"/>
              </w:rPr>
              <w:t>+H</w:t>
            </w:r>
            <w:r>
              <w:rPr>
                <w:rFonts w:hint="eastAsia"/>
                <w:sz w:val="24"/>
                <w:szCs w:val="24"/>
                <w:vertAlign w:val="subscript"/>
              </w:rPr>
              <w:t>2</w:t>
            </w:r>
            <w:r>
              <w:rPr>
                <w:rFonts w:hint="eastAsia"/>
                <w:sz w:val="24"/>
                <w:szCs w:val="24"/>
              </w:rPr>
              <w:t>O+Q（热量）。活性炭吸附/脱附浓缩+催化燃烧处理工艺流程，有机废气进入吸附床进行吸附，利用具有大比表面积的蜂窝状活性炭将有机溶剂吸附在活性炭表面，经处理后的洁净气体经过风机、烟囱高空排放活性炭经过吸附运行一段时间后达到饱和，启动系统的脱附浓缩+催化燃烧过程，利用催化燃烧床电加热器加热至280~350℃，产生热气流并送入活性炭吸附床，吸附在活性炭上的有机溶剂分子获得热量后脱离活性炭表面，将脱附出来的有机溶剂再送入催化燃烧装置内，催化燃烧装置内设有贵金属催化剂，通过加热贵金属催化剂到280~350℃到达强催化氧化效果，脱附气流进入催化燃烧室，在催化剂的作用下发生氧化分解为二氧化碳和水并放出大量热量（整个过程无明火），反应产生的热量经过热交换部分回用到脱附加热气流中，当脱附达到一定程度时放热跟脱附加热达到平衡，系统在不外加热量的情况下完成脱附再生过程。</w:t>
            </w:r>
          </w:p>
          <w:p>
            <w:pPr>
              <w:pStyle w:val="88"/>
              <w:spacing w:line="360" w:lineRule="auto"/>
              <w:ind w:firstLine="480"/>
              <w:jc w:val="left"/>
              <w:rPr>
                <w:rFonts w:cs="宋体"/>
                <w:kern w:val="0"/>
                <w:sz w:val="24"/>
                <w:szCs w:val="24"/>
              </w:rPr>
            </w:pPr>
            <w:r>
              <w:rPr>
                <w:rFonts w:cs="宋体"/>
                <w:kern w:val="0"/>
                <w:sz w:val="24"/>
                <w:szCs w:val="24"/>
              </w:rPr>
              <w:fldChar w:fldCharType="begin"/>
            </w:r>
            <w:r>
              <w:rPr>
                <w:rFonts w:hint="eastAsia" w:cs="宋体"/>
                <w:kern w:val="0"/>
                <w:sz w:val="24"/>
                <w:szCs w:val="24"/>
              </w:rPr>
              <w:instrText xml:space="preserve">= 2 \* GB3</w:instrText>
            </w:r>
            <w:r>
              <w:rPr>
                <w:rFonts w:cs="宋体"/>
                <w:kern w:val="0"/>
                <w:sz w:val="24"/>
                <w:szCs w:val="24"/>
              </w:rPr>
              <w:fldChar w:fldCharType="separate"/>
            </w:r>
            <w:r>
              <w:rPr>
                <w:rFonts w:hint="eastAsia" w:cs="宋体"/>
                <w:kern w:val="0"/>
                <w:sz w:val="24"/>
                <w:szCs w:val="24"/>
              </w:rPr>
              <w:t>②</w:t>
            </w:r>
            <w:r>
              <w:rPr>
                <w:rFonts w:cs="宋体"/>
                <w:kern w:val="0"/>
                <w:sz w:val="24"/>
                <w:szCs w:val="24"/>
              </w:rPr>
              <w:fldChar w:fldCharType="end"/>
            </w:r>
            <w:r>
              <w:rPr>
                <w:rFonts w:cs="宋体"/>
                <w:kern w:val="0"/>
                <w:sz w:val="24"/>
                <w:szCs w:val="24"/>
              </w:rPr>
              <w:t>非正常工况</w:t>
            </w:r>
          </w:p>
          <w:p>
            <w:pPr>
              <w:pStyle w:val="88"/>
              <w:spacing w:line="360" w:lineRule="auto"/>
              <w:ind w:firstLine="480"/>
              <w:jc w:val="left"/>
              <w:rPr>
                <w:rFonts w:cs="宋体"/>
                <w:kern w:val="0"/>
                <w:sz w:val="24"/>
                <w:szCs w:val="24"/>
              </w:rPr>
            </w:pPr>
            <w:r>
              <w:rPr>
                <w:bCs/>
                <w:sz w:val="24"/>
              </w:rPr>
              <w:t>非正常排放是指生产过程中设备检修、工艺设备运转异常等非正常工况下的污染物排放，以及污染物排放控制措施达不到应有效率等情况下的排放。</w:t>
            </w:r>
            <w:r>
              <w:rPr>
                <w:rFonts w:cs="宋体"/>
                <w:kern w:val="0"/>
                <w:sz w:val="24"/>
                <w:szCs w:val="24"/>
              </w:rPr>
              <w:t>为防止生产废气非正常工况排放，企业必须加强废气处理设施的管理，定期检修，确保废气处理设施正常运行</w:t>
            </w:r>
            <w:r>
              <w:rPr>
                <w:rFonts w:hint="eastAsia" w:cs="宋体"/>
                <w:kern w:val="0"/>
                <w:sz w:val="24"/>
                <w:szCs w:val="24"/>
              </w:rPr>
              <w:t>。</w:t>
            </w:r>
          </w:p>
          <w:p>
            <w:pPr>
              <w:spacing w:line="360" w:lineRule="auto"/>
              <w:ind w:firstLine="480" w:firstLineChars="200"/>
              <w:rPr>
                <w:rFonts w:cs="宋体"/>
                <w:kern w:val="0"/>
                <w:sz w:val="24"/>
                <w:szCs w:val="24"/>
              </w:rPr>
            </w:pPr>
            <w:r>
              <w:rPr>
                <w:rFonts w:hint="eastAsia" w:cs="宋体"/>
                <w:kern w:val="0"/>
                <w:sz w:val="24"/>
                <w:szCs w:val="24"/>
              </w:rPr>
              <w:t>非正常工况排放考虑最不利情况，即废气处理措施完全失效的情况，废气处理净化效率为0。立即启动紧急停车程序，更换活性炭，并查明事故工段，派专业维修人员进行维修</w:t>
            </w:r>
            <w:r>
              <w:rPr>
                <w:rFonts w:cs="宋体"/>
                <w:kern w:val="0"/>
                <w:sz w:val="24"/>
                <w:szCs w:val="24"/>
              </w:rPr>
              <w:t>。</w:t>
            </w:r>
            <w:r>
              <w:rPr>
                <w:rFonts w:hint="eastAsia" w:cs="宋体"/>
                <w:kern w:val="0"/>
                <w:sz w:val="24"/>
                <w:szCs w:val="24"/>
              </w:rPr>
              <w:t>根据前面章节污染源强核算，封头制作密闭房非甲烷总烃、苯乙烯的排放浓度约19.33mg/m</w:t>
            </w:r>
            <w:r>
              <w:rPr>
                <w:rFonts w:hint="eastAsia" w:cs="宋体"/>
                <w:kern w:val="0"/>
                <w:sz w:val="24"/>
                <w:szCs w:val="24"/>
                <w:vertAlign w:val="superscript"/>
              </w:rPr>
              <w:t>3</w:t>
            </w:r>
            <w:r>
              <w:rPr>
                <w:rFonts w:hint="eastAsia"/>
                <w:sz w:val="24"/>
                <w:szCs w:val="24"/>
              </w:rPr>
              <w:t>、</w:t>
            </w:r>
            <w:r>
              <w:rPr>
                <w:rFonts w:hint="eastAsia" w:cs="宋体"/>
                <w:kern w:val="0"/>
                <w:sz w:val="24"/>
                <w:szCs w:val="24"/>
              </w:rPr>
              <w:t>0.38mg/m</w:t>
            </w:r>
            <w:r>
              <w:rPr>
                <w:rFonts w:hint="eastAsia" w:cs="宋体"/>
                <w:kern w:val="0"/>
                <w:sz w:val="24"/>
                <w:szCs w:val="24"/>
                <w:vertAlign w:val="superscript"/>
              </w:rPr>
              <w:t>3</w:t>
            </w:r>
            <w:r>
              <w:rPr>
                <w:rFonts w:hint="eastAsia" w:cs="宋体"/>
                <w:kern w:val="0"/>
                <w:sz w:val="24"/>
                <w:szCs w:val="24"/>
              </w:rPr>
              <w:t>；罐体制作伸缩式密闭房非甲烷总烃、苯乙烯的排放浓度约84.63mg/m</w:t>
            </w:r>
            <w:r>
              <w:rPr>
                <w:rFonts w:hint="eastAsia" w:cs="宋体"/>
                <w:kern w:val="0"/>
                <w:sz w:val="24"/>
                <w:szCs w:val="24"/>
                <w:vertAlign w:val="superscript"/>
              </w:rPr>
              <w:t>3</w:t>
            </w:r>
            <w:r>
              <w:rPr>
                <w:rFonts w:hint="eastAsia"/>
                <w:sz w:val="24"/>
                <w:szCs w:val="24"/>
              </w:rPr>
              <w:t>、</w:t>
            </w:r>
            <w:r>
              <w:rPr>
                <w:rFonts w:hint="eastAsia" w:cs="宋体"/>
                <w:kern w:val="0"/>
                <w:sz w:val="24"/>
                <w:szCs w:val="24"/>
              </w:rPr>
              <w:t>1.03mg/m</w:t>
            </w:r>
            <w:r>
              <w:rPr>
                <w:rFonts w:hint="eastAsia" w:cs="宋体"/>
                <w:kern w:val="0"/>
                <w:sz w:val="24"/>
                <w:szCs w:val="24"/>
                <w:vertAlign w:val="superscript"/>
              </w:rPr>
              <w:t>3</w:t>
            </w:r>
            <w:r>
              <w:rPr>
                <w:rFonts w:hint="eastAsia" w:cs="宋体"/>
                <w:kern w:val="0"/>
                <w:sz w:val="24"/>
                <w:szCs w:val="24"/>
              </w:rPr>
              <w:t>；封头打磨和罐体打磨粉尘的排放浓度约68.1mg/m</w:t>
            </w:r>
            <w:r>
              <w:rPr>
                <w:rFonts w:hint="eastAsia" w:cs="宋体"/>
                <w:kern w:val="0"/>
                <w:sz w:val="24"/>
                <w:szCs w:val="24"/>
                <w:vertAlign w:val="superscript"/>
              </w:rPr>
              <w:t>3</w:t>
            </w:r>
            <w:r>
              <w:rPr>
                <w:rFonts w:hint="eastAsia"/>
                <w:sz w:val="24"/>
                <w:szCs w:val="24"/>
              </w:rPr>
              <w:t>、</w:t>
            </w:r>
            <w:r>
              <w:rPr>
                <w:rFonts w:hint="eastAsia" w:cs="宋体"/>
                <w:kern w:val="0"/>
                <w:sz w:val="24"/>
                <w:szCs w:val="24"/>
              </w:rPr>
              <w:t>480.3mg/m</w:t>
            </w:r>
            <w:r>
              <w:rPr>
                <w:rFonts w:hint="eastAsia" w:cs="宋体"/>
                <w:kern w:val="0"/>
                <w:sz w:val="24"/>
                <w:szCs w:val="24"/>
                <w:vertAlign w:val="superscript"/>
              </w:rPr>
              <w:t>3</w:t>
            </w:r>
            <w:r>
              <w:rPr>
                <w:rFonts w:hint="eastAsia" w:cs="宋体"/>
                <w:kern w:val="0"/>
                <w:sz w:val="24"/>
                <w:szCs w:val="24"/>
              </w:rPr>
              <w:t>。</w:t>
            </w:r>
            <w:r>
              <w:rPr>
                <w:rFonts w:cs="宋体"/>
                <w:kern w:val="0"/>
                <w:sz w:val="24"/>
                <w:szCs w:val="24"/>
              </w:rPr>
              <w:t>为</w:t>
            </w:r>
            <w:r>
              <w:rPr>
                <w:rFonts w:hint="eastAsia" w:cs="宋体"/>
                <w:kern w:val="0"/>
                <w:sz w:val="24"/>
                <w:szCs w:val="24"/>
              </w:rPr>
              <w:t>保证废气排放不稳定，</w:t>
            </w:r>
            <w:r>
              <w:rPr>
                <w:rFonts w:cs="宋体"/>
                <w:kern w:val="0"/>
                <w:sz w:val="24"/>
                <w:szCs w:val="24"/>
              </w:rPr>
              <w:t>杜绝废气非正常排放，应采取以下措施确保废气达标排放：</w:t>
            </w:r>
          </w:p>
          <w:p>
            <w:pPr>
              <w:pStyle w:val="88"/>
              <w:spacing w:line="360" w:lineRule="auto"/>
              <w:ind w:firstLine="560"/>
              <w:jc w:val="left"/>
              <w:rPr>
                <w:rFonts w:cs="宋体"/>
                <w:kern w:val="0"/>
                <w:sz w:val="24"/>
                <w:szCs w:val="24"/>
              </w:rPr>
            </w:pPr>
            <w:r>
              <w:rPr>
                <w:rFonts w:hint="eastAsia" w:cs="宋体"/>
                <w:kern w:val="0"/>
                <w:sz w:val="28"/>
                <w:szCs w:val="24"/>
              </w:rPr>
              <w:t>a</w:t>
            </w:r>
            <w:r>
              <w:rPr>
                <w:rFonts w:cs="宋体"/>
                <w:kern w:val="0"/>
                <w:sz w:val="24"/>
                <w:szCs w:val="24"/>
              </w:rPr>
              <w:t>安排专人负责环保设备的日常维护和管理，固定时间检查、汇报情况，及时发现废气处理设备的隐患，确保废气处理系统正常</w:t>
            </w:r>
            <w:r>
              <w:rPr>
                <w:rFonts w:hint="eastAsia" w:cs="宋体"/>
                <w:kern w:val="0"/>
                <w:sz w:val="24"/>
                <w:szCs w:val="24"/>
              </w:rPr>
              <w:t>稳定</w:t>
            </w:r>
            <w:r>
              <w:rPr>
                <w:rFonts w:cs="宋体"/>
                <w:kern w:val="0"/>
                <w:sz w:val="24"/>
                <w:szCs w:val="24"/>
              </w:rPr>
              <w:t>运行；</w:t>
            </w:r>
            <w:r>
              <w:rPr>
                <w:rFonts w:hint="eastAsia" w:cs="宋体"/>
                <w:kern w:val="0"/>
                <w:sz w:val="28"/>
                <w:szCs w:val="24"/>
              </w:rPr>
              <w:t>b</w:t>
            </w:r>
            <w:r>
              <w:rPr>
                <w:rFonts w:cs="宋体"/>
                <w:kern w:val="0"/>
                <w:sz w:val="24"/>
                <w:szCs w:val="24"/>
              </w:rPr>
              <w:t>建立健全环保管理机构，对环保管理人员和技术人员进行岗位培训，委托具有资质的</w:t>
            </w:r>
            <w:r>
              <w:rPr>
                <w:rFonts w:hint="eastAsia" w:cs="宋体"/>
                <w:kern w:val="0"/>
                <w:sz w:val="24"/>
                <w:szCs w:val="24"/>
              </w:rPr>
              <w:t>第三方</w:t>
            </w:r>
            <w:r>
              <w:rPr>
                <w:rFonts w:cs="宋体"/>
                <w:kern w:val="0"/>
                <w:sz w:val="24"/>
                <w:szCs w:val="24"/>
              </w:rPr>
              <w:t>检测</w:t>
            </w:r>
            <w:r>
              <w:rPr>
                <w:rFonts w:hint="eastAsia" w:cs="宋体"/>
                <w:kern w:val="0"/>
                <w:sz w:val="24"/>
                <w:szCs w:val="24"/>
              </w:rPr>
              <w:t>机构</w:t>
            </w:r>
            <w:r>
              <w:rPr>
                <w:rFonts w:cs="宋体"/>
                <w:kern w:val="0"/>
                <w:sz w:val="24"/>
                <w:szCs w:val="24"/>
              </w:rPr>
              <w:t>对项目排放的各类污染物进行定期检测；</w:t>
            </w:r>
            <w:r>
              <w:rPr>
                <w:rFonts w:hint="eastAsia" w:cs="宋体"/>
                <w:kern w:val="0"/>
                <w:sz w:val="28"/>
                <w:szCs w:val="24"/>
              </w:rPr>
              <w:t>c</w:t>
            </w:r>
            <w:r>
              <w:rPr>
                <w:rFonts w:cs="宋体"/>
                <w:kern w:val="0"/>
                <w:sz w:val="24"/>
                <w:szCs w:val="24"/>
              </w:rPr>
              <w:t>应定期维护、检修废气处理装置，以保持废气处理装置的处理能力和处理容量。</w:t>
            </w:r>
          </w:p>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（6）</w:t>
            </w:r>
            <w:r>
              <w:rPr>
                <w:b/>
                <w:bCs/>
                <w:sz w:val="24"/>
                <w:szCs w:val="32"/>
              </w:rPr>
              <w:t>废气达标排放及影响分析</w:t>
            </w:r>
          </w:p>
          <w:p>
            <w:pPr>
              <w:pStyle w:val="88"/>
              <w:spacing w:line="360" w:lineRule="auto"/>
              <w:ind w:firstLine="480"/>
              <w:rPr>
                <w:sz w:val="24"/>
              </w:rPr>
            </w:pPr>
            <w:r>
              <w:rPr>
                <w:sz w:val="24"/>
              </w:rPr>
              <w:t>项目</w:t>
            </w:r>
            <w:r>
              <w:rPr>
                <w:rFonts w:hint="eastAsia" w:cs="宋体"/>
                <w:kern w:val="0"/>
                <w:sz w:val="24"/>
                <w:szCs w:val="24"/>
              </w:rPr>
              <w:t>有机废气经收集后采用“活性炭吸附/脱附浓缩+催化燃烧装置（RCO）”进行净化处理，非甲烷总烃、苯乙烯排放浓度符合《合成树脂工业污染物排放标准》（GB31572-2015）</w:t>
            </w:r>
            <w:r>
              <w:rPr>
                <w:rFonts w:hint="eastAsia" w:cs="宋体"/>
                <w:bCs/>
                <w:kern w:val="0"/>
                <w:sz w:val="24"/>
                <w:szCs w:val="24"/>
              </w:rPr>
              <w:t>表5中</w:t>
            </w:r>
            <w:r>
              <w:rPr>
                <w:rFonts w:hint="eastAsia" w:cs="宋体"/>
                <w:kern w:val="0"/>
                <w:sz w:val="24"/>
                <w:szCs w:val="24"/>
              </w:rPr>
              <w:t>排放限值要求；打磨室封头打磨粉尘采用布袋除尘器处理后排放浓度符合《合成树脂工业污染物排放标准》（GB31572-2015）</w:t>
            </w:r>
            <w:r>
              <w:rPr>
                <w:rFonts w:hint="eastAsia" w:cs="宋体"/>
                <w:bCs/>
                <w:kern w:val="0"/>
                <w:sz w:val="24"/>
                <w:szCs w:val="24"/>
              </w:rPr>
              <w:t>表5中</w:t>
            </w:r>
            <w:r>
              <w:rPr>
                <w:rFonts w:hint="eastAsia" w:cs="宋体"/>
                <w:kern w:val="0"/>
                <w:sz w:val="24"/>
                <w:szCs w:val="24"/>
              </w:rPr>
              <w:t>排放限值要求；罐体打磨粉尘采用移动式滤筒除尘器处理后排放浓度符合《合成树脂工业污染物排放标准》（GB31572-2015）</w:t>
            </w:r>
            <w:r>
              <w:rPr>
                <w:rFonts w:hint="eastAsia" w:cs="宋体"/>
                <w:bCs/>
                <w:kern w:val="0"/>
                <w:sz w:val="24"/>
                <w:szCs w:val="24"/>
              </w:rPr>
              <w:t>表9中</w:t>
            </w:r>
            <w:r>
              <w:rPr>
                <w:rFonts w:hint="eastAsia" w:cs="宋体"/>
                <w:kern w:val="0"/>
                <w:sz w:val="24"/>
                <w:szCs w:val="24"/>
              </w:rPr>
              <w:t>排放限值要求；</w:t>
            </w:r>
            <w:r>
              <w:rPr>
                <w:rFonts w:hint="eastAsia"/>
                <w:sz w:val="24"/>
                <w:szCs w:val="32"/>
              </w:rPr>
              <w:t>食堂油烟经油烟净化器处理后，油烟排放浓度满足</w:t>
            </w:r>
            <w:r>
              <w:rPr>
                <w:sz w:val="24"/>
                <w:szCs w:val="32"/>
              </w:rPr>
              <w:t>《饮食业油烟排放标准》（</w:t>
            </w:r>
            <w:r>
              <w:rPr>
                <w:rFonts w:hint="eastAsia"/>
                <w:sz w:val="24"/>
                <w:szCs w:val="32"/>
              </w:rPr>
              <w:t>G</w:t>
            </w:r>
            <w:r>
              <w:rPr>
                <w:sz w:val="24"/>
                <w:szCs w:val="32"/>
              </w:rPr>
              <w:t>B18483-2001）</w:t>
            </w:r>
            <w:r>
              <w:rPr>
                <w:rFonts w:hint="eastAsia"/>
                <w:sz w:val="24"/>
                <w:szCs w:val="32"/>
              </w:rPr>
              <w:t>中的限值要求</w:t>
            </w:r>
            <w:r>
              <w:rPr>
                <w:sz w:val="24"/>
                <w:szCs w:val="32"/>
              </w:rPr>
              <w:t>。项目</w:t>
            </w:r>
            <w:r>
              <w:rPr>
                <w:rFonts w:hint="eastAsia"/>
                <w:sz w:val="24"/>
                <w:szCs w:val="32"/>
              </w:rPr>
              <w:t>运营期</w:t>
            </w:r>
            <w:r>
              <w:rPr>
                <w:sz w:val="24"/>
                <w:szCs w:val="32"/>
              </w:rPr>
              <w:t>对大气环境空气影响较小。</w:t>
            </w:r>
          </w:p>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（7）</w:t>
            </w:r>
            <w:r>
              <w:rPr>
                <w:rFonts w:hint="eastAsia" w:cs="宋体"/>
                <w:b/>
                <w:bCs/>
                <w:sz w:val="24"/>
                <w:szCs w:val="24"/>
              </w:rPr>
              <w:t>废气监测计划</w:t>
            </w:r>
          </w:p>
          <w:p>
            <w:pPr>
              <w:widowControl/>
              <w:adjustRightInd w:val="0"/>
              <w:snapToGrid w:val="0"/>
              <w:spacing w:line="360" w:lineRule="auto"/>
              <w:ind w:firstLine="480" w:firstLineChars="200"/>
              <w:rPr>
                <w:rFonts w:cs="宋体"/>
                <w:kern w:val="0"/>
                <w:sz w:val="24"/>
                <w:szCs w:val="24"/>
              </w:rPr>
            </w:pPr>
            <w:r>
              <w:rPr>
                <w:rFonts w:hint="eastAsia" w:cs="宋体"/>
                <w:kern w:val="0"/>
                <w:sz w:val="24"/>
                <w:szCs w:val="24"/>
              </w:rPr>
              <w:t>根据本项目运营期的环境污染特点，按照</w:t>
            </w:r>
            <w:r>
              <w:rPr>
                <w:sz w:val="24"/>
              </w:rPr>
              <w:t>《排污单位自行监测技术指南 总则》（HJ819-2017）</w:t>
            </w:r>
            <w:r>
              <w:rPr>
                <w:rFonts w:hint="eastAsia"/>
                <w:sz w:val="24"/>
              </w:rPr>
              <w:t>及参照《排污单位自行监测技术指南 橡胶和塑料制品》（HJ1207—2021）</w:t>
            </w:r>
            <w:r>
              <w:rPr>
                <w:rFonts w:hint="eastAsia" w:cs="宋体"/>
                <w:kern w:val="0"/>
                <w:sz w:val="24"/>
                <w:szCs w:val="24"/>
              </w:rPr>
              <w:t>等相关规定，制定本项目运营期废气监测计划。</w:t>
            </w:r>
          </w:p>
          <w:p>
            <w:pPr>
              <w:adjustRightInd w:val="0"/>
              <w:snapToGrid w:val="0"/>
              <w:spacing w:line="360" w:lineRule="auto"/>
              <w:jc w:val="center"/>
              <w:rPr>
                <w:b/>
                <w:bCs/>
                <w:szCs w:val="24"/>
                <w:lang w:val="en-GB"/>
              </w:rPr>
            </w:pPr>
            <w:r>
              <w:rPr>
                <w:rFonts w:hint="eastAsia" w:cs="宋体"/>
                <w:b/>
                <w:bCs/>
                <w:szCs w:val="24"/>
                <w:lang w:val="en-GB"/>
              </w:rPr>
              <w:t>表</w:t>
            </w:r>
            <w:r>
              <w:rPr>
                <w:b/>
                <w:bCs/>
                <w:szCs w:val="24"/>
                <w:lang w:val="en-GB"/>
              </w:rPr>
              <w:t>4-</w:t>
            </w:r>
            <w:r>
              <w:rPr>
                <w:rFonts w:hint="eastAsia"/>
                <w:b/>
                <w:bCs/>
                <w:szCs w:val="24"/>
                <w:lang w:val="en-GB"/>
              </w:rPr>
              <w:t xml:space="preserve">6 </w:t>
            </w:r>
            <w:r>
              <w:rPr>
                <w:rFonts w:hint="eastAsia" w:cs="宋体"/>
                <w:b/>
                <w:bCs/>
                <w:szCs w:val="24"/>
                <w:lang w:val="en-GB"/>
              </w:rPr>
              <w:t>运营期废气污染源环境监测计划表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8"/>
              <w:gridCol w:w="1300"/>
              <w:gridCol w:w="1734"/>
              <w:gridCol w:w="115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类别</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监测项目</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监测点</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监测频率</w:t>
                  </w:r>
                </w:p>
              </w:tc>
              <w:tc>
                <w:tcPr>
                  <w:tcW w:w="3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kern w:val="0"/>
                    </w:rPr>
                    <w:t>有组织</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pPr>
                  <w:r>
                    <w:rPr>
                      <w:rFonts w:hint="eastAsia" w:cs="宋体"/>
                    </w:rPr>
                    <w:t>非甲烷总烃</w:t>
                  </w:r>
                </w:p>
              </w:tc>
              <w:tc>
                <w:tcPr>
                  <w:tcW w:w="1701"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罐体制作废气</w:t>
                  </w:r>
                </w:p>
                <w:p>
                  <w:pPr>
                    <w:widowControl/>
                    <w:adjustRightInd w:val="0"/>
                    <w:snapToGrid w:val="0"/>
                    <w:jc w:val="center"/>
                    <w:rPr>
                      <w:kern w:val="0"/>
                    </w:rPr>
                  </w:pPr>
                  <w:r>
                    <w:rPr>
                      <w:rFonts w:hint="eastAsia" w:cs="宋体"/>
                      <w:kern w:val="0"/>
                    </w:rPr>
                    <w:t>排气筒（</w:t>
                  </w:r>
                  <w:r>
                    <w:rPr>
                      <w:kern w:val="0"/>
                    </w:rPr>
                    <w:t>DA00</w:t>
                  </w:r>
                  <w:r>
                    <w:rPr>
                      <w:rFonts w:hint="eastAsia"/>
                      <w:kern w:val="0"/>
                    </w:rPr>
                    <w:t>1</w:t>
                  </w:r>
                  <w:r>
                    <w:rPr>
                      <w:rFonts w:hint="eastAsia" w:cs="宋体"/>
                      <w:kern w:val="0"/>
                    </w:rPr>
                    <w:t>）</w:t>
                  </w:r>
                </w:p>
              </w:tc>
              <w:tc>
                <w:tcPr>
                  <w:tcW w:w="1134" w:type="dxa"/>
                  <w:vMerge w:val="restart"/>
                  <w:tcBorders>
                    <w:top w:val="single" w:color="auto" w:sz="4" w:space="0"/>
                    <w:left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rPr>
                    <w:t>半</w:t>
                  </w:r>
                  <w:r>
                    <w:rPr>
                      <w:rFonts w:hint="eastAsia" w:cs="宋体"/>
                    </w:rPr>
                    <w:t>年</w:t>
                  </w:r>
                </w:p>
              </w:tc>
              <w:tc>
                <w:tcPr>
                  <w:tcW w:w="3722"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苯乙烯</w:t>
                  </w:r>
                </w:p>
              </w:tc>
              <w:tc>
                <w:tcPr>
                  <w:tcW w:w="1701" w:type="dxa"/>
                  <w:vMerge w:val="continue"/>
                  <w:tcBorders>
                    <w:left w:val="single" w:color="auto" w:sz="4" w:space="0"/>
                    <w:right w:val="single" w:color="auto" w:sz="4" w:space="0"/>
                  </w:tcBorders>
                  <w:vAlign w:val="center"/>
                </w:tcPr>
                <w:p>
                  <w:pPr>
                    <w:widowControl/>
                    <w:adjustRightInd w:val="0"/>
                    <w:snapToGrid w:val="0"/>
                    <w:jc w:val="center"/>
                  </w:pPr>
                </w:p>
              </w:tc>
              <w:tc>
                <w:tcPr>
                  <w:tcW w:w="1134" w:type="dxa"/>
                  <w:vMerge w:val="continue"/>
                  <w:tcBorders>
                    <w:left w:val="single" w:color="auto" w:sz="4" w:space="0"/>
                    <w:right w:val="single" w:color="auto" w:sz="4" w:space="0"/>
                  </w:tcBorders>
                  <w:vAlign w:val="center"/>
                </w:tcPr>
                <w:p>
                  <w:pPr>
                    <w:widowControl/>
                    <w:adjustRightInd w:val="0"/>
                    <w:snapToGrid w:val="0"/>
                    <w:jc w:val="center"/>
                  </w:pPr>
                </w:p>
              </w:tc>
              <w:tc>
                <w:tcPr>
                  <w:tcW w:w="3722" w:type="dxa"/>
                  <w:vMerge w:val="continue"/>
                  <w:tcBorders>
                    <w:left w:val="single" w:color="auto" w:sz="4" w:space="0"/>
                    <w:right w:val="single" w:color="auto" w:sz="4" w:space="0"/>
                  </w:tcBorders>
                  <w:vAlign w:val="center"/>
                </w:tcPr>
                <w:p>
                  <w:pPr>
                    <w:widowControl/>
                    <w:adjustRightInd w:val="0"/>
                    <w:snapToGrid w:val="0"/>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pPr>
                  <w:r>
                    <w:rPr>
                      <w:rFonts w:hint="eastAsia" w:cs="宋体"/>
                    </w:rPr>
                    <w:t>非甲烷总烃</w:t>
                  </w:r>
                </w:p>
              </w:tc>
              <w:tc>
                <w:tcPr>
                  <w:tcW w:w="1701" w:type="dxa"/>
                  <w:vMerge w:val="restart"/>
                  <w:tcBorders>
                    <w:left w:val="single" w:color="auto" w:sz="4" w:space="0"/>
                    <w:right w:val="single" w:color="auto" w:sz="4" w:space="0"/>
                  </w:tcBorders>
                  <w:vAlign w:val="center"/>
                </w:tcPr>
                <w:p>
                  <w:pPr>
                    <w:widowControl/>
                    <w:adjustRightInd w:val="0"/>
                    <w:snapToGrid w:val="0"/>
                    <w:jc w:val="center"/>
                  </w:pPr>
                  <w:r>
                    <w:rPr>
                      <w:rFonts w:hint="eastAsia" w:cs="宋体"/>
                      <w:kern w:val="0"/>
                    </w:rPr>
                    <w:t>封头制作废气排气筒（</w:t>
                  </w:r>
                  <w:r>
                    <w:rPr>
                      <w:kern w:val="0"/>
                    </w:rPr>
                    <w:t>DA00</w:t>
                  </w:r>
                  <w:r>
                    <w:rPr>
                      <w:rFonts w:hint="eastAsia"/>
                      <w:kern w:val="0"/>
                    </w:rPr>
                    <w:t>2</w:t>
                  </w:r>
                  <w:r>
                    <w:rPr>
                      <w:rFonts w:hint="eastAsia" w:cs="宋体"/>
                      <w:kern w:val="0"/>
                    </w:rPr>
                    <w:t>）</w:t>
                  </w:r>
                </w:p>
              </w:tc>
              <w:tc>
                <w:tcPr>
                  <w:tcW w:w="1134" w:type="dxa"/>
                  <w:vMerge w:val="restart"/>
                  <w:tcBorders>
                    <w:left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rPr>
                    <w:t>半</w:t>
                  </w:r>
                  <w:r>
                    <w:rPr>
                      <w:rFonts w:hint="eastAsia" w:cs="宋体"/>
                    </w:rPr>
                    <w:t>年</w:t>
                  </w:r>
                </w:p>
              </w:tc>
              <w:tc>
                <w:tcPr>
                  <w:tcW w:w="3722" w:type="dxa"/>
                  <w:vMerge w:val="restart"/>
                  <w:tcBorders>
                    <w:left w:val="single" w:color="auto" w:sz="4" w:space="0"/>
                    <w:right w:val="single" w:color="auto" w:sz="4" w:space="0"/>
                  </w:tcBorders>
                  <w:vAlign w:val="center"/>
                </w:tcPr>
                <w:p>
                  <w:pPr>
                    <w:widowControl/>
                    <w:adjustRightInd w:val="0"/>
                    <w:snapToGrid w:val="0"/>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苯乙烯</w:t>
                  </w:r>
                </w:p>
              </w:tc>
              <w:tc>
                <w:tcPr>
                  <w:tcW w:w="1701" w:type="dxa"/>
                  <w:vMerge w:val="continue"/>
                  <w:tcBorders>
                    <w:left w:val="single" w:color="auto" w:sz="4" w:space="0"/>
                    <w:right w:val="single" w:color="auto" w:sz="4" w:space="0"/>
                  </w:tcBorders>
                  <w:vAlign w:val="center"/>
                </w:tcPr>
                <w:p>
                  <w:pPr>
                    <w:widowControl/>
                    <w:adjustRightInd w:val="0"/>
                    <w:snapToGrid w:val="0"/>
                    <w:jc w:val="center"/>
                  </w:pPr>
                </w:p>
              </w:tc>
              <w:tc>
                <w:tcPr>
                  <w:tcW w:w="1134" w:type="dxa"/>
                  <w:vMerge w:val="continue"/>
                  <w:tcBorders>
                    <w:left w:val="single" w:color="auto" w:sz="4" w:space="0"/>
                    <w:right w:val="single" w:color="auto" w:sz="4" w:space="0"/>
                  </w:tcBorders>
                  <w:vAlign w:val="center"/>
                </w:tcPr>
                <w:p>
                  <w:pPr>
                    <w:widowControl/>
                    <w:adjustRightInd w:val="0"/>
                    <w:snapToGrid w:val="0"/>
                    <w:jc w:val="center"/>
                  </w:pPr>
                </w:p>
              </w:tc>
              <w:tc>
                <w:tcPr>
                  <w:tcW w:w="3722" w:type="dxa"/>
                  <w:vMerge w:val="continue"/>
                  <w:tcBorders>
                    <w:left w:val="single" w:color="auto" w:sz="4" w:space="0"/>
                    <w:right w:val="single" w:color="auto" w:sz="4" w:space="0"/>
                  </w:tcBorders>
                  <w:vAlign w:val="center"/>
                </w:tcPr>
                <w:p>
                  <w:pPr>
                    <w:widowControl/>
                    <w:adjustRightInd w:val="0"/>
                    <w:snapToGrid w:val="0"/>
                    <w:jc w:val="center"/>
                    <w:rPr>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cs="宋体"/>
                    </w:rPr>
                    <w:t>颗粒物</w:t>
                  </w:r>
                </w:p>
              </w:tc>
              <w:tc>
                <w:tcPr>
                  <w:tcW w:w="1701" w:type="dxa"/>
                  <w:tcBorders>
                    <w:left w:val="single" w:color="auto" w:sz="4" w:space="0"/>
                    <w:right w:val="single" w:color="auto" w:sz="4" w:space="0"/>
                  </w:tcBorders>
                  <w:vAlign w:val="center"/>
                </w:tcPr>
                <w:p>
                  <w:pPr>
                    <w:widowControl/>
                    <w:adjustRightInd w:val="0"/>
                    <w:snapToGrid w:val="0"/>
                    <w:jc w:val="center"/>
                  </w:pPr>
                  <w:r>
                    <w:rPr>
                      <w:rFonts w:hint="eastAsia" w:cs="宋体"/>
                      <w:kern w:val="0"/>
                    </w:rPr>
                    <w:t>打磨室粉尘排气筒（</w:t>
                  </w:r>
                  <w:r>
                    <w:rPr>
                      <w:kern w:val="0"/>
                    </w:rPr>
                    <w:t>DA00</w:t>
                  </w:r>
                  <w:r>
                    <w:rPr>
                      <w:rFonts w:hint="eastAsia"/>
                      <w:kern w:val="0"/>
                    </w:rPr>
                    <w:t>3</w:t>
                  </w:r>
                  <w:r>
                    <w:rPr>
                      <w:rFonts w:hint="eastAsia" w:cs="宋体"/>
                      <w:kern w:val="0"/>
                    </w:rPr>
                    <w:t>）</w:t>
                  </w:r>
                </w:p>
              </w:tc>
              <w:tc>
                <w:tcPr>
                  <w:tcW w:w="1134" w:type="dxa"/>
                  <w:tcBorders>
                    <w:left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cs="宋体"/>
                    </w:rPr>
                    <w:t>年</w:t>
                  </w:r>
                </w:p>
              </w:tc>
              <w:tc>
                <w:tcPr>
                  <w:tcW w:w="3722" w:type="dxa"/>
                  <w:tcBorders>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rPr>
                      <w:rFonts w:hint="eastAsia"/>
                    </w:rPr>
                    <w:t>油烟</w:t>
                  </w:r>
                </w:p>
              </w:tc>
              <w:tc>
                <w:tcPr>
                  <w:tcW w:w="1701" w:type="dxa"/>
                  <w:tcBorders>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kern w:val="0"/>
                    </w:rPr>
                    <w:t>油烟排气筒</w:t>
                  </w:r>
                  <w:r>
                    <w:rPr>
                      <w:rFonts w:hint="eastAsia" w:cs="宋体"/>
                      <w:kern w:val="0"/>
                    </w:rPr>
                    <w:t>（</w:t>
                  </w:r>
                  <w:r>
                    <w:rPr>
                      <w:kern w:val="0"/>
                    </w:rPr>
                    <w:t>DA00</w:t>
                  </w:r>
                  <w:r>
                    <w:rPr>
                      <w:rFonts w:hint="eastAsia"/>
                      <w:kern w:val="0"/>
                    </w:rPr>
                    <w:t>4</w:t>
                  </w:r>
                  <w:r>
                    <w:rPr>
                      <w:rFonts w:hint="eastAsia" w:cs="宋体"/>
                      <w:kern w:val="0"/>
                    </w:rPr>
                    <w:t>）</w:t>
                  </w:r>
                </w:p>
              </w:tc>
              <w:tc>
                <w:tcPr>
                  <w:tcW w:w="1134" w:type="dxa"/>
                  <w:tcBorders>
                    <w:left w:val="single" w:color="auto" w:sz="4" w:space="0"/>
                    <w:bottom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cs="宋体"/>
                    </w:rPr>
                    <w:t>年</w:t>
                  </w:r>
                </w:p>
              </w:tc>
              <w:tc>
                <w:tcPr>
                  <w:tcW w:w="3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kern w:val="0"/>
                    </w:rPr>
                    <w:t>《饮食业油烟排放标准》（</w:t>
                  </w:r>
                  <w:r>
                    <w:rPr>
                      <w:rFonts w:hint="eastAsia"/>
                      <w:kern w:val="0"/>
                    </w:rPr>
                    <w:t>G</w:t>
                  </w:r>
                  <w:r>
                    <w:rPr>
                      <w:kern w:val="0"/>
                    </w:rPr>
                    <w:t>B18483-2001）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832" w:type="dxa"/>
                  <w:vMerge w:val="restart"/>
                  <w:tcBorders>
                    <w:left w:val="single" w:color="auto" w:sz="4" w:space="0"/>
                    <w:right w:val="single" w:color="auto" w:sz="4" w:space="0"/>
                  </w:tcBorders>
                  <w:vAlign w:val="center"/>
                </w:tcPr>
                <w:p>
                  <w:pPr>
                    <w:adjustRightInd w:val="0"/>
                    <w:snapToGrid w:val="0"/>
                    <w:jc w:val="center"/>
                    <w:rPr>
                      <w:kern w:val="0"/>
                    </w:rPr>
                  </w:pPr>
                  <w:r>
                    <w:rPr>
                      <w:rFonts w:hint="eastAsia" w:cs="宋体"/>
                      <w:kern w:val="0"/>
                    </w:rPr>
                    <w:t>无组织</w:t>
                  </w:r>
                </w:p>
              </w:tc>
              <w:tc>
                <w:tcPr>
                  <w:tcW w:w="127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rPr>
                  </w:pPr>
                  <w:r>
                    <w:rPr>
                      <w:rFonts w:hint="eastAsia" w:cs="宋体"/>
                    </w:rPr>
                    <w:t>非甲烷总烃</w:t>
                  </w:r>
                </w:p>
              </w:tc>
              <w:tc>
                <w:tcPr>
                  <w:tcW w:w="1701"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cs="宋体"/>
                      <w:kern w:val="0"/>
                    </w:rPr>
                    <w:t>厂区内（车间门、窗口处）</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cs="宋体"/>
                    </w:rPr>
                    <w:t>年</w:t>
                  </w:r>
                </w:p>
              </w:tc>
              <w:tc>
                <w:tcPr>
                  <w:tcW w:w="3722"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rPr>
                      <w:rFonts w:hint="eastAsia" w:cs="宋体"/>
                      <w:kern w:val="0"/>
                    </w:rPr>
                    <w:t>《挥发性有机物无组织排放控制标准》</w:t>
                  </w:r>
                  <w:r>
                    <w:rPr>
                      <w:rFonts w:cs="宋体"/>
                      <w:kern w:val="0"/>
                    </w:rPr>
                    <w:t>GB37822-2019</w:t>
                  </w:r>
                  <w:r>
                    <w:rPr>
                      <w:rFonts w:hint="eastAsia" w:cs="宋体"/>
                      <w:bCs/>
                      <w:kern w:val="0"/>
                    </w:rPr>
                    <w:t>表</w:t>
                  </w:r>
                  <w:r>
                    <w:rPr>
                      <w:rFonts w:cs="宋体"/>
                      <w:bCs/>
                      <w:kern w:val="0"/>
                    </w:rPr>
                    <w:t>A.1</w:t>
                  </w:r>
                  <w:r>
                    <w:rPr>
                      <w:rFonts w:hint="eastAsia" w:cs="宋体"/>
                      <w:bCs/>
                      <w:kern w:val="0"/>
                    </w:rPr>
                    <w:t>特别排放限值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kern w:val="0"/>
                    </w:rPr>
                  </w:pPr>
                  <w:r>
                    <w:rPr>
                      <w:rFonts w:hint="eastAsia" w:cs="宋体"/>
                    </w:rPr>
                    <w:t>非甲烷总烃</w:t>
                  </w:r>
                </w:p>
              </w:tc>
              <w:tc>
                <w:tcPr>
                  <w:tcW w:w="1701" w:type="dxa"/>
                  <w:vMerge w:val="restart"/>
                  <w:tcBorders>
                    <w:top w:val="single" w:color="auto" w:sz="4" w:space="0"/>
                    <w:left w:val="single" w:color="auto" w:sz="4" w:space="0"/>
                    <w:right w:val="single" w:color="auto" w:sz="4" w:space="0"/>
                  </w:tcBorders>
                  <w:vAlign w:val="center"/>
                </w:tcPr>
                <w:p>
                  <w:pPr>
                    <w:widowControl/>
                    <w:adjustRightInd w:val="0"/>
                    <w:snapToGrid w:val="0"/>
                    <w:jc w:val="center"/>
                    <w:rPr>
                      <w:kern w:val="0"/>
                    </w:rPr>
                  </w:pPr>
                  <w:r>
                    <w:rPr>
                      <w:rFonts w:hint="eastAsia" w:cs="宋体"/>
                    </w:rPr>
                    <w:t>项目厂界上风向和下风向</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kern w:val="0"/>
                    </w:rPr>
                  </w:pPr>
                  <w:r>
                    <w:t>1</w:t>
                  </w:r>
                  <w:r>
                    <w:rPr>
                      <w:rFonts w:hint="eastAsia" w:cs="宋体"/>
                    </w:rPr>
                    <w:t>次</w:t>
                  </w:r>
                  <w:r>
                    <w:t>/</w:t>
                  </w:r>
                  <w:r>
                    <w:rPr>
                      <w:rFonts w:hint="eastAsia" w:cs="宋体"/>
                    </w:rPr>
                    <w:t>年</w:t>
                  </w:r>
                </w:p>
              </w:tc>
              <w:tc>
                <w:tcPr>
                  <w:tcW w:w="3722" w:type="dxa"/>
                  <w:vMerge w:val="restart"/>
                  <w:tcBorders>
                    <w:top w:val="single" w:color="auto" w:sz="4" w:space="0"/>
                    <w:left w:val="single" w:color="auto" w:sz="4" w:space="0"/>
                    <w:right w:val="single" w:color="auto" w:sz="4" w:space="0"/>
                  </w:tcBorders>
                  <w:vAlign w:val="center"/>
                </w:tcPr>
                <w:p>
                  <w:pPr>
                    <w:adjustRightInd w:val="0"/>
                    <w:snapToGrid w:val="0"/>
                    <w:jc w:val="center"/>
                    <w:rPr>
                      <w:kern w:val="0"/>
                    </w:rPr>
                  </w:pPr>
                  <w:r>
                    <w:rPr>
                      <w:rFonts w:hint="eastAsia"/>
                      <w:kern w:val="0"/>
                    </w:rPr>
                    <w:t>《合成树脂工业污染物排放标准》（GB31572-2015）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32" w:type="dxa"/>
                  <w:vMerge w:val="continue"/>
                  <w:tcBorders>
                    <w:left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颗粒物</w:t>
                  </w:r>
                </w:p>
              </w:tc>
              <w:tc>
                <w:tcPr>
                  <w:tcW w:w="1701" w:type="dxa"/>
                  <w:vMerge w:val="continue"/>
                  <w:tcBorders>
                    <w:left w:val="single" w:color="auto" w:sz="4" w:space="0"/>
                    <w:right w:val="single" w:color="auto" w:sz="4" w:space="0"/>
                  </w:tcBorders>
                  <w:vAlign w:val="center"/>
                </w:tcPr>
                <w:p>
                  <w:pPr>
                    <w:widowControl/>
                    <w:adjustRightInd w:val="0"/>
                    <w:snapToGrid w:val="0"/>
                    <w:jc w:val="center"/>
                    <w:rPr>
                      <w:rFonts w:cs="宋体"/>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cs="宋体"/>
                    </w:rPr>
                    <w:t>年</w:t>
                  </w:r>
                </w:p>
              </w:tc>
              <w:tc>
                <w:tcPr>
                  <w:tcW w:w="3722" w:type="dxa"/>
                  <w:vMerge w:val="continue"/>
                  <w:tcBorders>
                    <w:left w:val="single" w:color="auto" w:sz="4" w:space="0"/>
                    <w:right w:val="single" w:color="auto" w:sz="4" w:space="0"/>
                  </w:tcBorders>
                  <w:vAlign w:val="center"/>
                </w:tcPr>
                <w:p>
                  <w:pPr>
                    <w:widowControl/>
                    <w:adjustRightInd w:val="0"/>
                    <w:snapToGrid w:val="0"/>
                    <w:jc w:val="center"/>
                    <w:rPr>
                      <w:rFonts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jc w:val="center"/>
              </w:trPr>
              <w:tc>
                <w:tcPr>
                  <w:tcW w:w="832"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kern w:val="0"/>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苯乙烯</w:t>
                  </w:r>
                </w:p>
              </w:tc>
              <w:tc>
                <w:tcPr>
                  <w:tcW w:w="1701" w:type="dxa"/>
                  <w:vMerge w:val="continue"/>
                  <w:tcBorders>
                    <w:left w:val="single" w:color="auto" w:sz="4" w:space="0"/>
                    <w:bottom w:val="single" w:color="auto" w:sz="4" w:space="0"/>
                    <w:right w:val="single" w:color="auto" w:sz="4" w:space="0"/>
                  </w:tcBorders>
                  <w:vAlign w:val="center"/>
                </w:tcPr>
                <w:p>
                  <w:pPr>
                    <w:widowControl/>
                    <w:adjustRightInd w:val="0"/>
                    <w:snapToGrid w:val="0"/>
                    <w:jc w:val="center"/>
                    <w:rPr>
                      <w:rFonts w:cs="宋体"/>
                    </w:rPr>
                  </w:pPr>
                </w:p>
              </w:tc>
              <w:tc>
                <w:tcPr>
                  <w:tcW w:w="1134"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pPr>
                  <w:r>
                    <w:t>1</w:t>
                  </w:r>
                  <w:r>
                    <w:rPr>
                      <w:rFonts w:hint="eastAsia" w:cs="宋体"/>
                    </w:rPr>
                    <w:t>次</w:t>
                  </w:r>
                  <w:r>
                    <w:t>/</w:t>
                  </w:r>
                  <w:r>
                    <w:rPr>
                      <w:rFonts w:hint="eastAsia" w:cs="宋体"/>
                    </w:rPr>
                    <w:t>年</w:t>
                  </w:r>
                </w:p>
              </w:tc>
              <w:tc>
                <w:tcPr>
                  <w:tcW w:w="3722" w:type="dxa"/>
                  <w:tcBorders>
                    <w:left w:val="single" w:color="auto" w:sz="4" w:space="0"/>
                    <w:bottom w:val="single" w:color="auto" w:sz="4" w:space="0"/>
                    <w:right w:val="single" w:color="auto" w:sz="4" w:space="0"/>
                  </w:tcBorders>
                  <w:vAlign w:val="center"/>
                </w:tcPr>
                <w:p>
                  <w:pPr>
                    <w:widowControl/>
                    <w:adjustRightInd w:val="0"/>
                    <w:snapToGrid w:val="0"/>
                    <w:jc w:val="center"/>
                    <w:rPr>
                      <w:rFonts w:cs="宋体"/>
                      <w:kern w:val="0"/>
                    </w:rPr>
                  </w:pPr>
                  <w:r>
                    <w:rPr>
                      <w:rFonts w:hint="eastAsia"/>
                    </w:rPr>
                    <w:t>《恶臭污染物排放标准》（GB14554-1993）</w:t>
                  </w:r>
                </w:p>
              </w:tc>
            </w:tr>
          </w:tbl>
          <w:p>
            <w:pPr>
              <w:adjustRightInd w:val="0"/>
              <w:snapToGrid w:val="0"/>
              <w:spacing w:line="360" w:lineRule="auto"/>
              <w:jc w:val="left"/>
              <w:rPr>
                <w:b/>
                <w:bCs/>
                <w:sz w:val="24"/>
                <w:szCs w:val="24"/>
              </w:rPr>
            </w:pPr>
            <w:r>
              <w:rPr>
                <w:b/>
                <w:bCs/>
                <w:sz w:val="24"/>
                <w:szCs w:val="24"/>
              </w:rPr>
              <w:t>2</w:t>
            </w:r>
            <w:r>
              <w:rPr>
                <w:rFonts w:hint="eastAsia"/>
                <w:b/>
                <w:bCs/>
                <w:sz w:val="24"/>
                <w:szCs w:val="24"/>
              </w:rPr>
              <w:t>、</w:t>
            </w:r>
            <w:r>
              <w:rPr>
                <w:rFonts w:cs="宋体"/>
                <w:b/>
                <w:bCs/>
                <w:sz w:val="24"/>
                <w:szCs w:val="24"/>
              </w:rPr>
              <w:t>废水环境影响分析及防治对策</w:t>
            </w:r>
          </w:p>
          <w:p>
            <w:pPr>
              <w:adjustRightInd w:val="0"/>
              <w:snapToGrid w:val="0"/>
              <w:spacing w:line="360" w:lineRule="auto"/>
              <w:jc w:val="left"/>
              <w:rPr>
                <w:b/>
                <w:bCs/>
                <w:sz w:val="24"/>
                <w:szCs w:val="24"/>
              </w:rPr>
            </w:pPr>
            <w:r>
              <w:rPr>
                <w:rFonts w:hint="eastAsia"/>
                <w:b/>
                <w:bCs/>
                <w:sz w:val="24"/>
                <w:szCs w:val="24"/>
              </w:rPr>
              <w:t>（1）废水排放情况</w:t>
            </w:r>
          </w:p>
          <w:p>
            <w:pPr>
              <w:widowControl/>
              <w:adjustRightInd w:val="0"/>
              <w:snapToGrid w:val="0"/>
              <w:spacing w:line="360" w:lineRule="auto"/>
              <w:ind w:firstLine="480" w:firstLineChars="200"/>
              <w:rPr>
                <w:rFonts w:cs="宋体"/>
                <w:kern w:val="0"/>
                <w:sz w:val="24"/>
                <w:szCs w:val="24"/>
              </w:rPr>
            </w:pPr>
            <w:r>
              <w:rPr>
                <w:rFonts w:hint="eastAsia" w:cs="宋体"/>
                <w:kern w:val="0"/>
                <w:sz w:val="24"/>
                <w:szCs w:val="24"/>
              </w:rPr>
              <w:t>项目运营期无生产废水排放，排水仅为生活污水。食堂废水经油水分离器后与办公生活污水一同排入厂区化粪池处理，满足《污水综合排放标准》（</w:t>
            </w:r>
            <w:r>
              <w:rPr>
                <w:kern w:val="0"/>
                <w:sz w:val="24"/>
                <w:szCs w:val="24"/>
              </w:rPr>
              <w:t>GB8978-1996</w:t>
            </w:r>
            <w:r>
              <w:rPr>
                <w:rFonts w:hint="eastAsia" w:cs="宋体"/>
                <w:kern w:val="0"/>
                <w:sz w:val="24"/>
                <w:szCs w:val="24"/>
              </w:rPr>
              <w:t>）中三级标准及《污水排入城镇下水道水质标准》中</w:t>
            </w:r>
            <w:r>
              <w:rPr>
                <w:kern w:val="0"/>
                <w:sz w:val="24"/>
                <w:szCs w:val="24"/>
              </w:rPr>
              <w:t>B</w:t>
            </w:r>
            <w:r>
              <w:rPr>
                <w:rFonts w:hint="eastAsia" w:cs="宋体"/>
                <w:kern w:val="0"/>
                <w:sz w:val="24"/>
                <w:szCs w:val="24"/>
              </w:rPr>
              <w:t>级标准要求，通过园区污水管网排入</w:t>
            </w:r>
            <w:r>
              <w:rPr>
                <w:rFonts w:hint="eastAsia" w:cs="宋体"/>
                <w:bCs/>
                <w:kern w:val="0"/>
                <w:sz w:val="24"/>
                <w:szCs w:val="24"/>
              </w:rPr>
              <w:t>靖边</w:t>
            </w:r>
            <w:r>
              <w:rPr>
                <w:rFonts w:cs="宋体"/>
                <w:bCs/>
                <w:kern w:val="0"/>
                <w:sz w:val="24"/>
                <w:szCs w:val="24"/>
              </w:rPr>
              <w:t>县</w:t>
            </w:r>
            <w:r>
              <w:rPr>
                <w:rFonts w:hint="eastAsia" w:cs="宋体"/>
                <w:bCs/>
                <w:kern w:val="0"/>
                <w:sz w:val="24"/>
                <w:szCs w:val="24"/>
              </w:rPr>
              <w:t>经济技术开发区</w:t>
            </w:r>
            <w:r>
              <w:rPr>
                <w:rFonts w:cs="宋体"/>
                <w:bCs/>
                <w:kern w:val="0"/>
                <w:sz w:val="24"/>
                <w:szCs w:val="24"/>
              </w:rPr>
              <w:t>杨桥畔镇污水处理厂</w:t>
            </w:r>
            <w:r>
              <w:rPr>
                <w:rFonts w:hint="eastAsia" w:cs="宋体"/>
                <w:kern w:val="0"/>
                <w:sz w:val="24"/>
                <w:szCs w:val="24"/>
              </w:rPr>
              <w:t>集中处理。</w:t>
            </w:r>
          </w:p>
          <w:p>
            <w:pPr>
              <w:adjustRightInd w:val="0"/>
              <w:snapToGrid w:val="0"/>
              <w:jc w:val="center"/>
              <w:rPr>
                <w:b/>
                <w:bCs/>
                <w:snapToGrid w:val="0"/>
                <w:kern w:val="0"/>
                <w:szCs w:val="16"/>
              </w:rPr>
            </w:pPr>
          </w:p>
          <w:p>
            <w:pPr>
              <w:adjustRightInd w:val="0"/>
              <w:snapToGrid w:val="0"/>
              <w:jc w:val="center"/>
              <w:rPr>
                <w:b/>
                <w:bCs/>
                <w:snapToGrid w:val="0"/>
                <w:kern w:val="0"/>
                <w:szCs w:val="16"/>
              </w:rPr>
            </w:pPr>
            <w:r>
              <w:rPr>
                <w:b/>
                <w:bCs/>
                <w:snapToGrid w:val="0"/>
                <w:kern w:val="0"/>
                <w:szCs w:val="16"/>
              </w:rPr>
              <w:t>表4-</w:t>
            </w:r>
            <w:r>
              <w:rPr>
                <w:rFonts w:hint="eastAsia"/>
                <w:b/>
                <w:bCs/>
                <w:snapToGrid w:val="0"/>
                <w:kern w:val="0"/>
                <w:szCs w:val="16"/>
              </w:rPr>
              <w:t>7 生活</w:t>
            </w:r>
            <w:r>
              <w:rPr>
                <w:b/>
                <w:bCs/>
                <w:snapToGrid w:val="0"/>
                <w:kern w:val="0"/>
                <w:szCs w:val="16"/>
              </w:rPr>
              <w:t>废水污染物排</w:t>
            </w:r>
            <w:r>
              <w:rPr>
                <w:rFonts w:hint="eastAsia"/>
                <w:b/>
                <w:bCs/>
                <w:snapToGrid w:val="0"/>
                <w:kern w:val="0"/>
                <w:szCs w:val="16"/>
              </w:rPr>
              <w:t>放</w:t>
            </w:r>
            <w:r>
              <w:rPr>
                <w:b/>
                <w:bCs/>
                <w:snapToGrid w:val="0"/>
                <w:kern w:val="0"/>
                <w:szCs w:val="16"/>
              </w:rPr>
              <w:t>情况一览表</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4"/>
              <w:gridCol w:w="2021"/>
              <w:gridCol w:w="1344"/>
              <w:gridCol w:w="913"/>
              <w:gridCol w:w="880"/>
              <w:gridCol w:w="881"/>
              <w:gridCol w:w="839"/>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560" w:type="pct"/>
                  <w:gridSpan w:val="2"/>
                  <w:vAlign w:val="center"/>
                </w:tcPr>
                <w:p>
                  <w:pPr>
                    <w:widowControl/>
                    <w:adjustRightInd w:val="0"/>
                    <w:snapToGrid w:val="0"/>
                    <w:jc w:val="center"/>
                  </w:pPr>
                  <w:r>
                    <w:rPr>
                      <w:rFonts w:hint="eastAsia"/>
                    </w:rPr>
                    <w:t>指标</w:t>
                  </w:r>
                </w:p>
              </w:tc>
              <w:tc>
                <w:tcPr>
                  <w:tcW w:w="761" w:type="pct"/>
                  <w:vAlign w:val="center"/>
                </w:tcPr>
                <w:p>
                  <w:pPr>
                    <w:widowControl/>
                    <w:adjustRightInd w:val="0"/>
                    <w:snapToGrid w:val="0"/>
                    <w:jc w:val="center"/>
                  </w:pPr>
                  <w:r>
                    <w:rPr>
                      <w:rFonts w:hint="eastAsia"/>
                    </w:rPr>
                    <w:t>pH</w:t>
                  </w:r>
                </w:p>
                <w:p>
                  <w:pPr>
                    <w:widowControl/>
                    <w:adjustRightInd w:val="0"/>
                    <w:snapToGrid w:val="0"/>
                    <w:jc w:val="center"/>
                  </w:pPr>
                  <w:r>
                    <w:rPr>
                      <w:rFonts w:hint="eastAsia"/>
                    </w:rPr>
                    <w:t>（无量纲）</w:t>
                  </w:r>
                </w:p>
              </w:tc>
              <w:tc>
                <w:tcPr>
                  <w:tcW w:w="517" w:type="pct"/>
                  <w:vAlign w:val="center"/>
                </w:tcPr>
                <w:p>
                  <w:pPr>
                    <w:widowControl/>
                    <w:adjustRightInd w:val="0"/>
                    <w:snapToGrid w:val="0"/>
                    <w:jc w:val="center"/>
                  </w:pPr>
                  <w:r>
                    <w:rPr>
                      <w:rFonts w:hint="eastAsia"/>
                    </w:rPr>
                    <w:t>COD</w:t>
                  </w:r>
                </w:p>
              </w:tc>
              <w:tc>
                <w:tcPr>
                  <w:tcW w:w="498" w:type="pct"/>
                  <w:vAlign w:val="center"/>
                </w:tcPr>
                <w:p>
                  <w:pPr>
                    <w:widowControl/>
                    <w:adjustRightInd w:val="0"/>
                    <w:snapToGrid w:val="0"/>
                    <w:jc w:val="center"/>
                  </w:pPr>
                  <w:r>
                    <w:t>BOD</w:t>
                  </w:r>
                  <w:r>
                    <w:rPr>
                      <w:vertAlign w:val="subscript"/>
                    </w:rPr>
                    <w:t>5</w:t>
                  </w:r>
                </w:p>
              </w:tc>
              <w:tc>
                <w:tcPr>
                  <w:tcW w:w="499" w:type="pct"/>
                  <w:vAlign w:val="center"/>
                </w:tcPr>
                <w:p>
                  <w:pPr>
                    <w:widowControl/>
                    <w:adjustRightInd w:val="0"/>
                    <w:snapToGrid w:val="0"/>
                    <w:jc w:val="center"/>
                  </w:pPr>
                  <w:r>
                    <w:rPr>
                      <w:rFonts w:hint="eastAsia"/>
                    </w:rPr>
                    <w:t>氨氮</w:t>
                  </w:r>
                </w:p>
              </w:tc>
              <w:tc>
                <w:tcPr>
                  <w:tcW w:w="475" w:type="pct"/>
                  <w:vAlign w:val="center"/>
                </w:tcPr>
                <w:p>
                  <w:pPr>
                    <w:widowControl/>
                    <w:adjustRightInd w:val="0"/>
                    <w:snapToGrid w:val="0"/>
                    <w:jc w:val="center"/>
                  </w:pPr>
                  <w:r>
                    <w:rPr>
                      <w:rFonts w:hint="eastAsia"/>
                    </w:rPr>
                    <w:t>SS</w:t>
                  </w:r>
                </w:p>
              </w:tc>
              <w:tc>
                <w:tcPr>
                  <w:tcW w:w="691" w:type="pct"/>
                  <w:vAlign w:val="center"/>
                </w:tcPr>
                <w:p>
                  <w:pPr>
                    <w:widowControl/>
                    <w:adjustRightInd w:val="0"/>
                    <w:snapToGrid w:val="0"/>
                    <w:jc w:val="center"/>
                  </w:pPr>
                  <w:r>
                    <w:rPr>
                      <w:rFonts w:hint="eastAsia"/>
                    </w:rPr>
                    <w:t>动植物油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16" w:type="pct"/>
                  <w:vMerge w:val="restart"/>
                  <w:vAlign w:val="center"/>
                </w:tcPr>
                <w:p>
                  <w:pPr>
                    <w:adjustRightInd w:val="0"/>
                    <w:snapToGrid w:val="0"/>
                    <w:jc w:val="center"/>
                  </w:pPr>
                  <w:r>
                    <w:rPr>
                      <w:rFonts w:hint="eastAsia"/>
                    </w:rPr>
                    <w:t>生活污水</w:t>
                  </w:r>
                </w:p>
              </w:tc>
              <w:tc>
                <w:tcPr>
                  <w:tcW w:w="1144" w:type="pct"/>
                  <w:vAlign w:val="center"/>
                </w:tcPr>
                <w:p>
                  <w:pPr>
                    <w:widowControl/>
                    <w:adjustRightInd w:val="0"/>
                    <w:snapToGrid w:val="0"/>
                    <w:jc w:val="center"/>
                  </w:pPr>
                  <w:r>
                    <w:rPr>
                      <w:rFonts w:hint="eastAsia"/>
                    </w:rPr>
                    <w:t>治理措施</w:t>
                  </w:r>
                </w:p>
              </w:tc>
              <w:tc>
                <w:tcPr>
                  <w:tcW w:w="3440" w:type="pct"/>
                  <w:gridSpan w:val="6"/>
                  <w:vAlign w:val="center"/>
                </w:tcPr>
                <w:p>
                  <w:pPr>
                    <w:widowControl/>
                    <w:adjustRightInd w:val="0"/>
                    <w:snapToGrid w:val="0"/>
                    <w:jc w:val="center"/>
                  </w:pPr>
                  <w:r>
                    <w:rPr>
                      <w:rFonts w:hint="eastAsia"/>
                    </w:rPr>
                    <w:t>油水分离器、化粪池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416" w:type="pct"/>
                  <w:vMerge w:val="continue"/>
                  <w:vAlign w:val="center"/>
                </w:tcPr>
                <w:p>
                  <w:pPr>
                    <w:adjustRightInd w:val="0"/>
                    <w:snapToGrid w:val="0"/>
                    <w:jc w:val="center"/>
                  </w:pPr>
                </w:p>
              </w:tc>
              <w:tc>
                <w:tcPr>
                  <w:tcW w:w="1144" w:type="pct"/>
                  <w:vAlign w:val="center"/>
                </w:tcPr>
                <w:p>
                  <w:pPr>
                    <w:widowControl/>
                    <w:adjustRightInd w:val="0"/>
                    <w:snapToGrid w:val="0"/>
                    <w:jc w:val="center"/>
                  </w:pPr>
                  <w:r>
                    <w:rPr>
                      <w:rFonts w:hint="eastAsia"/>
                    </w:rPr>
                    <w:t>废水排放量（t/a）</w:t>
                  </w:r>
                </w:p>
              </w:tc>
              <w:tc>
                <w:tcPr>
                  <w:tcW w:w="3440" w:type="pct"/>
                  <w:gridSpan w:val="6"/>
                  <w:vAlign w:val="center"/>
                </w:tcPr>
                <w:p>
                  <w:pPr>
                    <w:widowControl/>
                    <w:adjustRightInd w:val="0"/>
                    <w:snapToGrid w:val="0"/>
                    <w:jc w:val="center"/>
                    <w:rPr>
                      <w:snapToGrid w:val="0"/>
                      <w:kern w:val="0"/>
                    </w:rPr>
                  </w:pPr>
                  <w:r>
                    <w:rPr>
                      <w:rFonts w:hint="eastAsia"/>
                      <w:snapToGrid w:val="0"/>
                      <w:kern w:val="0"/>
                    </w:rPr>
                    <w:t>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416" w:type="pct"/>
                  <w:vMerge w:val="continue"/>
                  <w:vAlign w:val="center"/>
                </w:tcPr>
                <w:p>
                  <w:pPr>
                    <w:adjustRightInd w:val="0"/>
                    <w:snapToGrid w:val="0"/>
                    <w:jc w:val="center"/>
                  </w:pPr>
                </w:p>
              </w:tc>
              <w:tc>
                <w:tcPr>
                  <w:tcW w:w="1144" w:type="pct"/>
                  <w:vAlign w:val="center"/>
                </w:tcPr>
                <w:p>
                  <w:pPr>
                    <w:widowControl/>
                    <w:adjustRightInd w:val="0"/>
                    <w:snapToGrid w:val="0"/>
                    <w:jc w:val="center"/>
                  </w:pPr>
                  <w:r>
                    <w:rPr>
                      <w:rFonts w:hint="eastAsia"/>
                    </w:rPr>
                    <w:t>排放浓度（mg/L）</w:t>
                  </w:r>
                </w:p>
              </w:tc>
              <w:tc>
                <w:tcPr>
                  <w:tcW w:w="761" w:type="pct"/>
                  <w:vAlign w:val="center"/>
                </w:tcPr>
                <w:p>
                  <w:pPr>
                    <w:widowControl/>
                    <w:adjustRightInd w:val="0"/>
                    <w:snapToGrid w:val="0"/>
                    <w:jc w:val="center"/>
                  </w:pPr>
                  <w:r>
                    <w:rPr>
                      <w:rFonts w:hint="eastAsia"/>
                    </w:rPr>
                    <w:t>6～9</w:t>
                  </w:r>
                </w:p>
              </w:tc>
              <w:tc>
                <w:tcPr>
                  <w:tcW w:w="517" w:type="pct"/>
                  <w:vAlign w:val="center"/>
                </w:tcPr>
                <w:p>
                  <w:pPr>
                    <w:widowControl/>
                    <w:adjustRightInd w:val="0"/>
                    <w:snapToGrid w:val="0"/>
                    <w:jc w:val="center"/>
                  </w:pPr>
                  <w:r>
                    <w:rPr>
                      <w:rFonts w:hint="eastAsia"/>
                    </w:rPr>
                    <w:t>400</w:t>
                  </w:r>
                </w:p>
              </w:tc>
              <w:tc>
                <w:tcPr>
                  <w:tcW w:w="498" w:type="pct"/>
                  <w:vAlign w:val="center"/>
                </w:tcPr>
                <w:p>
                  <w:pPr>
                    <w:widowControl/>
                    <w:adjustRightInd w:val="0"/>
                    <w:snapToGrid w:val="0"/>
                    <w:jc w:val="center"/>
                  </w:pPr>
                  <w:r>
                    <w:rPr>
                      <w:rFonts w:hint="eastAsia"/>
                    </w:rPr>
                    <w:t>220</w:t>
                  </w:r>
                </w:p>
              </w:tc>
              <w:tc>
                <w:tcPr>
                  <w:tcW w:w="499" w:type="pct"/>
                  <w:vAlign w:val="center"/>
                </w:tcPr>
                <w:p>
                  <w:pPr>
                    <w:widowControl/>
                    <w:adjustRightInd w:val="0"/>
                    <w:snapToGrid w:val="0"/>
                    <w:jc w:val="center"/>
                  </w:pPr>
                  <w:r>
                    <w:rPr>
                      <w:rFonts w:hint="eastAsia"/>
                    </w:rPr>
                    <w:t>40</w:t>
                  </w:r>
                </w:p>
              </w:tc>
              <w:tc>
                <w:tcPr>
                  <w:tcW w:w="475" w:type="pct"/>
                  <w:vAlign w:val="center"/>
                </w:tcPr>
                <w:p>
                  <w:pPr>
                    <w:widowControl/>
                    <w:adjustRightInd w:val="0"/>
                    <w:snapToGrid w:val="0"/>
                    <w:jc w:val="center"/>
                  </w:pPr>
                  <w:r>
                    <w:rPr>
                      <w:rFonts w:hint="eastAsia"/>
                    </w:rPr>
                    <w:t>300</w:t>
                  </w:r>
                </w:p>
              </w:tc>
              <w:tc>
                <w:tcPr>
                  <w:tcW w:w="691" w:type="pct"/>
                  <w:vAlign w:val="center"/>
                </w:tcPr>
                <w:p>
                  <w:pPr>
                    <w:widowControl/>
                    <w:adjustRightInd w:val="0"/>
                    <w:snapToGrid w:val="0"/>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416" w:type="pct"/>
                  <w:vMerge w:val="continue"/>
                  <w:vAlign w:val="center"/>
                </w:tcPr>
                <w:p>
                  <w:pPr>
                    <w:adjustRightInd w:val="0"/>
                    <w:snapToGrid w:val="0"/>
                    <w:jc w:val="center"/>
                  </w:pPr>
                </w:p>
              </w:tc>
              <w:tc>
                <w:tcPr>
                  <w:tcW w:w="1144" w:type="pct"/>
                  <w:vAlign w:val="center"/>
                </w:tcPr>
                <w:p>
                  <w:pPr>
                    <w:widowControl/>
                    <w:adjustRightInd w:val="0"/>
                    <w:snapToGrid w:val="0"/>
                    <w:jc w:val="center"/>
                  </w:pPr>
                  <w:r>
                    <w:rPr>
                      <w:rFonts w:hint="eastAsia"/>
                    </w:rPr>
                    <w:t>排放量（t/a）</w:t>
                  </w:r>
                </w:p>
              </w:tc>
              <w:tc>
                <w:tcPr>
                  <w:tcW w:w="761" w:type="pct"/>
                  <w:vAlign w:val="center"/>
                </w:tcPr>
                <w:p>
                  <w:pPr>
                    <w:widowControl/>
                    <w:adjustRightInd w:val="0"/>
                    <w:snapToGrid w:val="0"/>
                    <w:jc w:val="center"/>
                  </w:pPr>
                  <w:r>
                    <w:rPr>
                      <w:rFonts w:hint="eastAsia"/>
                    </w:rPr>
                    <w:t>/</w:t>
                  </w:r>
                </w:p>
              </w:tc>
              <w:tc>
                <w:tcPr>
                  <w:tcW w:w="517" w:type="pct"/>
                  <w:vAlign w:val="center"/>
                </w:tcPr>
                <w:p>
                  <w:pPr>
                    <w:widowControl/>
                    <w:adjustRightInd w:val="0"/>
                    <w:snapToGrid w:val="0"/>
                    <w:jc w:val="center"/>
                  </w:pPr>
                  <w:r>
                    <w:rPr>
                      <w:rFonts w:hint="eastAsia"/>
                    </w:rPr>
                    <w:t>0.25</w:t>
                  </w:r>
                </w:p>
              </w:tc>
              <w:tc>
                <w:tcPr>
                  <w:tcW w:w="498" w:type="pct"/>
                  <w:vAlign w:val="center"/>
                </w:tcPr>
                <w:p>
                  <w:pPr>
                    <w:widowControl/>
                    <w:adjustRightInd w:val="0"/>
                    <w:snapToGrid w:val="0"/>
                    <w:jc w:val="center"/>
                  </w:pPr>
                  <w:r>
                    <w:rPr>
                      <w:rFonts w:hint="eastAsia"/>
                    </w:rPr>
                    <w:t>0.14</w:t>
                  </w:r>
                </w:p>
              </w:tc>
              <w:tc>
                <w:tcPr>
                  <w:tcW w:w="499" w:type="pct"/>
                  <w:vAlign w:val="center"/>
                </w:tcPr>
                <w:p>
                  <w:pPr>
                    <w:widowControl/>
                    <w:adjustRightInd w:val="0"/>
                    <w:snapToGrid w:val="0"/>
                    <w:jc w:val="center"/>
                  </w:pPr>
                  <w:r>
                    <w:rPr>
                      <w:rFonts w:hint="eastAsia"/>
                    </w:rPr>
                    <w:t>0.02</w:t>
                  </w:r>
                </w:p>
              </w:tc>
              <w:tc>
                <w:tcPr>
                  <w:tcW w:w="475" w:type="pct"/>
                  <w:vAlign w:val="center"/>
                </w:tcPr>
                <w:p>
                  <w:pPr>
                    <w:widowControl/>
                    <w:adjustRightInd w:val="0"/>
                    <w:snapToGrid w:val="0"/>
                    <w:jc w:val="center"/>
                  </w:pPr>
                  <w:r>
                    <w:rPr>
                      <w:rFonts w:hint="eastAsia"/>
                    </w:rPr>
                    <w:t>0.19</w:t>
                  </w:r>
                </w:p>
              </w:tc>
              <w:tc>
                <w:tcPr>
                  <w:tcW w:w="691" w:type="pct"/>
                  <w:vAlign w:val="center"/>
                </w:tcPr>
                <w:p>
                  <w:pPr>
                    <w:widowControl/>
                    <w:adjustRightInd w:val="0"/>
                    <w:snapToGrid w:val="0"/>
                    <w:jc w:val="center"/>
                  </w:pPr>
                  <w:r>
                    <w:rPr>
                      <w:rFonts w:hint="eastAsia"/>
                    </w:rPr>
                    <w:t>0.006</w:t>
                  </w:r>
                </w:p>
              </w:tc>
            </w:tr>
          </w:tbl>
          <w:p>
            <w:pPr>
              <w:adjustRightInd w:val="0"/>
              <w:spacing w:line="360" w:lineRule="auto"/>
              <w:ind w:firstLine="480" w:firstLineChars="200"/>
              <w:rPr>
                <w:kern w:val="0"/>
                <w:sz w:val="24"/>
              </w:rPr>
            </w:pPr>
            <w:r>
              <w:rPr>
                <w:rFonts w:hint="eastAsia"/>
                <w:kern w:val="0"/>
                <w:sz w:val="24"/>
              </w:rPr>
              <w:t>项目生活废水中各污染因子的排放浓度均满足《污水综合排放标准》（GB8978-1996）三级标准及《污水排入城镇下水道水质标准》（GB/T31962-2015）中B级相关限值要求。</w:t>
            </w:r>
          </w:p>
          <w:p>
            <w:pPr>
              <w:adjustRightInd w:val="0"/>
              <w:snapToGrid w:val="0"/>
              <w:spacing w:line="360" w:lineRule="auto"/>
              <w:jc w:val="left"/>
              <w:rPr>
                <w:rFonts w:cs="宋体"/>
                <w:b/>
                <w:bCs/>
                <w:sz w:val="24"/>
                <w:szCs w:val="24"/>
              </w:rPr>
            </w:pPr>
            <w:r>
              <w:rPr>
                <w:rFonts w:hint="eastAsia"/>
                <w:b/>
                <w:bCs/>
                <w:sz w:val="24"/>
                <w:szCs w:val="24"/>
              </w:rPr>
              <w:t>（2）</w:t>
            </w:r>
            <w:r>
              <w:rPr>
                <w:rFonts w:hint="eastAsia" w:cs="宋体"/>
                <w:b/>
                <w:bCs/>
                <w:sz w:val="24"/>
                <w:szCs w:val="24"/>
              </w:rPr>
              <w:t>废水排放口设置</w:t>
            </w:r>
          </w:p>
          <w:p>
            <w:pPr>
              <w:autoSpaceDE w:val="0"/>
              <w:autoSpaceDN w:val="0"/>
              <w:adjustRightInd w:val="0"/>
              <w:snapToGrid w:val="0"/>
              <w:spacing w:line="360" w:lineRule="auto"/>
              <w:jc w:val="center"/>
              <w:rPr>
                <w:rFonts w:cs="宋体"/>
                <w:b/>
                <w:bCs/>
                <w:kern w:val="24"/>
                <w:szCs w:val="24"/>
              </w:rPr>
            </w:pPr>
            <w:r>
              <w:rPr>
                <w:rFonts w:hint="eastAsia" w:cs="宋体"/>
                <w:b/>
                <w:bCs/>
                <w:kern w:val="24"/>
                <w:szCs w:val="24"/>
              </w:rPr>
              <w:t>表</w:t>
            </w:r>
            <w:r>
              <w:rPr>
                <w:b/>
                <w:bCs/>
                <w:kern w:val="24"/>
                <w:szCs w:val="24"/>
              </w:rPr>
              <w:t>4-</w:t>
            </w:r>
            <w:r>
              <w:rPr>
                <w:rFonts w:hint="eastAsia"/>
                <w:b/>
                <w:bCs/>
                <w:kern w:val="24"/>
                <w:szCs w:val="24"/>
              </w:rPr>
              <w:t xml:space="preserve">8 </w:t>
            </w:r>
            <w:r>
              <w:rPr>
                <w:rFonts w:hint="eastAsia" w:cs="宋体"/>
                <w:b/>
                <w:bCs/>
                <w:kern w:val="24"/>
                <w:szCs w:val="24"/>
              </w:rPr>
              <w:t>废水类别、污染物及污染治理设施信息表</w:t>
            </w:r>
          </w:p>
          <w:tbl>
            <w:tblPr>
              <w:tblStyle w:val="3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1042"/>
              <w:gridCol w:w="966"/>
              <w:gridCol w:w="966"/>
              <w:gridCol w:w="980"/>
              <w:gridCol w:w="966"/>
              <w:gridCol w:w="968"/>
              <w:gridCol w:w="1010"/>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restart"/>
                  <w:vAlign w:val="center"/>
                </w:tcPr>
                <w:p>
                  <w:pPr>
                    <w:pStyle w:val="2"/>
                    <w:ind w:firstLine="0"/>
                    <w:jc w:val="center"/>
                    <w:rPr>
                      <w:rFonts w:ascii="Times New Roman" w:hAnsi="Times New Roman"/>
                    </w:rPr>
                  </w:pPr>
                  <w:r>
                    <w:rPr>
                      <w:rFonts w:hint="eastAsia" w:ascii="Times New Roman" w:hAnsi="Times New Roman"/>
                    </w:rPr>
                    <w:t>废水类别</w:t>
                  </w:r>
                </w:p>
              </w:tc>
              <w:tc>
                <w:tcPr>
                  <w:tcW w:w="590" w:type="pct"/>
                  <w:vMerge w:val="restart"/>
                  <w:vAlign w:val="center"/>
                </w:tcPr>
                <w:p>
                  <w:pPr>
                    <w:pStyle w:val="2"/>
                    <w:ind w:firstLine="0"/>
                    <w:jc w:val="center"/>
                    <w:rPr>
                      <w:rFonts w:ascii="Times New Roman" w:hAnsi="Times New Roman"/>
                    </w:rPr>
                  </w:pPr>
                  <w:r>
                    <w:rPr>
                      <w:rFonts w:hint="eastAsia" w:ascii="Times New Roman" w:hAnsi="Times New Roman"/>
                    </w:rPr>
                    <w:t>污染物种类</w:t>
                  </w:r>
                </w:p>
              </w:tc>
              <w:tc>
                <w:tcPr>
                  <w:tcW w:w="547" w:type="pct"/>
                  <w:vMerge w:val="restart"/>
                  <w:vAlign w:val="center"/>
                </w:tcPr>
                <w:p>
                  <w:pPr>
                    <w:pStyle w:val="2"/>
                    <w:ind w:firstLine="0"/>
                    <w:jc w:val="center"/>
                    <w:rPr>
                      <w:rFonts w:ascii="Times New Roman" w:hAnsi="Times New Roman"/>
                    </w:rPr>
                  </w:pPr>
                  <w:r>
                    <w:rPr>
                      <w:rFonts w:hint="eastAsia" w:ascii="Times New Roman" w:hAnsi="Times New Roman"/>
                    </w:rPr>
                    <w:t>排放去向</w:t>
                  </w:r>
                </w:p>
              </w:tc>
              <w:tc>
                <w:tcPr>
                  <w:tcW w:w="547" w:type="pct"/>
                  <w:vMerge w:val="restart"/>
                  <w:vAlign w:val="center"/>
                </w:tcPr>
                <w:p>
                  <w:pPr>
                    <w:pStyle w:val="2"/>
                    <w:ind w:firstLine="0"/>
                    <w:jc w:val="center"/>
                    <w:rPr>
                      <w:rFonts w:ascii="Times New Roman" w:hAnsi="Times New Roman"/>
                    </w:rPr>
                  </w:pPr>
                  <w:r>
                    <w:rPr>
                      <w:rFonts w:hint="eastAsia" w:ascii="Times New Roman" w:hAnsi="Times New Roman"/>
                    </w:rPr>
                    <w:t>排放规律</w:t>
                  </w:r>
                </w:p>
              </w:tc>
              <w:tc>
                <w:tcPr>
                  <w:tcW w:w="1649" w:type="pct"/>
                  <w:gridSpan w:val="3"/>
                  <w:vAlign w:val="center"/>
                </w:tcPr>
                <w:p>
                  <w:pPr>
                    <w:pStyle w:val="2"/>
                    <w:ind w:firstLine="0"/>
                    <w:jc w:val="center"/>
                    <w:rPr>
                      <w:rFonts w:ascii="Times New Roman" w:hAnsi="Times New Roman"/>
                    </w:rPr>
                  </w:pPr>
                  <w:r>
                    <w:rPr>
                      <w:rFonts w:hint="eastAsia" w:ascii="Times New Roman" w:hAnsi="Times New Roman"/>
                    </w:rPr>
                    <w:t>污染治理设施</w:t>
                  </w:r>
                </w:p>
              </w:tc>
              <w:tc>
                <w:tcPr>
                  <w:tcW w:w="572" w:type="pct"/>
                  <w:vMerge w:val="restart"/>
                  <w:vAlign w:val="center"/>
                </w:tcPr>
                <w:p>
                  <w:pPr>
                    <w:pStyle w:val="2"/>
                    <w:ind w:firstLine="0"/>
                    <w:jc w:val="center"/>
                    <w:rPr>
                      <w:rFonts w:ascii="Times New Roman" w:hAnsi="Times New Roman"/>
                    </w:rPr>
                  </w:pPr>
                  <w:r>
                    <w:rPr>
                      <w:rFonts w:hint="eastAsia" w:ascii="Times New Roman" w:hAnsi="Times New Roman"/>
                    </w:rPr>
                    <w:t>排放口编号</w:t>
                  </w:r>
                </w:p>
              </w:tc>
              <w:tc>
                <w:tcPr>
                  <w:tcW w:w="548" w:type="pct"/>
                  <w:vMerge w:val="restart"/>
                  <w:vAlign w:val="center"/>
                </w:tcPr>
                <w:p>
                  <w:pPr>
                    <w:pStyle w:val="2"/>
                    <w:ind w:firstLine="0"/>
                    <w:jc w:val="center"/>
                    <w:rPr>
                      <w:rFonts w:ascii="Times New Roman" w:hAnsi="Times New Roman"/>
                    </w:rPr>
                  </w:pPr>
                  <w:r>
                    <w:rPr>
                      <w:rFonts w:hint="eastAsia" w:ascii="Times New Roman" w:hAnsi="Times New Roman"/>
                    </w:rPr>
                    <w:t>排放口设置是否符合要求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Merge w:val="continue"/>
                  <w:vAlign w:val="center"/>
                </w:tcPr>
                <w:p>
                  <w:pPr>
                    <w:pStyle w:val="2"/>
                    <w:ind w:firstLine="0"/>
                    <w:jc w:val="center"/>
                    <w:rPr>
                      <w:rFonts w:ascii="Times New Roman" w:hAnsi="Times New Roman"/>
                    </w:rPr>
                  </w:pPr>
                </w:p>
              </w:tc>
              <w:tc>
                <w:tcPr>
                  <w:tcW w:w="590" w:type="pct"/>
                  <w:vMerge w:val="continue"/>
                  <w:vAlign w:val="center"/>
                </w:tcPr>
                <w:p>
                  <w:pPr>
                    <w:pStyle w:val="2"/>
                    <w:ind w:firstLine="0"/>
                    <w:jc w:val="center"/>
                    <w:rPr>
                      <w:rFonts w:ascii="Times New Roman" w:hAnsi="Times New Roman"/>
                    </w:rPr>
                  </w:pPr>
                </w:p>
              </w:tc>
              <w:tc>
                <w:tcPr>
                  <w:tcW w:w="547" w:type="pct"/>
                  <w:vMerge w:val="continue"/>
                  <w:vAlign w:val="center"/>
                </w:tcPr>
                <w:p>
                  <w:pPr>
                    <w:pStyle w:val="2"/>
                    <w:ind w:firstLine="0"/>
                    <w:jc w:val="center"/>
                    <w:rPr>
                      <w:rFonts w:ascii="Times New Roman" w:hAnsi="Times New Roman"/>
                    </w:rPr>
                  </w:pPr>
                </w:p>
              </w:tc>
              <w:tc>
                <w:tcPr>
                  <w:tcW w:w="547" w:type="pct"/>
                  <w:vMerge w:val="continue"/>
                  <w:vAlign w:val="center"/>
                </w:tcPr>
                <w:p>
                  <w:pPr>
                    <w:pStyle w:val="2"/>
                    <w:ind w:firstLine="0"/>
                    <w:jc w:val="center"/>
                    <w:rPr>
                      <w:rFonts w:ascii="Times New Roman" w:hAnsi="Times New Roman"/>
                    </w:rPr>
                  </w:pPr>
                </w:p>
              </w:tc>
              <w:tc>
                <w:tcPr>
                  <w:tcW w:w="555" w:type="pct"/>
                  <w:vAlign w:val="center"/>
                </w:tcPr>
                <w:p>
                  <w:pPr>
                    <w:pStyle w:val="2"/>
                    <w:ind w:firstLine="0"/>
                    <w:jc w:val="center"/>
                    <w:rPr>
                      <w:rFonts w:ascii="Times New Roman" w:hAnsi="Times New Roman"/>
                    </w:rPr>
                  </w:pPr>
                  <w:r>
                    <w:rPr>
                      <w:rFonts w:hint="eastAsia" w:ascii="Times New Roman" w:hAnsi="Times New Roman"/>
                    </w:rPr>
                    <w:t>污染治理设施编号</w:t>
                  </w:r>
                </w:p>
              </w:tc>
              <w:tc>
                <w:tcPr>
                  <w:tcW w:w="547" w:type="pct"/>
                  <w:vAlign w:val="center"/>
                </w:tcPr>
                <w:p>
                  <w:pPr>
                    <w:pStyle w:val="2"/>
                    <w:ind w:firstLine="0"/>
                    <w:jc w:val="center"/>
                    <w:rPr>
                      <w:rFonts w:ascii="Times New Roman" w:hAnsi="Times New Roman"/>
                    </w:rPr>
                  </w:pPr>
                  <w:r>
                    <w:rPr>
                      <w:rFonts w:hint="eastAsia" w:ascii="Times New Roman" w:hAnsi="Times New Roman"/>
                    </w:rPr>
                    <w:t>污染治理设施名称</w:t>
                  </w:r>
                </w:p>
              </w:tc>
              <w:tc>
                <w:tcPr>
                  <w:tcW w:w="548" w:type="pct"/>
                  <w:vAlign w:val="center"/>
                </w:tcPr>
                <w:p>
                  <w:pPr>
                    <w:pStyle w:val="2"/>
                    <w:ind w:firstLine="0"/>
                    <w:jc w:val="center"/>
                    <w:rPr>
                      <w:rFonts w:ascii="Times New Roman" w:hAnsi="Times New Roman"/>
                    </w:rPr>
                  </w:pPr>
                  <w:r>
                    <w:rPr>
                      <w:rFonts w:hint="eastAsia" w:ascii="Times New Roman" w:hAnsi="Times New Roman"/>
                    </w:rPr>
                    <w:t>污染治理设施工艺</w:t>
                  </w:r>
                </w:p>
              </w:tc>
              <w:tc>
                <w:tcPr>
                  <w:tcW w:w="572" w:type="pct"/>
                  <w:vMerge w:val="continue"/>
                  <w:vAlign w:val="center"/>
                </w:tcPr>
                <w:p>
                  <w:pPr>
                    <w:pStyle w:val="2"/>
                    <w:ind w:firstLine="0"/>
                    <w:jc w:val="center"/>
                    <w:rPr>
                      <w:rFonts w:ascii="Times New Roman" w:hAnsi="Times New Roman"/>
                    </w:rPr>
                  </w:pPr>
                </w:p>
              </w:tc>
              <w:tc>
                <w:tcPr>
                  <w:tcW w:w="548" w:type="pct"/>
                  <w:vMerge w:val="continue"/>
                  <w:vAlign w:val="center"/>
                </w:tcPr>
                <w:p>
                  <w:pPr>
                    <w:pStyle w:val="2"/>
                    <w:ind w:firstLine="0"/>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pct"/>
                  <w:vAlign w:val="center"/>
                </w:tcPr>
                <w:p>
                  <w:pPr>
                    <w:pStyle w:val="2"/>
                    <w:ind w:firstLine="0"/>
                    <w:jc w:val="center"/>
                    <w:rPr>
                      <w:rFonts w:ascii="Times New Roman" w:hAnsi="Times New Roman"/>
                    </w:rPr>
                  </w:pPr>
                  <w:r>
                    <w:rPr>
                      <w:rFonts w:hint="eastAsia" w:ascii="Times New Roman" w:hAnsi="Times New Roman"/>
                    </w:rPr>
                    <w:t>生活污水</w:t>
                  </w:r>
                </w:p>
              </w:tc>
              <w:tc>
                <w:tcPr>
                  <w:tcW w:w="590" w:type="pct"/>
                  <w:vAlign w:val="center"/>
                </w:tcPr>
                <w:p>
                  <w:pPr>
                    <w:pStyle w:val="2"/>
                    <w:ind w:firstLine="0"/>
                    <w:jc w:val="center"/>
                    <w:rPr>
                      <w:rFonts w:ascii="Times New Roman" w:hAnsi="Times New Roman"/>
                    </w:rPr>
                  </w:pPr>
                  <w:r>
                    <w:rPr>
                      <w:rFonts w:ascii="Times New Roman" w:hAnsi="Times New Roman"/>
                    </w:rPr>
                    <w:t>COD</w:t>
                  </w:r>
                  <w:r>
                    <w:rPr>
                      <w:rFonts w:hint="eastAsia" w:ascii="Times New Roman" w:hAnsi="Times New Roman"/>
                    </w:rPr>
                    <w:t>、</w:t>
                  </w:r>
                  <w:r>
                    <w:rPr>
                      <w:rFonts w:ascii="Times New Roman" w:hAnsi="Times New Roman"/>
                    </w:rPr>
                    <w:t>BOD</w:t>
                  </w:r>
                  <w:r>
                    <w:rPr>
                      <w:rFonts w:ascii="Times New Roman" w:hAnsi="Times New Roman"/>
                      <w:vertAlign w:val="subscript"/>
                    </w:rPr>
                    <w:t>5</w:t>
                  </w:r>
                  <w:r>
                    <w:rPr>
                      <w:rFonts w:hint="eastAsia" w:ascii="Times New Roman" w:hAnsi="Times New Roman"/>
                    </w:rPr>
                    <w:t>、</w:t>
                  </w:r>
                  <w:r>
                    <w:rPr>
                      <w:rFonts w:ascii="Times New Roman" w:hAnsi="Times New Roman"/>
                    </w:rPr>
                    <w:t>SS</w:t>
                  </w:r>
                  <w:r>
                    <w:rPr>
                      <w:rFonts w:hint="eastAsia" w:ascii="Times New Roman" w:hAnsi="Times New Roman"/>
                    </w:rPr>
                    <w:t>、氨氮、动植物油</w:t>
                  </w:r>
                </w:p>
              </w:tc>
              <w:tc>
                <w:tcPr>
                  <w:tcW w:w="547" w:type="pct"/>
                  <w:vAlign w:val="center"/>
                </w:tcPr>
                <w:p>
                  <w:pPr>
                    <w:pStyle w:val="2"/>
                    <w:ind w:firstLine="0"/>
                    <w:jc w:val="center"/>
                    <w:rPr>
                      <w:rFonts w:ascii="Times New Roman" w:hAnsi="Times New Roman"/>
                    </w:rPr>
                  </w:pPr>
                  <w:r>
                    <w:rPr>
                      <w:rFonts w:hint="eastAsia" w:ascii="Times New Roman" w:hAnsi="Times New Roman"/>
                    </w:rPr>
                    <w:t>经济技术开发区污水处理厂</w:t>
                  </w:r>
                </w:p>
              </w:tc>
              <w:tc>
                <w:tcPr>
                  <w:tcW w:w="547" w:type="pct"/>
                  <w:vAlign w:val="center"/>
                </w:tcPr>
                <w:p>
                  <w:pPr>
                    <w:pStyle w:val="2"/>
                    <w:ind w:firstLine="0"/>
                    <w:jc w:val="center"/>
                    <w:rPr>
                      <w:rFonts w:ascii="Times New Roman" w:hAnsi="Times New Roman"/>
                    </w:rPr>
                  </w:pPr>
                  <w:r>
                    <w:rPr>
                      <w:rFonts w:hint="eastAsia" w:ascii="Times New Roman" w:hAnsi="Times New Roman"/>
                    </w:rPr>
                    <w:t>连续排放</w:t>
                  </w:r>
                </w:p>
              </w:tc>
              <w:tc>
                <w:tcPr>
                  <w:tcW w:w="555" w:type="pct"/>
                  <w:vAlign w:val="center"/>
                </w:tcPr>
                <w:p>
                  <w:pPr>
                    <w:pStyle w:val="2"/>
                    <w:ind w:firstLine="0"/>
                    <w:jc w:val="center"/>
                    <w:rPr>
                      <w:rFonts w:ascii="Times New Roman" w:hAnsi="Times New Roman"/>
                    </w:rPr>
                  </w:pPr>
                  <w:r>
                    <w:rPr>
                      <w:rFonts w:hint="eastAsia" w:ascii="Times New Roman" w:hAnsi="Times New Roman"/>
                    </w:rPr>
                    <w:t>TW001</w:t>
                  </w:r>
                </w:p>
              </w:tc>
              <w:tc>
                <w:tcPr>
                  <w:tcW w:w="547" w:type="pct"/>
                  <w:vAlign w:val="center"/>
                </w:tcPr>
                <w:p>
                  <w:pPr>
                    <w:pStyle w:val="2"/>
                    <w:ind w:firstLine="0"/>
                    <w:rPr>
                      <w:rFonts w:ascii="Times New Roman" w:hAnsi="Times New Roman"/>
                    </w:rPr>
                  </w:pPr>
                  <w:r>
                    <w:rPr>
                      <w:rFonts w:hint="eastAsia" w:ascii="Times New Roman" w:hAnsi="Times New Roman"/>
                    </w:rPr>
                    <w:t>油水分离器、化粪池</w:t>
                  </w:r>
                </w:p>
              </w:tc>
              <w:tc>
                <w:tcPr>
                  <w:tcW w:w="548" w:type="pct"/>
                  <w:vAlign w:val="center"/>
                </w:tcPr>
                <w:p>
                  <w:pPr>
                    <w:pStyle w:val="2"/>
                    <w:ind w:firstLine="0"/>
                    <w:jc w:val="center"/>
                    <w:rPr>
                      <w:rFonts w:ascii="Times New Roman" w:hAnsi="Times New Roman"/>
                    </w:rPr>
                  </w:pPr>
                  <w:r>
                    <w:rPr>
                      <w:rFonts w:hint="eastAsia" w:ascii="Times New Roman" w:hAnsi="Times New Roman"/>
                    </w:rPr>
                    <w:t>油水分离、沉淀</w:t>
                  </w:r>
                </w:p>
              </w:tc>
              <w:tc>
                <w:tcPr>
                  <w:tcW w:w="572" w:type="pct"/>
                  <w:vAlign w:val="center"/>
                </w:tcPr>
                <w:p>
                  <w:pPr>
                    <w:pStyle w:val="2"/>
                    <w:ind w:firstLine="0"/>
                    <w:jc w:val="center"/>
                    <w:rPr>
                      <w:rFonts w:ascii="Times New Roman" w:hAnsi="Times New Roman"/>
                    </w:rPr>
                  </w:pPr>
                  <w:r>
                    <w:rPr>
                      <w:rFonts w:hint="eastAsia" w:ascii="Times New Roman" w:hAnsi="Times New Roman"/>
                    </w:rPr>
                    <w:t>DW001</w:t>
                  </w:r>
                </w:p>
              </w:tc>
              <w:tc>
                <w:tcPr>
                  <w:tcW w:w="548" w:type="pct"/>
                  <w:vAlign w:val="center"/>
                </w:tcPr>
                <w:p>
                  <w:pPr>
                    <w:pStyle w:val="2"/>
                    <w:ind w:firstLine="0"/>
                    <w:jc w:val="center"/>
                    <w:rPr>
                      <w:rFonts w:ascii="Times New Roman" w:hAnsi="Times New Roman"/>
                    </w:rPr>
                  </w:pPr>
                  <w:r>
                    <w:rPr>
                      <w:rFonts w:hint="eastAsia" w:ascii="Times New Roman" w:hAnsi="Times New Roman" w:eastAsia="MS Mincho" w:cs="MS Mincho"/>
                      <w:sz w:val="24"/>
                      <w:szCs w:val="24"/>
                    </w:rPr>
                    <w:t>☑</w:t>
                  </w:r>
                  <w:r>
                    <w:rPr>
                      <w:rFonts w:hint="eastAsia" w:ascii="Times New Roman" w:hAnsi="Times New Roman"/>
                    </w:rPr>
                    <w:t>是</w:t>
                  </w:r>
                </w:p>
                <w:p>
                  <w:pPr>
                    <w:pStyle w:val="2"/>
                    <w:ind w:firstLine="0"/>
                    <w:jc w:val="center"/>
                    <w:rPr>
                      <w:rFonts w:ascii="Times New Roman" w:hAnsi="Times New Roman"/>
                    </w:rPr>
                  </w:pPr>
                  <w:r>
                    <w:rPr>
                      <w:rFonts w:hint="eastAsia" w:ascii="Times New Roman" w:hAnsi="Times New Roman"/>
                    </w:rPr>
                    <w:t>□否</w:t>
                  </w:r>
                </w:p>
                <w:p>
                  <w:pPr>
                    <w:pStyle w:val="2"/>
                    <w:ind w:firstLine="0"/>
                    <w:jc w:val="center"/>
                    <w:rPr>
                      <w:rFonts w:ascii="Times New Roman" w:hAnsi="Times New Roman"/>
                    </w:rPr>
                  </w:pPr>
                </w:p>
              </w:tc>
            </w:tr>
          </w:tbl>
          <w:p>
            <w:pPr>
              <w:autoSpaceDE w:val="0"/>
              <w:autoSpaceDN w:val="0"/>
              <w:adjustRightInd w:val="0"/>
              <w:snapToGrid w:val="0"/>
              <w:spacing w:line="360" w:lineRule="auto"/>
              <w:jc w:val="center"/>
              <w:rPr>
                <w:rFonts w:cs="宋体"/>
                <w:b/>
                <w:bCs/>
                <w:kern w:val="24"/>
                <w:szCs w:val="24"/>
              </w:rPr>
            </w:pPr>
            <w:r>
              <w:rPr>
                <w:rFonts w:hint="eastAsia" w:cs="宋体"/>
                <w:b/>
                <w:bCs/>
                <w:kern w:val="24"/>
                <w:szCs w:val="24"/>
              </w:rPr>
              <w:t>表</w:t>
            </w:r>
            <w:r>
              <w:rPr>
                <w:b/>
                <w:bCs/>
                <w:kern w:val="24"/>
                <w:szCs w:val="24"/>
              </w:rPr>
              <w:t>4-</w:t>
            </w:r>
            <w:r>
              <w:rPr>
                <w:rFonts w:hint="eastAsia"/>
                <w:b/>
                <w:bCs/>
                <w:kern w:val="24"/>
                <w:szCs w:val="24"/>
              </w:rPr>
              <w:t xml:space="preserve">9 </w:t>
            </w:r>
            <w:r>
              <w:rPr>
                <w:rFonts w:hint="eastAsia" w:cs="宋体"/>
                <w:b/>
                <w:bCs/>
                <w:kern w:val="24"/>
                <w:szCs w:val="24"/>
              </w:rPr>
              <w:t>废水间接排放口基本情况表</w:t>
            </w:r>
          </w:p>
          <w:tbl>
            <w:tblPr>
              <w:tblStyle w:val="3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1"/>
              <w:gridCol w:w="1517"/>
              <w:gridCol w:w="1406"/>
              <w:gridCol w:w="775"/>
              <w:gridCol w:w="710"/>
              <w:gridCol w:w="797"/>
              <w:gridCol w:w="961"/>
              <w:gridCol w:w="805"/>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restart"/>
                  <w:vAlign w:val="center"/>
                </w:tcPr>
                <w:p>
                  <w:pPr>
                    <w:pStyle w:val="2"/>
                    <w:ind w:firstLine="0"/>
                    <w:jc w:val="center"/>
                    <w:rPr>
                      <w:rFonts w:ascii="Times New Roman" w:hAnsi="Times New Roman"/>
                    </w:rPr>
                  </w:pPr>
                  <w:r>
                    <w:rPr>
                      <w:rFonts w:hint="eastAsia" w:ascii="Times New Roman" w:hAnsi="Times New Roman"/>
                    </w:rPr>
                    <w:t>排放口编号</w:t>
                  </w:r>
                </w:p>
              </w:tc>
              <w:tc>
                <w:tcPr>
                  <w:tcW w:w="1655" w:type="pct"/>
                  <w:gridSpan w:val="2"/>
                  <w:vAlign w:val="center"/>
                </w:tcPr>
                <w:p>
                  <w:pPr>
                    <w:pStyle w:val="2"/>
                    <w:ind w:firstLine="0"/>
                    <w:jc w:val="center"/>
                    <w:rPr>
                      <w:rFonts w:ascii="Times New Roman" w:hAnsi="Times New Roman"/>
                    </w:rPr>
                  </w:pPr>
                  <w:r>
                    <w:rPr>
                      <w:rFonts w:hint="eastAsia" w:ascii="Times New Roman" w:hAnsi="Times New Roman"/>
                    </w:rPr>
                    <w:t>排放口地理坐标</w:t>
                  </w:r>
                </w:p>
              </w:tc>
              <w:tc>
                <w:tcPr>
                  <w:tcW w:w="439" w:type="pct"/>
                  <w:vMerge w:val="restart"/>
                  <w:vAlign w:val="center"/>
                </w:tcPr>
                <w:p>
                  <w:pPr>
                    <w:pStyle w:val="2"/>
                    <w:ind w:firstLine="0"/>
                    <w:jc w:val="center"/>
                    <w:rPr>
                      <w:rFonts w:ascii="Times New Roman" w:hAnsi="Times New Roman"/>
                    </w:rPr>
                  </w:pPr>
                  <w:r>
                    <w:rPr>
                      <w:rFonts w:hint="eastAsia" w:ascii="Times New Roman" w:hAnsi="Times New Roman"/>
                    </w:rPr>
                    <w:t>废水排放量（万t/a）</w:t>
                  </w:r>
                </w:p>
              </w:tc>
              <w:tc>
                <w:tcPr>
                  <w:tcW w:w="402" w:type="pct"/>
                  <w:vMerge w:val="restart"/>
                  <w:vAlign w:val="center"/>
                </w:tcPr>
                <w:p>
                  <w:pPr>
                    <w:pStyle w:val="2"/>
                    <w:ind w:firstLine="0"/>
                    <w:jc w:val="center"/>
                    <w:rPr>
                      <w:rFonts w:ascii="Times New Roman" w:hAnsi="Times New Roman"/>
                    </w:rPr>
                  </w:pPr>
                  <w:r>
                    <w:rPr>
                      <w:rFonts w:hint="eastAsia" w:ascii="Times New Roman" w:hAnsi="Times New Roman"/>
                    </w:rPr>
                    <w:t>排放去向</w:t>
                  </w:r>
                </w:p>
              </w:tc>
              <w:tc>
                <w:tcPr>
                  <w:tcW w:w="451" w:type="pct"/>
                  <w:vMerge w:val="restart"/>
                  <w:vAlign w:val="center"/>
                </w:tcPr>
                <w:p>
                  <w:pPr>
                    <w:pStyle w:val="2"/>
                    <w:ind w:firstLine="0"/>
                    <w:jc w:val="center"/>
                    <w:rPr>
                      <w:rFonts w:ascii="Times New Roman" w:hAnsi="Times New Roman"/>
                    </w:rPr>
                  </w:pPr>
                  <w:r>
                    <w:rPr>
                      <w:rFonts w:hint="eastAsia" w:ascii="Times New Roman" w:hAnsi="Times New Roman"/>
                    </w:rPr>
                    <w:t>排放规律</w:t>
                  </w:r>
                </w:p>
              </w:tc>
              <w:tc>
                <w:tcPr>
                  <w:tcW w:w="1527" w:type="pct"/>
                  <w:gridSpan w:val="3"/>
                  <w:vAlign w:val="center"/>
                </w:tcPr>
                <w:p>
                  <w:pPr>
                    <w:pStyle w:val="2"/>
                    <w:ind w:firstLine="0"/>
                    <w:jc w:val="center"/>
                    <w:rPr>
                      <w:rFonts w:ascii="Times New Roman" w:hAnsi="Times New Roman"/>
                    </w:rPr>
                  </w:pPr>
                  <w:r>
                    <w:rPr>
                      <w:rFonts w:hint="eastAsia" w:ascii="Times New Roman" w:hAnsi="Times New Roman"/>
                    </w:rPr>
                    <w:t>收纳污水处理厂信息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Align w:val="center"/>
                </w:tcPr>
                <w:p>
                  <w:pPr>
                    <w:pStyle w:val="2"/>
                    <w:ind w:firstLine="0"/>
                    <w:jc w:val="center"/>
                    <w:rPr>
                      <w:rFonts w:ascii="Times New Roman" w:hAnsi="Times New Roman"/>
                    </w:rPr>
                  </w:pPr>
                  <w:r>
                    <w:rPr>
                      <w:rFonts w:hint="eastAsia" w:ascii="Times New Roman" w:hAnsi="Times New Roman"/>
                    </w:rPr>
                    <w:t>经度</w:t>
                  </w:r>
                </w:p>
              </w:tc>
              <w:tc>
                <w:tcPr>
                  <w:tcW w:w="796" w:type="pct"/>
                  <w:vAlign w:val="center"/>
                </w:tcPr>
                <w:p>
                  <w:pPr>
                    <w:pStyle w:val="2"/>
                    <w:ind w:firstLine="0"/>
                    <w:jc w:val="center"/>
                    <w:rPr>
                      <w:rFonts w:ascii="Times New Roman" w:hAnsi="Times New Roman"/>
                    </w:rPr>
                  </w:pPr>
                  <w:r>
                    <w:rPr>
                      <w:rFonts w:hint="eastAsia" w:ascii="Times New Roman" w:hAnsi="Times New Roman"/>
                    </w:rPr>
                    <w:t>纬度</w:t>
                  </w: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Align w:val="center"/>
                </w:tcPr>
                <w:p>
                  <w:pPr>
                    <w:pStyle w:val="2"/>
                    <w:ind w:firstLine="0"/>
                    <w:jc w:val="center"/>
                    <w:rPr>
                      <w:rFonts w:ascii="Times New Roman" w:hAnsi="Times New Roman"/>
                    </w:rPr>
                  </w:pPr>
                  <w:r>
                    <w:rPr>
                      <w:rFonts w:hint="eastAsia" w:ascii="Times New Roman" w:hAnsi="Times New Roman"/>
                    </w:rPr>
                    <w:t>名称</w:t>
                  </w:r>
                </w:p>
              </w:tc>
              <w:tc>
                <w:tcPr>
                  <w:tcW w:w="456" w:type="pct"/>
                  <w:vAlign w:val="center"/>
                </w:tcPr>
                <w:p>
                  <w:pPr>
                    <w:pStyle w:val="2"/>
                    <w:ind w:firstLine="0"/>
                    <w:jc w:val="center"/>
                    <w:rPr>
                      <w:rFonts w:ascii="Times New Roman" w:hAnsi="Times New Roman"/>
                    </w:rPr>
                  </w:pPr>
                  <w:r>
                    <w:rPr>
                      <w:rFonts w:hint="eastAsia" w:ascii="Times New Roman" w:hAnsi="Times New Roman"/>
                    </w:rPr>
                    <w:t>污染物种类</w:t>
                  </w:r>
                </w:p>
              </w:tc>
              <w:tc>
                <w:tcPr>
                  <w:tcW w:w="527" w:type="pct"/>
                  <w:vAlign w:val="center"/>
                </w:tcPr>
                <w:p>
                  <w:pPr>
                    <w:pStyle w:val="2"/>
                    <w:ind w:firstLine="0"/>
                    <w:jc w:val="center"/>
                    <w:rPr>
                      <w:rFonts w:ascii="Times New Roman" w:hAnsi="Times New Roman"/>
                    </w:rPr>
                  </w:pPr>
                  <w:r>
                    <w:rPr>
                      <w:rFonts w:hint="eastAsia" w:ascii="Times New Roman" w:hAnsi="Times New Roman"/>
                    </w:rPr>
                    <w:t>国家或地方污染物排放浓度限值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restart"/>
                  <w:vAlign w:val="center"/>
                </w:tcPr>
                <w:p>
                  <w:pPr>
                    <w:pStyle w:val="2"/>
                    <w:ind w:firstLine="0"/>
                    <w:jc w:val="center"/>
                    <w:rPr>
                      <w:rFonts w:ascii="Times New Roman" w:hAnsi="Times New Roman"/>
                    </w:rPr>
                  </w:pPr>
                  <w:r>
                    <w:rPr>
                      <w:rFonts w:hint="eastAsia" w:ascii="Times New Roman" w:hAnsi="Times New Roman"/>
                    </w:rPr>
                    <w:t>DW001</w:t>
                  </w:r>
                </w:p>
              </w:tc>
              <w:tc>
                <w:tcPr>
                  <w:tcW w:w="859" w:type="pct"/>
                  <w:vMerge w:val="restart"/>
                  <w:vAlign w:val="center"/>
                </w:tcPr>
                <w:p>
                  <w:pPr>
                    <w:pStyle w:val="2"/>
                    <w:ind w:firstLine="0"/>
                    <w:jc w:val="center"/>
                    <w:rPr>
                      <w:rFonts w:ascii="Times New Roman" w:hAnsi="Times New Roman"/>
                    </w:rPr>
                  </w:pPr>
                  <w:r>
                    <w:rPr>
                      <w:rFonts w:ascii="Times New Roman" w:hAnsi="Times New Roman"/>
                    </w:rPr>
                    <w:t>108°59′56.79″</w:t>
                  </w:r>
                </w:p>
              </w:tc>
              <w:tc>
                <w:tcPr>
                  <w:tcW w:w="796" w:type="pct"/>
                  <w:vMerge w:val="restart"/>
                  <w:vAlign w:val="center"/>
                </w:tcPr>
                <w:p>
                  <w:pPr>
                    <w:pStyle w:val="2"/>
                    <w:ind w:firstLine="0"/>
                    <w:jc w:val="center"/>
                    <w:rPr>
                      <w:rFonts w:ascii="Times New Roman" w:hAnsi="Times New Roman"/>
                    </w:rPr>
                  </w:pPr>
                  <w:r>
                    <w:rPr>
                      <w:rFonts w:ascii="Times New Roman" w:hAnsi="Times New Roman"/>
                    </w:rPr>
                    <w:t>37°37′26.48″</w:t>
                  </w:r>
                </w:p>
              </w:tc>
              <w:tc>
                <w:tcPr>
                  <w:tcW w:w="439" w:type="pct"/>
                  <w:vMerge w:val="restart"/>
                  <w:vAlign w:val="center"/>
                </w:tcPr>
                <w:p>
                  <w:pPr>
                    <w:pStyle w:val="2"/>
                    <w:ind w:firstLine="0"/>
                    <w:jc w:val="center"/>
                    <w:rPr>
                      <w:rFonts w:ascii="Times New Roman" w:hAnsi="Times New Roman"/>
                    </w:rPr>
                  </w:pPr>
                  <w:r>
                    <w:rPr>
                      <w:rFonts w:hint="eastAsia" w:ascii="Times New Roman" w:hAnsi="Times New Roman"/>
                    </w:rPr>
                    <w:t>0.06</w:t>
                  </w:r>
                </w:p>
              </w:tc>
              <w:tc>
                <w:tcPr>
                  <w:tcW w:w="402" w:type="pct"/>
                  <w:vMerge w:val="restart"/>
                  <w:vAlign w:val="center"/>
                </w:tcPr>
                <w:p>
                  <w:pPr>
                    <w:pStyle w:val="2"/>
                    <w:ind w:firstLine="0"/>
                    <w:jc w:val="center"/>
                    <w:rPr>
                      <w:rFonts w:ascii="Times New Roman" w:hAnsi="Times New Roman"/>
                    </w:rPr>
                  </w:pPr>
                  <w:r>
                    <w:rPr>
                      <w:rFonts w:hint="eastAsia" w:ascii="Times New Roman" w:hAnsi="Times New Roman"/>
                    </w:rPr>
                    <w:t>污水处理厂</w:t>
                  </w:r>
                </w:p>
              </w:tc>
              <w:tc>
                <w:tcPr>
                  <w:tcW w:w="451" w:type="pct"/>
                  <w:vMerge w:val="restart"/>
                  <w:vAlign w:val="center"/>
                </w:tcPr>
                <w:p>
                  <w:pPr>
                    <w:pStyle w:val="2"/>
                    <w:ind w:firstLine="0"/>
                    <w:jc w:val="center"/>
                    <w:rPr>
                      <w:rFonts w:ascii="Times New Roman" w:hAnsi="Times New Roman"/>
                    </w:rPr>
                  </w:pPr>
                  <w:r>
                    <w:rPr>
                      <w:rFonts w:hint="eastAsia" w:ascii="Times New Roman" w:hAnsi="Times New Roman"/>
                    </w:rPr>
                    <w:t>间接排放、排放期间流量稳定</w:t>
                  </w:r>
                </w:p>
              </w:tc>
              <w:tc>
                <w:tcPr>
                  <w:tcW w:w="544" w:type="pct"/>
                  <w:vMerge w:val="restart"/>
                  <w:vAlign w:val="center"/>
                </w:tcPr>
                <w:p>
                  <w:pPr>
                    <w:pStyle w:val="2"/>
                    <w:ind w:firstLine="0"/>
                    <w:jc w:val="center"/>
                    <w:rPr>
                      <w:rFonts w:ascii="Times New Roman" w:hAnsi="Times New Roman"/>
                    </w:rPr>
                  </w:pPr>
                  <w:r>
                    <w:rPr>
                      <w:rFonts w:hint="eastAsia" w:ascii="Times New Roman" w:hAnsi="Times New Roman"/>
                    </w:rPr>
                    <w:t>靖边</w:t>
                  </w:r>
                  <w:r>
                    <w:rPr>
                      <w:rFonts w:ascii="Times New Roman" w:hAnsi="Times New Roman"/>
                    </w:rPr>
                    <w:t>县</w:t>
                  </w:r>
                  <w:r>
                    <w:rPr>
                      <w:rFonts w:hint="eastAsia" w:ascii="Times New Roman" w:hAnsi="Times New Roman"/>
                    </w:rPr>
                    <w:t>经济技术开发区</w:t>
                  </w:r>
                  <w:r>
                    <w:rPr>
                      <w:rFonts w:ascii="Times New Roman" w:hAnsi="Times New Roman"/>
                    </w:rPr>
                    <w:t>杨桥畔镇污水处理厂处理</w:t>
                  </w:r>
                </w:p>
              </w:tc>
              <w:tc>
                <w:tcPr>
                  <w:tcW w:w="456" w:type="pct"/>
                  <w:vAlign w:val="center"/>
                </w:tcPr>
                <w:p>
                  <w:pPr>
                    <w:pStyle w:val="2"/>
                    <w:ind w:firstLine="0"/>
                    <w:jc w:val="center"/>
                    <w:rPr>
                      <w:rFonts w:ascii="Times New Roman" w:hAnsi="Times New Roman"/>
                    </w:rPr>
                  </w:pPr>
                  <w:r>
                    <w:rPr>
                      <w:rFonts w:hint="eastAsia" w:ascii="Times New Roman" w:hAnsi="Times New Roman"/>
                    </w:rPr>
                    <w:t>pH</w:t>
                  </w:r>
                </w:p>
              </w:tc>
              <w:tc>
                <w:tcPr>
                  <w:tcW w:w="527" w:type="pct"/>
                  <w:vAlign w:val="center"/>
                </w:tcPr>
                <w:p>
                  <w:pPr>
                    <w:pStyle w:val="2"/>
                    <w:ind w:firstLine="0"/>
                    <w:jc w:val="center"/>
                    <w:rPr>
                      <w:rFonts w:ascii="Times New Roman" w:hAnsi="Times New Roman"/>
                    </w:rPr>
                  </w:pPr>
                  <w:r>
                    <w:rPr>
                      <w:rFonts w:hint="eastAsia" w:ascii="Times New Roman" w:hAnsi="Times New Roma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Merge w:val="continue"/>
                  <w:vAlign w:val="center"/>
                </w:tcPr>
                <w:p>
                  <w:pPr>
                    <w:pStyle w:val="2"/>
                    <w:ind w:firstLine="0"/>
                    <w:jc w:val="center"/>
                    <w:rPr>
                      <w:rFonts w:ascii="Times New Roman" w:hAnsi="Times New Roman"/>
                    </w:rPr>
                  </w:pPr>
                </w:p>
              </w:tc>
              <w:tc>
                <w:tcPr>
                  <w:tcW w:w="796" w:type="pct"/>
                  <w:vMerge w:val="continue"/>
                  <w:vAlign w:val="center"/>
                </w:tcPr>
                <w:p>
                  <w:pPr>
                    <w:pStyle w:val="2"/>
                    <w:ind w:firstLine="0"/>
                    <w:jc w:val="center"/>
                    <w:rPr>
                      <w:rFonts w:ascii="Times New Roman" w:hAnsi="Times New Roman"/>
                    </w:rPr>
                  </w:pP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Merge w:val="continue"/>
                  <w:vAlign w:val="center"/>
                </w:tcPr>
                <w:p>
                  <w:pPr>
                    <w:pStyle w:val="2"/>
                    <w:ind w:firstLine="0"/>
                    <w:jc w:val="center"/>
                    <w:rPr>
                      <w:rFonts w:ascii="Times New Roman" w:hAnsi="Times New Roman"/>
                    </w:rPr>
                  </w:pPr>
                </w:p>
              </w:tc>
              <w:tc>
                <w:tcPr>
                  <w:tcW w:w="456" w:type="pct"/>
                  <w:vAlign w:val="center"/>
                </w:tcPr>
                <w:p>
                  <w:pPr>
                    <w:pStyle w:val="2"/>
                    <w:ind w:firstLine="0"/>
                    <w:jc w:val="center"/>
                    <w:rPr>
                      <w:rFonts w:ascii="Times New Roman" w:hAnsi="Times New Roman"/>
                    </w:rPr>
                  </w:pPr>
                  <w:r>
                    <w:rPr>
                      <w:rFonts w:hint="eastAsia" w:ascii="Times New Roman" w:hAnsi="Times New Roman"/>
                    </w:rPr>
                    <w:t>BOD</w:t>
                  </w:r>
                  <w:r>
                    <w:rPr>
                      <w:rFonts w:hint="eastAsia" w:ascii="Times New Roman" w:hAnsi="Times New Roman"/>
                      <w:vertAlign w:val="subscript"/>
                    </w:rPr>
                    <w:t>5</w:t>
                  </w:r>
                </w:p>
              </w:tc>
              <w:tc>
                <w:tcPr>
                  <w:tcW w:w="527" w:type="pct"/>
                  <w:vAlign w:val="center"/>
                </w:tcPr>
                <w:p>
                  <w:pPr>
                    <w:pStyle w:val="2"/>
                    <w:ind w:firstLine="0"/>
                    <w:jc w:val="center"/>
                    <w:rPr>
                      <w:rFonts w:ascii="Times New Roman" w:hAnsi="Times New Roman"/>
                    </w:rPr>
                  </w:pPr>
                  <w:r>
                    <w:rPr>
                      <w:rFonts w:hint="eastAsia" w:ascii="Times New Roman" w:hAnsi="Times New Roman"/>
                    </w:rPr>
                    <w:t>6</w:t>
                  </w:r>
                  <w:r>
                    <w:rPr>
                      <w:rFonts w:ascii="Times New Roman" w:hAnsi="Times New Roman"/>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Merge w:val="continue"/>
                  <w:vAlign w:val="center"/>
                </w:tcPr>
                <w:p>
                  <w:pPr>
                    <w:pStyle w:val="2"/>
                    <w:ind w:firstLine="0"/>
                    <w:jc w:val="center"/>
                    <w:rPr>
                      <w:rFonts w:ascii="Times New Roman" w:hAnsi="Times New Roman"/>
                    </w:rPr>
                  </w:pPr>
                </w:p>
              </w:tc>
              <w:tc>
                <w:tcPr>
                  <w:tcW w:w="796" w:type="pct"/>
                  <w:vMerge w:val="continue"/>
                  <w:vAlign w:val="center"/>
                </w:tcPr>
                <w:p>
                  <w:pPr>
                    <w:pStyle w:val="2"/>
                    <w:ind w:firstLine="0"/>
                    <w:jc w:val="center"/>
                    <w:rPr>
                      <w:rFonts w:ascii="Times New Roman" w:hAnsi="Times New Roman"/>
                    </w:rPr>
                  </w:pP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Merge w:val="continue"/>
                  <w:vAlign w:val="center"/>
                </w:tcPr>
                <w:p>
                  <w:pPr>
                    <w:pStyle w:val="2"/>
                    <w:ind w:firstLine="0"/>
                    <w:jc w:val="center"/>
                    <w:rPr>
                      <w:rFonts w:ascii="Times New Roman" w:hAnsi="Times New Roman"/>
                    </w:rPr>
                  </w:pPr>
                </w:p>
              </w:tc>
              <w:tc>
                <w:tcPr>
                  <w:tcW w:w="456" w:type="pct"/>
                  <w:vAlign w:val="center"/>
                </w:tcPr>
                <w:p>
                  <w:pPr>
                    <w:pStyle w:val="2"/>
                    <w:ind w:firstLine="0"/>
                    <w:jc w:val="center"/>
                    <w:rPr>
                      <w:rFonts w:ascii="Times New Roman" w:hAnsi="Times New Roman"/>
                    </w:rPr>
                  </w:pPr>
                  <w:r>
                    <w:rPr>
                      <w:rFonts w:hint="eastAsia" w:ascii="Times New Roman" w:hAnsi="Times New Roman"/>
                    </w:rPr>
                    <w:t>COD</w:t>
                  </w:r>
                </w:p>
              </w:tc>
              <w:tc>
                <w:tcPr>
                  <w:tcW w:w="527" w:type="pct"/>
                  <w:vAlign w:val="center"/>
                </w:tcPr>
                <w:p>
                  <w:pPr>
                    <w:pStyle w:val="2"/>
                    <w:ind w:firstLine="0"/>
                    <w:jc w:val="center"/>
                    <w:rPr>
                      <w:rFonts w:ascii="Times New Roman" w:hAnsi="Times New Roman"/>
                    </w:rPr>
                  </w:pPr>
                  <w:r>
                    <w:rPr>
                      <w:rFonts w:hint="eastAsia" w:ascii="Times New Roman" w:hAnsi="Times New Roman"/>
                    </w:rPr>
                    <w:t>30</w:t>
                  </w:r>
                  <w:r>
                    <w:rPr>
                      <w:rFonts w:ascii="Times New Roman" w:hAnsi="Times New Roman"/>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Merge w:val="continue"/>
                  <w:vAlign w:val="center"/>
                </w:tcPr>
                <w:p>
                  <w:pPr>
                    <w:pStyle w:val="2"/>
                    <w:ind w:firstLine="0"/>
                    <w:jc w:val="center"/>
                    <w:rPr>
                      <w:rFonts w:ascii="Times New Roman" w:hAnsi="Times New Roman"/>
                    </w:rPr>
                  </w:pPr>
                </w:p>
              </w:tc>
              <w:tc>
                <w:tcPr>
                  <w:tcW w:w="796" w:type="pct"/>
                  <w:vMerge w:val="continue"/>
                  <w:vAlign w:val="center"/>
                </w:tcPr>
                <w:p>
                  <w:pPr>
                    <w:pStyle w:val="2"/>
                    <w:ind w:firstLine="0"/>
                    <w:jc w:val="center"/>
                    <w:rPr>
                      <w:rFonts w:ascii="Times New Roman" w:hAnsi="Times New Roman"/>
                    </w:rPr>
                  </w:pP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Merge w:val="continue"/>
                  <w:vAlign w:val="center"/>
                </w:tcPr>
                <w:p>
                  <w:pPr>
                    <w:pStyle w:val="2"/>
                    <w:ind w:firstLine="0"/>
                    <w:jc w:val="center"/>
                    <w:rPr>
                      <w:rFonts w:ascii="Times New Roman" w:hAnsi="Times New Roman"/>
                    </w:rPr>
                  </w:pPr>
                </w:p>
              </w:tc>
              <w:tc>
                <w:tcPr>
                  <w:tcW w:w="456" w:type="pct"/>
                  <w:vAlign w:val="center"/>
                </w:tcPr>
                <w:p>
                  <w:pPr>
                    <w:pStyle w:val="2"/>
                    <w:ind w:firstLine="0"/>
                    <w:jc w:val="center"/>
                    <w:rPr>
                      <w:rFonts w:ascii="Times New Roman" w:hAnsi="Times New Roman"/>
                    </w:rPr>
                  </w:pPr>
                  <w:r>
                    <w:rPr>
                      <w:rFonts w:hint="eastAsia" w:ascii="Times New Roman" w:hAnsi="Times New Roman"/>
                    </w:rPr>
                    <w:t>SS</w:t>
                  </w:r>
                </w:p>
              </w:tc>
              <w:tc>
                <w:tcPr>
                  <w:tcW w:w="527" w:type="pct"/>
                  <w:vAlign w:val="center"/>
                </w:tcPr>
                <w:p>
                  <w:pPr>
                    <w:pStyle w:val="2"/>
                    <w:ind w:firstLine="0"/>
                    <w:jc w:val="center"/>
                    <w:rPr>
                      <w:rFonts w:ascii="Times New Roman" w:hAnsi="Times New Roman"/>
                    </w:rPr>
                  </w:pPr>
                  <w:r>
                    <w:rPr>
                      <w:rFonts w:hint="eastAsia" w:ascii="Times New Roman" w:hAnsi="Times New Roman"/>
                    </w:rPr>
                    <w:t>10</w:t>
                  </w:r>
                  <w:r>
                    <w:rPr>
                      <w:rFonts w:ascii="Times New Roman" w:hAnsi="Times New Roman"/>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Merge w:val="continue"/>
                  <w:vAlign w:val="center"/>
                </w:tcPr>
                <w:p>
                  <w:pPr>
                    <w:pStyle w:val="2"/>
                    <w:ind w:firstLine="0"/>
                    <w:jc w:val="center"/>
                    <w:rPr>
                      <w:rFonts w:ascii="Times New Roman" w:hAnsi="Times New Roman"/>
                    </w:rPr>
                  </w:pPr>
                </w:p>
              </w:tc>
              <w:tc>
                <w:tcPr>
                  <w:tcW w:w="796" w:type="pct"/>
                  <w:vMerge w:val="continue"/>
                  <w:vAlign w:val="center"/>
                </w:tcPr>
                <w:p>
                  <w:pPr>
                    <w:pStyle w:val="2"/>
                    <w:ind w:firstLine="0"/>
                    <w:jc w:val="center"/>
                    <w:rPr>
                      <w:rFonts w:ascii="Times New Roman" w:hAnsi="Times New Roman"/>
                    </w:rPr>
                  </w:pP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Merge w:val="continue"/>
                  <w:vAlign w:val="center"/>
                </w:tcPr>
                <w:p>
                  <w:pPr>
                    <w:pStyle w:val="2"/>
                    <w:ind w:firstLine="0"/>
                    <w:jc w:val="center"/>
                    <w:rPr>
                      <w:rFonts w:ascii="Times New Roman" w:hAnsi="Times New Roman"/>
                    </w:rPr>
                  </w:pPr>
                </w:p>
              </w:tc>
              <w:tc>
                <w:tcPr>
                  <w:tcW w:w="456" w:type="pct"/>
                  <w:vAlign w:val="center"/>
                </w:tcPr>
                <w:p>
                  <w:pPr>
                    <w:pStyle w:val="2"/>
                    <w:ind w:firstLine="0"/>
                    <w:jc w:val="center"/>
                    <w:rPr>
                      <w:rFonts w:ascii="Times New Roman" w:hAnsi="Times New Roman"/>
                    </w:rPr>
                  </w:pPr>
                  <w:r>
                    <w:rPr>
                      <w:rFonts w:hint="eastAsia" w:ascii="Times New Roman" w:hAnsi="Times New Roman"/>
                    </w:rPr>
                    <w:t>氨氮</w:t>
                  </w:r>
                </w:p>
              </w:tc>
              <w:tc>
                <w:tcPr>
                  <w:tcW w:w="527" w:type="pct"/>
                  <w:vAlign w:val="center"/>
                </w:tcPr>
                <w:p>
                  <w:pPr>
                    <w:pStyle w:val="2"/>
                    <w:ind w:firstLine="0"/>
                    <w:jc w:val="center"/>
                    <w:rPr>
                      <w:rFonts w:ascii="Times New Roman" w:hAnsi="Times New Roman"/>
                    </w:rPr>
                  </w:pPr>
                  <w:r>
                    <w:rPr>
                      <w:rFonts w:hint="eastAsia" w:ascii="Times New Roman" w:hAnsi="Times New Roman"/>
                    </w:rPr>
                    <w:t>1.5（3）</w:t>
                  </w:r>
                  <w:r>
                    <w:rPr>
                      <w:rFonts w:ascii="Times New Roman" w:hAnsi="Times New Roman"/>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527" w:type="pct"/>
                  <w:vMerge w:val="continue"/>
                  <w:vAlign w:val="center"/>
                </w:tcPr>
                <w:p>
                  <w:pPr>
                    <w:pStyle w:val="2"/>
                    <w:ind w:firstLine="0"/>
                    <w:jc w:val="center"/>
                    <w:rPr>
                      <w:rFonts w:ascii="Times New Roman" w:hAnsi="Times New Roman"/>
                    </w:rPr>
                  </w:pPr>
                </w:p>
              </w:tc>
              <w:tc>
                <w:tcPr>
                  <w:tcW w:w="859" w:type="pct"/>
                  <w:vMerge w:val="continue"/>
                  <w:vAlign w:val="center"/>
                </w:tcPr>
                <w:p>
                  <w:pPr>
                    <w:pStyle w:val="2"/>
                    <w:ind w:firstLine="0"/>
                    <w:jc w:val="center"/>
                    <w:rPr>
                      <w:rFonts w:ascii="Times New Roman" w:hAnsi="Times New Roman"/>
                    </w:rPr>
                  </w:pPr>
                </w:p>
              </w:tc>
              <w:tc>
                <w:tcPr>
                  <w:tcW w:w="796" w:type="pct"/>
                  <w:vMerge w:val="continue"/>
                  <w:vAlign w:val="center"/>
                </w:tcPr>
                <w:p>
                  <w:pPr>
                    <w:pStyle w:val="2"/>
                    <w:ind w:firstLine="0"/>
                    <w:jc w:val="center"/>
                    <w:rPr>
                      <w:rFonts w:ascii="Times New Roman" w:hAnsi="Times New Roman"/>
                    </w:rPr>
                  </w:pPr>
                </w:p>
              </w:tc>
              <w:tc>
                <w:tcPr>
                  <w:tcW w:w="439" w:type="pct"/>
                  <w:vMerge w:val="continue"/>
                  <w:vAlign w:val="center"/>
                </w:tcPr>
                <w:p>
                  <w:pPr>
                    <w:pStyle w:val="2"/>
                    <w:ind w:firstLine="0"/>
                    <w:jc w:val="center"/>
                    <w:rPr>
                      <w:rFonts w:ascii="Times New Roman" w:hAnsi="Times New Roman"/>
                    </w:rPr>
                  </w:pPr>
                </w:p>
              </w:tc>
              <w:tc>
                <w:tcPr>
                  <w:tcW w:w="402" w:type="pct"/>
                  <w:vMerge w:val="continue"/>
                  <w:vAlign w:val="center"/>
                </w:tcPr>
                <w:p>
                  <w:pPr>
                    <w:pStyle w:val="2"/>
                    <w:ind w:firstLine="0"/>
                    <w:jc w:val="center"/>
                    <w:rPr>
                      <w:rFonts w:ascii="Times New Roman" w:hAnsi="Times New Roman"/>
                    </w:rPr>
                  </w:pPr>
                </w:p>
              </w:tc>
              <w:tc>
                <w:tcPr>
                  <w:tcW w:w="451" w:type="pct"/>
                  <w:vMerge w:val="continue"/>
                  <w:vAlign w:val="center"/>
                </w:tcPr>
                <w:p>
                  <w:pPr>
                    <w:pStyle w:val="2"/>
                    <w:ind w:firstLine="0"/>
                    <w:jc w:val="center"/>
                    <w:rPr>
                      <w:rFonts w:ascii="Times New Roman" w:hAnsi="Times New Roman"/>
                    </w:rPr>
                  </w:pPr>
                </w:p>
              </w:tc>
              <w:tc>
                <w:tcPr>
                  <w:tcW w:w="544" w:type="pct"/>
                  <w:vMerge w:val="continue"/>
                  <w:vAlign w:val="center"/>
                </w:tcPr>
                <w:p>
                  <w:pPr>
                    <w:pStyle w:val="2"/>
                    <w:ind w:firstLine="0"/>
                    <w:jc w:val="center"/>
                    <w:rPr>
                      <w:rFonts w:ascii="Times New Roman" w:hAnsi="Times New Roman"/>
                    </w:rPr>
                  </w:pPr>
                </w:p>
              </w:tc>
              <w:tc>
                <w:tcPr>
                  <w:tcW w:w="456" w:type="pct"/>
                  <w:vAlign w:val="center"/>
                </w:tcPr>
                <w:p>
                  <w:pPr>
                    <w:pStyle w:val="2"/>
                    <w:ind w:firstLine="0"/>
                    <w:jc w:val="center"/>
                    <w:rPr>
                      <w:rFonts w:ascii="Times New Roman" w:hAnsi="Times New Roman"/>
                    </w:rPr>
                  </w:pPr>
                  <w:r>
                    <w:rPr>
                      <w:rFonts w:hint="eastAsia" w:ascii="Times New Roman" w:hAnsi="Times New Roman"/>
                    </w:rPr>
                    <w:t>动植物油</w:t>
                  </w:r>
                </w:p>
              </w:tc>
              <w:tc>
                <w:tcPr>
                  <w:tcW w:w="527" w:type="pct"/>
                  <w:vAlign w:val="center"/>
                </w:tcPr>
                <w:p>
                  <w:pPr>
                    <w:pStyle w:val="2"/>
                    <w:ind w:firstLine="0"/>
                    <w:jc w:val="center"/>
                    <w:rPr>
                      <w:rFonts w:ascii="Times New Roman" w:hAnsi="Times New Roman"/>
                    </w:rPr>
                  </w:pPr>
                  <w:r>
                    <w:rPr>
                      <w:rFonts w:hint="eastAsia" w:ascii="Times New Roman" w:hAnsi="Times New Roman"/>
                    </w:rPr>
                    <w:t>1</w:t>
                  </w:r>
                  <w:r>
                    <w:rPr>
                      <w:rFonts w:ascii="Times New Roman" w:hAnsi="Times New Roman"/>
                    </w:rPr>
                    <w:t>mg/L</w:t>
                  </w:r>
                </w:p>
              </w:tc>
            </w:tr>
          </w:tbl>
          <w:p>
            <w:pPr>
              <w:adjustRightInd w:val="0"/>
              <w:snapToGrid w:val="0"/>
              <w:spacing w:line="360" w:lineRule="auto"/>
              <w:rPr>
                <w:rFonts w:cs="宋体"/>
                <w:b/>
                <w:kern w:val="0"/>
                <w:sz w:val="24"/>
                <w:szCs w:val="24"/>
              </w:rPr>
            </w:pPr>
            <w:r>
              <w:rPr>
                <w:rFonts w:hint="eastAsia"/>
                <w:b/>
                <w:bCs/>
                <w:sz w:val="24"/>
                <w:szCs w:val="24"/>
              </w:rPr>
              <w:t>（3）</w:t>
            </w:r>
            <w:r>
              <w:rPr>
                <w:rFonts w:hint="eastAsia" w:cs="宋体"/>
                <w:b/>
                <w:kern w:val="0"/>
                <w:sz w:val="24"/>
                <w:szCs w:val="24"/>
              </w:rPr>
              <w:t>项目废水排放依托可行性分析</w:t>
            </w:r>
          </w:p>
          <w:p>
            <w:pPr>
              <w:adjustRightInd w:val="0"/>
              <w:snapToGrid w:val="0"/>
              <w:spacing w:line="360" w:lineRule="auto"/>
              <w:ind w:firstLine="480" w:firstLineChars="200"/>
              <w:rPr>
                <w:sz w:val="24"/>
              </w:rPr>
            </w:pPr>
            <w:r>
              <w:rPr>
                <w:rFonts w:hint="eastAsia" w:cs="宋体"/>
                <w:kern w:val="0"/>
                <w:sz w:val="24"/>
                <w:szCs w:val="24"/>
              </w:rPr>
              <w:t>项目生活污水经</w:t>
            </w:r>
            <w:r>
              <w:rPr>
                <w:sz w:val="24"/>
              </w:rPr>
              <w:t>化粪池处理后出水满足《污水综合排放标准》中三级排放限值及《污水排入城镇下水道水质标准》中B级限值要求，达标排放至</w:t>
            </w:r>
            <w:r>
              <w:rPr>
                <w:rFonts w:hint="eastAsia"/>
                <w:sz w:val="24"/>
              </w:rPr>
              <w:t>靖边</w:t>
            </w:r>
            <w:r>
              <w:rPr>
                <w:sz w:val="24"/>
              </w:rPr>
              <w:t>县</w:t>
            </w:r>
            <w:r>
              <w:rPr>
                <w:rFonts w:hint="eastAsia"/>
                <w:sz w:val="24"/>
              </w:rPr>
              <w:t>经济技术开发区</w:t>
            </w:r>
            <w:r>
              <w:rPr>
                <w:sz w:val="24"/>
              </w:rPr>
              <w:t>杨桥畔镇污水处理厂处理</w:t>
            </w:r>
            <w:r>
              <w:rPr>
                <w:rFonts w:hint="eastAsia" w:cs="宋体"/>
                <w:kern w:val="0"/>
                <w:sz w:val="24"/>
                <w:szCs w:val="24"/>
              </w:rPr>
              <w:t>。</w:t>
            </w:r>
          </w:p>
          <w:p>
            <w:pPr>
              <w:adjustRightInd w:val="0"/>
              <w:snapToGrid w:val="0"/>
              <w:spacing w:line="360" w:lineRule="auto"/>
              <w:ind w:firstLine="480" w:firstLineChars="200"/>
              <w:rPr>
                <w:sz w:val="24"/>
              </w:rPr>
            </w:pPr>
            <w:r>
              <w:rPr>
                <w:sz w:val="24"/>
              </w:rPr>
              <w:t>靖边县</w:t>
            </w:r>
            <w:r>
              <w:rPr>
                <w:rFonts w:hint="eastAsia"/>
                <w:sz w:val="24"/>
              </w:rPr>
              <w:t>经济技术开发区</w:t>
            </w:r>
            <w:r>
              <w:rPr>
                <w:sz w:val="24"/>
              </w:rPr>
              <w:t>杨桥畔镇污水处理厂</w:t>
            </w:r>
            <w:r>
              <w:rPr>
                <w:rFonts w:hint="eastAsia"/>
                <w:sz w:val="24"/>
              </w:rPr>
              <w:t>位于</w:t>
            </w:r>
            <w:r>
              <w:rPr>
                <w:sz w:val="24"/>
              </w:rPr>
              <w:t>靖边县杨桥畔镇</w:t>
            </w:r>
            <w:r>
              <w:rPr>
                <w:rFonts w:hint="eastAsia"/>
                <w:sz w:val="24"/>
              </w:rPr>
              <w:t>经济技术开发区</w:t>
            </w:r>
            <w:r>
              <w:rPr>
                <w:sz w:val="24"/>
              </w:rPr>
              <w:t>园区祥和大道、绿洲路与宁朔街相交处的左侧</w:t>
            </w:r>
            <w:r>
              <w:rPr>
                <w:rFonts w:hint="eastAsia"/>
                <w:sz w:val="24"/>
              </w:rPr>
              <w:t>。污水处理厂一期处理规模为1000m</w:t>
            </w:r>
            <w:r>
              <w:rPr>
                <w:rFonts w:hint="eastAsia"/>
                <w:sz w:val="24"/>
                <w:vertAlign w:val="superscript"/>
              </w:rPr>
              <w:t>3</w:t>
            </w:r>
            <w:r>
              <w:rPr>
                <w:rFonts w:hint="eastAsia"/>
                <w:sz w:val="24"/>
              </w:rPr>
              <w:t>/d，二期新增规模2000m</w:t>
            </w:r>
            <w:r>
              <w:rPr>
                <w:rFonts w:hint="eastAsia"/>
                <w:sz w:val="24"/>
                <w:vertAlign w:val="superscript"/>
              </w:rPr>
              <w:t>3</w:t>
            </w:r>
            <w:r>
              <w:rPr>
                <w:rFonts w:hint="eastAsia"/>
                <w:sz w:val="24"/>
              </w:rPr>
              <w:t>/d，三期新增2000m</w:t>
            </w:r>
            <w:r>
              <w:rPr>
                <w:rFonts w:hint="eastAsia"/>
                <w:sz w:val="24"/>
                <w:vertAlign w:val="superscript"/>
              </w:rPr>
              <w:t>3</w:t>
            </w:r>
            <w:r>
              <w:rPr>
                <w:rFonts w:hint="eastAsia"/>
                <w:sz w:val="24"/>
              </w:rPr>
              <w:t>/d，最终处理规模为5000m</w:t>
            </w:r>
            <w:r>
              <w:rPr>
                <w:rFonts w:hint="eastAsia"/>
                <w:sz w:val="24"/>
                <w:vertAlign w:val="superscript"/>
              </w:rPr>
              <w:t>3</w:t>
            </w:r>
            <w:r>
              <w:rPr>
                <w:rFonts w:hint="eastAsia"/>
                <w:sz w:val="24"/>
              </w:rPr>
              <w:t>/d，厂内预处理构筑物按照远期规模一次建成。出水水质满足《陕西省黄河流域污水综合排放标准》（DB61/224-2018）表1中A标准限值要求</w:t>
            </w:r>
            <w:r>
              <w:rPr>
                <w:sz w:val="24"/>
              </w:rPr>
              <w:t>。</w:t>
            </w:r>
            <w:r>
              <w:rPr>
                <w:rFonts w:hint="eastAsia"/>
                <w:sz w:val="24"/>
              </w:rPr>
              <w:t>污水收集处理范围为</w:t>
            </w:r>
            <w:r>
              <w:rPr>
                <w:sz w:val="24"/>
              </w:rPr>
              <w:t>靖边</w:t>
            </w:r>
            <w:r>
              <w:rPr>
                <w:rFonts w:hint="eastAsia"/>
                <w:sz w:val="24"/>
              </w:rPr>
              <w:t>经济技术开发区中小企业板块</w:t>
            </w:r>
            <w:r>
              <w:rPr>
                <w:sz w:val="24"/>
              </w:rPr>
              <w:t>、杨桥畔镇</w:t>
            </w:r>
            <w:r>
              <w:rPr>
                <w:rFonts w:hint="eastAsia"/>
                <w:sz w:val="24"/>
              </w:rPr>
              <w:t>（</w:t>
            </w:r>
            <w:r>
              <w:rPr>
                <w:sz w:val="24"/>
              </w:rPr>
              <w:t>具备污水收集条件的村</w:t>
            </w:r>
            <w:r>
              <w:rPr>
                <w:rFonts w:hint="eastAsia"/>
                <w:sz w:val="24"/>
              </w:rPr>
              <w:t>）</w:t>
            </w:r>
            <w:r>
              <w:rPr>
                <w:sz w:val="24"/>
              </w:rPr>
              <w:t>两个片区工业污水与生活污水。</w:t>
            </w:r>
            <w:r>
              <w:rPr>
                <w:rFonts w:hint="eastAsia"/>
                <w:sz w:val="24"/>
              </w:rPr>
              <w:t>根据调查，</w:t>
            </w:r>
            <w:r>
              <w:rPr>
                <w:sz w:val="24"/>
              </w:rPr>
              <w:t>杨桥畔镇</w:t>
            </w:r>
            <w:r>
              <w:rPr>
                <w:rFonts w:hint="eastAsia"/>
                <w:sz w:val="24"/>
              </w:rPr>
              <w:t>污水处理厂目前已通过竣工环保验收并正常运行。</w:t>
            </w:r>
          </w:p>
          <w:p>
            <w:pPr>
              <w:widowControl/>
              <w:adjustRightInd w:val="0"/>
              <w:snapToGrid w:val="0"/>
              <w:spacing w:line="360" w:lineRule="auto"/>
              <w:ind w:firstLine="480" w:firstLineChars="200"/>
              <w:rPr>
                <w:rFonts w:cs="宋体"/>
                <w:kern w:val="0"/>
                <w:sz w:val="24"/>
                <w:szCs w:val="24"/>
              </w:rPr>
            </w:pPr>
            <w:r>
              <w:rPr>
                <w:rFonts w:hint="eastAsia" w:cs="宋体"/>
                <w:kern w:val="0"/>
                <w:sz w:val="24"/>
                <w:szCs w:val="24"/>
              </w:rPr>
              <w:t>项目所处位置属于</w:t>
            </w:r>
            <w:r>
              <w:rPr>
                <w:sz w:val="24"/>
              </w:rPr>
              <w:t>靖边县</w:t>
            </w:r>
            <w:r>
              <w:rPr>
                <w:rFonts w:hint="eastAsia"/>
                <w:sz w:val="24"/>
              </w:rPr>
              <w:t>经济技术开发区</w:t>
            </w:r>
            <w:r>
              <w:rPr>
                <w:sz w:val="24"/>
              </w:rPr>
              <w:t>杨桥畔镇污水处理厂</w:t>
            </w:r>
            <w:r>
              <w:rPr>
                <w:rFonts w:hint="eastAsia" w:cs="宋体"/>
                <w:kern w:val="0"/>
                <w:sz w:val="24"/>
                <w:szCs w:val="24"/>
              </w:rPr>
              <w:t>收水范围。项目无生产废水排放，仅为生活污水，生活污水经化粪池（5m</w:t>
            </w:r>
            <w:r>
              <w:rPr>
                <w:rFonts w:hint="eastAsia" w:cs="宋体"/>
                <w:kern w:val="0"/>
                <w:sz w:val="24"/>
                <w:szCs w:val="24"/>
                <w:vertAlign w:val="superscript"/>
              </w:rPr>
              <w:t>3</w:t>
            </w:r>
            <w:r>
              <w:rPr>
                <w:rFonts w:hint="eastAsia" w:cs="宋体"/>
                <w:kern w:val="0"/>
                <w:sz w:val="24"/>
                <w:szCs w:val="24"/>
              </w:rPr>
              <w:t>）处理后排入</w:t>
            </w:r>
            <w:r>
              <w:rPr>
                <w:rFonts w:cs="宋体"/>
                <w:kern w:val="0"/>
                <w:sz w:val="24"/>
                <w:szCs w:val="24"/>
              </w:rPr>
              <w:t>靖边县</w:t>
            </w:r>
            <w:r>
              <w:rPr>
                <w:rFonts w:hint="eastAsia" w:cs="宋体"/>
                <w:kern w:val="0"/>
                <w:sz w:val="24"/>
                <w:szCs w:val="24"/>
              </w:rPr>
              <w:t>经济技术开发区</w:t>
            </w:r>
            <w:r>
              <w:rPr>
                <w:rFonts w:cs="宋体"/>
                <w:kern w:val="0"/>
                <w:sz w:val="24"/>
                <w:szCs w:val="24"/>
              </w:rPr>
              <w:t>杨桥畔镇污水处理厂</w:t>
            </w:r>
            <w:r>
              <w:rPr>
                <w:rFonts w:hint="eastAsia" w:cs="宋体"/>
                <w:kern w:val="0"/>
                <w:sz w:val="24"/>
                <w:szCs w:val="24"/>
              </w:rPr>
              <w:t>，水质符合</w:t>
            </w:r>
            <w:r>
              <w:rPr>
                <w:rFonts w:cs="宋体"/>
                <w:kern w:val="0"/>
                <w:sz w:val="24"/>
                <w:szCs w:val="24"/>
              </w:rPr>
              <w:t>杨桥畔镇污水处理厂</w:t>
            </w:r>
            <w:r>
              <w:rPr>
                <w:rFonts w:hint="eastAsia" w:cs="宋体"/>
                <w:kern w:val="0"/>
                <w:sz w:val="24"/>
                <w:szCs w:val="24"/>
              </w:rPr>
              <w:t>的进水水质要求。且本项目废水排放量小，水质简单，对污水处理厂负荷影响较小，因此，本项目污水处理依托</w:t>
            </w:r>
            <w:r>
              <w:rPr>
                <w:rFonts w:hint="eastAsia"/>
                <w:sz w:val="24"/>
              </w:rPr>
              <w:t>靖边</w:t>
            </w:r>
            <w:r>
              <w:rPr>
                <w:sz w:val="24"/>
              </w:rPr>
              <w:t>县</w:t>
            </w:r>
            <w:r>
              <w:rPr>
                <w:rFonts w:hint="eastAsia"/>
                <w:sz w:val="24"/>
              </w:rPr>
              <w:t>经济技术开发区</w:t>
            </w:r>
            <w:r>
              <w:rPr>
                <w:sz w:val="24"/>
              </w:rPr>
              <w:t>杨桥畔镇污水处理厂处理</w:t>
            </w:r>
            <w:r>
              <w:rPr>
                <w:rFonts w:hint="eastAsia" w:cs="宋体"/>
                <w:kern w:val="0"/>
                <w:sz w:val="24"/>
                <w:szCs w:val="24"/>
              </w:rPr>
              <w:t>可行。</w:t>
            </w:r>
          </w:p>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（4）</w:t>
            </w:r>
            <w:r>
              <w:rPr>
                <w:rFonts w:hint="eastAsia" w:cs="宋体"/>
                <w:b/>
                <w:bCs/>
                <w:sz w:val="24"/>
                <w:szCs w:val="24"/>
              </w:rPr>
              <w:t>废水监测计划</w:t>
            </w:r>
          </w:p>
          <w:p>
            <w:pPr>
              <w:adjustRightInd w:val="0"/>
              <w:snapToGrid w:val="0"/>
              <w:spacing w:line="360" w:lineRule="auto"/>
              <w:ind w:firstLine="480" w:firstLineChars="200"/>
              <w:rPr>
                <w:rFonts w:cs="宋体"/>
                <w:kern w:val="0"/>
                <w:sz w:val="24"/>
                <w:szCs w:val="24"/>
              </w:rPr>
            </w:pPr>
            <w:r>
              <w:rPr>
                <w:rFonts w:hint="eastAsia" w:cs="宋体"/>
                <w:kern w:val="0"/>
                <w:sz w:val="24"/>
                <w:szCs w:val="24"/>
              </w:rPr>
              <w:t>根据本项目运营期的环境污染特点，根据</w:t>
            </w:r>
            <w:r>
              <w:rPr>
                <w:sz w:val="24"/>
              </w:rPr>
              <w:t>《排污单位自行监测技术指南 总则》（HJ819-2017）</w:t>
            </w:r>
            <w:r>
              <w:rPr>
                <w:rFonts w:hint="eastAsia"/>
                <w:sz w:val="24"/>
              </w:rPr>
              <w:t>及参照《排污单位自行监测技术指南 橡胶和塑料制品》（HJ1207—2021）</w:t>
            </w:r>
            <w:r>
              <w:rPr>
                <w:rFonts w:hint="eastAsia" w:cs="宋体"/>
                <w:kern w:val="0"/>
                <w:sz w:val="24"/>
                <w:szCs w:val="24"/>
              </w:rPr>
              <w:t>中的相关规定，本项目无需进行监测。</w:t>
            </w:r>
          </w:p>
          <w:p>
            <w:pPr>
              <w:adjustRightInd w:val="0"/>
              <w:snapToGrid w:val="0"/>
              <w:spacing w:line="360" w:lineRule="auto"/>
              <w:jc w:val="left"/>
              <w:rPr>
                <w:rFonts w:cs="宋体"/>
                <w:sz w:val="24"/>
                <w:szCs w:val="24"/>
              </w:rPr>
            </w:pPr>
            <w:r>
              <w:rPr>
                <w:rFonts w:hint="eastAsia"/>
                <w:b/>
                <w:sz w:val="24"/>
                <w:szCs w:val="24"/>
              </w:rPr>
              <w:t>3、</w:t>
            </w:r>
            <w:r>
              <w:rPr>
                <w:rFonts w:cs="宋体"/>
                <w:b/>
                <w:bCs/>
                <w:sz w:val="24"/>
                <w:szCs w:val="24"/>
              </w:rPr>
              <w:t>声环境影响分析</w:t>
            </w:r>
            <w:r>
              <w:rPr>
                <w:rFonts w:hint="eastAsia" w:cs="宋体"/>
                <w:b/>
                <w:bCs/>
                <w:sz w:val="24"/>
                <w:szCs w:val="24"/>
              </w:rPr>
              <w:t>及防治对策</w:t>
            </w:r>
          </w:p>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（1）环境影响分析</w:t>
            </w:r>
          </w:p>
          <w:p>
            <w:pPr>
              <w:adjustRightInd w:val="0"/>
              <w:snapToGrid w:val="0"/>
              <w:spacing w:line="360" w:lineRule="auto"/>
              <w:ind w:firstLine="480" w:firstLineChars="200"/>
              <w:rPr>
                <w:rFonts w:cs="宋体"/>
                <w:b/>
                <w:kern w:val="24"/>
                <w:sz w:val="24"/>
                <w:szCs w:val="24"/>
              </w:rPr>
            </w:pPr>
            <w:r>
              <w:rPr>
                <w:rFonts w:cs="宋体"/>
                <w:kern w:val="24"/>
                <w:sz w:val="24"/>
                <w:szCs w:val="24"/>
              </w:rPr>
              <w:t>项目营运期噪声污染源主要是</w:t>
            </w:r>
            <w:r>
              <w:rPr>
                <w:rFonts w:hint="eastAsia" w:cs="宋体"/>
                <w:kern w:val="24"/>
                <w:sz w:val="24"/>
                <w:szCs w:val="24"/>
              </w:rPr>
              <w:t>设备运行和废气处理设施风机</w:t>
            </w:r>
            <w:r>
              <w:rPr>
                <w:rFonts w:cs="宋体"/>
                <w:kern w:val="24"/>
                <w:sz w:val="24"/>
                <w:szCs w:val="24"/>
              </w:rPr>
              <w:t>噪声。源强在</w:t>
            </w:r>
            <w:r>
              <w:rPr>
                <w:rFonts w:hint="eastAsia" w:cs="宋体"/>
                <w:kern w:val="24"/>
                <w:sz w:val="24"/>
                <w:szCs w:val="24"/>
              </w:rPr>
              <w:t>70~95</w:t>
            </w:r>
            <w:r>
              <w:rPr>
                <w:rFonts w:cs="宋体"/>
                <w:kern w:val="24"/>
                <w:sz w:val="24"/>
                <w:szCs w:val="24"/>
              </w:rPr>
              <w:t>dB</w:t>
            </w:r>
            <w:r>
              <w:rPr>
                <w:rFonts w:hint="eastAsia" w:cs="宋体"/>
                <w:kern w:val="24"/>
                <w:sz w:val="24"/>
                <w:szCs w:val="24"/>
              </w:rPr>
              <w:t>（</w:t>
            </w:r>
            <w:r>
              <w:rPr>
                <w:rFonts w:cs="宋体"/>
                <w:kern w:val="24"/>
                <w:sz w:val="24"/>
                <w:szCs w:val="24"/>
              </w:rPr>
              <w:t>A</w:t>
            </w:r>
            <w:r>
              <w:rPr>
                <w:rFonts w:hint="eastAsia" w:cs="宋体"/>
                <w:kern w:val="24"/>
                <w:sz w:val="24"/>
                <w:szCs w:val="24"/>
              </w:rPr>
              <w:t>）之间。根据项目生产工艺特点、设备布置及拟采取的污染防治措施，项目生产设备及环保设施基本位于生产车间内，且项目夜间不生产。</w:t>
            </w:r>
            <w:r>
              <w:rPr>
                <w:rFonts w:cs="宋体"/>
                <w:kern w:val="24"/>
                <w:sz w:val="24"/>
                <w:szCs w:val="24"/>
              </w:rPr>
              <w:t>噪声源强及治理措施见</w:t>
            </w:r>
            <w:r>
              <w:rPr>
                <w:rFonts w:hint="eastAsia" w:cs="宋体"/>
                <w:kern w:val="24"/>
                <w:sz w:val="24"/>
                <w:szCs w:val="24"/>
              </w:rPr>
              <w:t>下</w:t>
            </w:r>
            <w:r>
              <w:rPr>
                <w:rFonts w:cs="宋体"/>
                <w:kern w:val="24"/>
                <w:sz w:val="24"/>
                <w:szCs w:val="24"/>
              </w:rPr>
              <w:t>表。</w:t>
            </w:r>
          </w:p>
          <w:p>
            <w:pPr>
              <w:autoSpaceDE w:val="0"/>
              <w:autoSpaceDN w:val="0"/>
              <w:adjustRightInd w:val="0"/>
              <w:snapToGrid w:val="0"/>
              <w:spacing w:line="360" w:lineRule="auto"/>
              <w:jc w:val="center"/>
              <w:rPr>
                <w:b/>
                <w:bCs/>
                <w:kern w:val="24"/>
              </w:rPr>
            </w:pPr>
            <w:r>
              <w:rPr>
                <w:rFonts w:hint="eastAsia" w:cs="宋体"/>
                <w:b/>
                <w:bCs/>
                <w:kern w:val="24"/>
              </w:rPr>
              <w:t>表</w:t>
            </w:r>
            <w:r>
              <w:rPr>
                <w:b/>
                <w:bCs/>
                <w:kern w:val="24"/>
              </w:rPr>
              <w:t>4-</w:t>
            </w:r>
            <w:r>
              <w:rPr>
                <w:rFonts w:hint="eastAsia"/>
                <w:b/>
                <w:bCs/>
                <w:kern w:val="24"/>
              </w:rPr>
              <w:t xml:space="preserve">10 </w:t>
            </w:r>
            <w:r>
              <w:rPr>
                <w:rFonts w:hint="eastAsia" w:cs="宋体"/>
                <w:b/>
                <w:bCs/>
                <w:kern w:val="24"/>
              </w:rPr>
              <w:t>项目主要设备噪声源</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1"/>
              <w:gridCol w:w="542"/>
              <w:gridCol w:w="1304"/>
              <w:gridCol w:w="636"/>
              <w:gridCol w:w="802"/>
              <w:gridCol w:w="1012"/>
              <w:gridCol w:w="763"/>
              <w:gridCol w:w="701"/>
              <w:gridCol w:w="820"/>
              <w:gridCol w:w="760"/>
              <w:gridCol w:w="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41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主要噪声源</w:t>
                  </w:r>
                </w:p>
              </w:tc>
              <w:tc>
                <w:tcPr>
                  <w:tcW w:w="307"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数量</w:t>
                  </w:r>
                </w:p>
              </w:tc>
              <w:tc>
                <w:tcPr>
                  <w:tcW w:w="738"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安装位置</w:t>
                  </w:r>
                </w:p>
              </w:tc>
              <w:tc>
                <w:tcPr>
                  <w:tcW w:w="360"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声源类型</w:t>
                  </w:r>
                </w:p>
              </w:tc>
              <w:tc>
                <w:tcPr>
                  <w:tcW w:w="45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单台声功率级</w:t>
                  </w:r>
                  <w:r>
                    <w:t>dB(A)</w:t>
                  </w:r>
                </w:p>
              </w:tc>
              <w:tc>
                <w:tcPr>
                  <w:tcW w:w="573"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降噪措施</w:t>
                  </w:r>
                </w:p>
              </w:tc>
              <w:tc>
                <w:tcPr>
                  <w:tcW w:w="432"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降噪效果</w:t>
                  </w:r>
                  <w:r>
                    <w:t>dB(A)</w:t>
                  </w:r>
                </w:p>
              </w:tc>
              <w:tc>
                <w:tcPr>
                  <w:tcW w:w="1721" w:type="pct"/>
                  <w:gridSpan w:val="4"/>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与厂界距离（m）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14"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307"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738"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360"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454"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573"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432"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397"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东</w:t>
                  </w:r>
                </w:p>
              </w:tc>
              <w:tc>
                <w:tcPr>
                  <w:tcW w:w="46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南</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西</w:t>
                  </w:r>
                </w:p>
              </w:tc>
              <w:tc>
                <w:tcPr>
                  <w:tcW w:w="430"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搅拌罐</w:t>
                  </w:r>
                </w:p>
              </w:tc>
              <w:tc>
                <w:tcPr>
                  <w:tcW w:w="307" w:type="pct"/>
                  <w:tcBorders>
                    <w:top w:val="single" w:color="auto" w:sz="4" w:space="0"/>
                    <w:left w:val="single" w:color="auto" w:sz="4" w:space="0"/>
                    <w:bottom w:val="single" w:color="auto" w:sz="4" w:space="0"/>
                    <w:right w:val="single" w:color="auto" w:sz="4" w:space="0"/>
                  </w:tcBorders>
                  <w:vAlign w:val="center"/>
                </w:tcPr>
                <w:p>
                  <w:pPr>
                    <w:widowControl/>
                    <w:jc w:val="center"/>
                    <w:rPr>
                      <w:bCs/>
                      <w:kern w:val="0"/>
                    </w:rPr>
                  </w:pPr>
                  <w:r>
                    <w:rPr>
                      <w:rFonts w:hint="eastAsia"/>
                      <w:bCs/>
                      <w:kern w:val="0"/>
                    </w:rPr>
                    <w:t>1台</w:t>
                  </w:r>
                </w:p>
              </w:tc>
              <w:tc>
                <w:tcPr>
                  <w:tcW w:w="738"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rPr>
                    <w:t>生产车间内缠绕区</w:t>
                  </w:r>
                </w:p>
              </w:tc>
              <w:tc>
                <w:tcPr>
                  <w:tcW w:w="360"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间断、频繁</w:t>
                  </w:r>
                </w:p>
              </w:tc>
              <w:tc>
                <w:tcPr>
                  <w:tcW w:w="45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rPr>
                    <w:t>75</w:t>
                  </w:r>
                  <w:r>
                    <w:t>~</w:t>
                  </w:r>
                  <w:r>
                    <w:rPr>
                      <w:rFonts w:hint="eastAsia"/>
                    </w:rPr>
                    <w:t>85</w:t>
                  </w:r>
                </w:p>
              </w:tc>
              <w:tc>
                <w:tcPr>
                  <w:tcW w:w="573"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lang w:val="zh-CN"/>
                    </w:rPr>
                    <w:t>选用低噪声设备、基础减振、厂房建筑隔声</w:t>
                  </w:r>
                </w:p>
              </w:tc>
              <w:tc>
                <w:tcPr>
                  <w:tcW w:w="43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65</w:t>
                  </w:r>
                  <w:r>
                    <w:t>~</w:t>
                  </w:r>
                  <w:r>
                    <w:rPr>
                      <w:rFonts w:hint="eastAsia"/>
                    </w:rPr>
                    <w:t>75</w:t>
                  </w:r>
                </w:p>
              </w:tc>
              <w:tc>
                <w:tcPr>
                  <w:tcW w:w="3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155</w:t>
                  </w:r>
                </w:p>
              </w:tc>
              <w:tc>
                <w:tcPr>
                  <w:tcW w:w="46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77</w:t>
                  </w:r>
                </w:p>
              </w:tc>
              <w:tc>
                <w:tcPr>
                  <w:tcW w:w="43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37</w:t>
                  </w:r>
                </w:p>
              </w:tc>
              <w:tc>
                <w:tcPr>
                  <w:tcW w:w="43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缠绕机</w:t>
                  </w:r>
                </w:p>
              </w:tc>
              <w:tc>
                <w:tcPr>
                  <w:tcW w:w="30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bCs/>
                      <w:kern w:val="0"/>
                    </w:rPr>
                    <w:t>4台</w:t>
                  </w:r>
                </w:p>
              </w:tc>
              <w:tc>
                <w:tcPr>
                  <w:tcW w:w="738" w:type="pct"/>
                  <w:vMerge w:val="continue"/>
                  <w:tcBorders>
                    <w:left w:val="single" w:color="auto" w:sz="4" w:space="0"/>
                    <w:right w:val="single" w:color="auto" w:sz="4" w:space="0"/>
                  </w:tcBorders>
                  <w:vAlign w:val="center"/>
                </w:tcPr>
                <w:p>
                  <w:pPr>
                    <w:adjustRightInd w:val="0"/>
                    <w:snapToGrid w:val="0"/>
                    <w:jc w:val="center"/>
                  </w:pPr>
                </w:p>
              </w:tc>
              <w:tc>
                <w:tcPr>
                  <w:tcW w:w="360"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45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rPr>
                    <w:t>75</w:t>
                  </w:r>
                  <w:r>
                    <w:t>~</w:t>
                  </w:r>
                  <w:r>
                    <w:rPr>
                      <w:rFonts w:hint="eastAsia"/>
                    </w:rPr>
                    <w:t>85</w:t>
                  </w:r>
                </w:p>
              </w:tc>
              <w:tc>
                <w:tcPr>
                  <w:tcW w:w="573" w:type="pct"/>
                  <w:vMerge w:val="continue"/>
                  <w:tcBorders>
                    <w:left w:val="single" w:color="auto" w:sz="4" w:space="0"/>
                    <w:right w:val="single" w:color="auto" w:sz="4" w:space="0"/>
                  </w:tcBorders>
                  <w:vAlign w:val="center"/>
                </w:tcPr>
                <w:p>
                  <w:pPr>
                    <w:adjustRightInd w:val="0"/>
                    <w:snapToGrid w:val="0"/>
                    <w:jc w:val="center"/>
                  </w:pPr>
                </w:p>
              </w:tc>
              <w:tc>
                <w:tcPr>
                  <w:tcW w:w="432"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65</w:t>
                  </w:r>
                  <w:r>
                    <w:t>~</w:t>
                  </w:r>
                  <w:r>
                    <w:rPr>
                      <w:rFonts w:hint="eastAsia"/>
                    </w:rPr>
                    <w:t>75</w:t>
                  </w:r>
                </w:p>
              </w:tc>
              <w:tc>
                <w:tcPr>
                  <w:tcW w:w="39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165</w:t>
                  </w:r>
                </w:p>
              </w:tc>
              <w:tc>
                <w:tcPr>
                  <w:tcW w:w="46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60</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32</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脱模机</w:t>
                  </w:r>
                </w:p>
              </w:tc>
              <w:tc>
                <w:tcPr>
                  <w:tcW w:w="30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w:t>
                  </w:r>
                  <w:r>
                    <w:rPr>
                      <w:rFonts w:hint="eastAsia"/>
                      <w:bCs/>
                      <w:kern w:val="0"/>
                    </w:rPr>
                    <w:t>台</w:t>
                  </w:r>
                </w:p>
              </w:tc>
              <w:tc>
                <w:tcPr>
                  <w:tcW w:w="738" w:type="pct"/>
                  <w:tcBorders>
                    <w:left w:val="single" w:color="auto" w:sz="4" w:space="0"/>
                    <w:right w:val="single" w:color="auto" w:sz="4" w:space="0"/>
                  </w:tcBorders>
                  <w:vAlign w:val="center"/>
                </w:tcPr>
                <w:p>
                  <w:pPr>
                    <w:adjustRightInd w:val="0"/>
                    <w:snapToGrid w:val="0"/>
                    <w:jc w:val="center"/>
                  </w:pPr>
                  <w:r>
                    <w:rPr>
                      <w:rFonts w:hint="eastAsia" w:cs="宋体"/>
                    </w:rPr>
                    <w:t>生产车间内</w:t>
                  </w:r>
                  <w:r>
                    <w:rPr>
                      <w:rFonts w:hint="eastAsia"/>
                    </w:rPr>
                    <w:t>脱模区</w:t>
                  </w:r>
                </w:p>
              </w:tc>
              <w:tc>
                <w:tcPr>
                  <w:tcW w:w="360"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45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t>7</w:t>
                  </w:r>
                  <w:r>
                    <w:rPr>
                      <w:rFonts w:hint="eastAsia"/>
                    </w:rPr>
                    <w:t>0</w:t>
                  </w:r>
                  <w:r>
                    <w:t>~8</w:t>
                  </w:r>
                  <w:r>
                    <w:rPr>
                      <w:rFonts w:hint="eastAsia"/>
                    </w:rPr>
                    <w:t>0</w:t>
                  </w:r>
                </w:p>
              </w:tc>
              <w:tc>
                <w:tcPr>
                  <w:tcW w:w="573" w:type="pct"/>
                  <w:vMerge w:val="continue"/>
                  <w:tcBorders>
                    <w:left w:val="single" w:color="auto" w:sz="4" w:space="0"/>
                    <w:right w:val="single" w:color="auto" w:sz="4" w:space="0"/>
                  </w:tcBorders>
                  <w:vAlign w:val="center"/>
                </w:tcPr>
                <w:p>
                  <w:pPr>
                    <w:adjustRightInd w:val="0"/>
                    <w:snapToGrid w:val="0"/>
                    <w:jc w:val="center"/>
                  </w:pPr>
                </w:p>
              </w:tc>
              <w:tc>
                <w:tcPr>
                  <w:tcW w:w="432"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60</w:t>
                  </w:r>
                  <w:r>
                    <w:t>~</w:t>
                  </w:r>
                  <w:r>
                    <w:rPr>
                      <w:rFonts w:hint="eastAsia"/>
                    </w:rPr>
                    <w:t>70</w:t>
                  </w:r>
                </w:p>
              </w:tc>
              <w:tc>
                <w:tcPr>
                  <w:tcW w:w="39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132</w:t>
                  </w:r>
                </w:p>
              </w:tc>
              <w:tc>
                <w:tcPr>
                  <w:tcW w:w="46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62</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60</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rPr>
                    <w:t>角磨机</w:t>
                  </w:r>
                </w:p>
              </w:tc>
              <w:tc>
                <w:tcPr>
                  <w:tcW w:w="30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bCs/>
                      <w:kern w:val="0"/>
                    </w:rPr>
                    <w:t>2台</w:t>
                  </w:r>
                </w:p>
              </w:tc>
              <w:tc>
                <w:tcPr>
                  <w:tcW w:w="738" w:type="pct"/>
                  <w:tcBorders>
                    <w:left w:val="single" w:color="auto" w:sz="4" w:space="0"/>
                    <w:right w:val="single" w:color="auto" w:sz="4" w:space="0"/>
                  </w:tcBorders>
                  <w:vAlign w:val="center"/>
                </w:tcPr>
                <w:p>
                  <w:pPr>
                    <w:tabs>
                      <w:tab w:val="left" w:pos="624"/>
                    </w:tabs>
                    <w:adjustRightInd w:val="0"/>
                    <w:snapToGrid w:val="0"/>
                    <w:jc w:val="center"/>
                  </w:pPr>
                  <w:r>
                    <w:rPr>
                      <w:rFonts w:hint="eastAsia"/>
                    </w:rPr>
                    <w:t>生产车间打磨修整区</w:t>
                  </w:r>
                </w:p>
              </w:tc>
              <w:tc>
                <w:tcPr>
                  <w:tcW w:w="360"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45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t>7</w:t>
                  </w:r>
                  <w:r>
                    <w:rPr>
                      <w:rFonts w:hint="eastAsia"/>
                    </w:rPr>
                    <w:t>0</w:t>
                  </w:r>
                  <w:r>
                    <w:t>~8</w:t>
                  </w:r>
                  <w:r>
                    <w:rPr>
                      <w:rFonts w:hint="eastAsia"/>
                    </w:rPr>
                    <w:t>0</w:t>
                  </w:r>
                </w:p>
              </w:tc>
              <w:tc>
                <w:tcPr>
                  <w:tcW w:w="573" w:type="pct"/>
                  <w:vMerge w:val="continue"/>
                  <w:tcBorders>
                    <w:left w:val="single" w:color="auto" w:sz="4" w:space="0"/>
                    <w:right w:val="single" w:color="auto" w:sz="4" w:space="0"/>
                  </w:tcBorders>
                  <w:vAlign w:val="center"/>
                </w:tcPr>
                <w:p>
                  <w:pPr>
                    <w:adjustRightInd w:val="0"/>
                    <w:snapToGrid w:val="0"/>
                    <w:jc w:val="center"/>
                  </w:pPr>
                </w:p>
              </w:tc>
              <w:tc>
                <w:tcPr>
                  <w:tcW w:w="432"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60</w:t>
                  </w:r>
                  <w:r>
                    <w:t>~</w:t>
                  </w:r>
                  <w:r>
                    <w:rPr>
                      <w:rFonts w:hint="eastAsia"/>
                    </w:rPr>
                    <w:t>70</w:t>
                  </w:r>
                </w:p>
              </w:tc>
              <w:tc>
                <w:tcPr>
                  <w:tcW w:w="39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52</w:t>
                  </w:r>
                </w:p>
              </w:tc>
              <w:tc>
                <w:tcPr>
                  <w:tcW w:w="464"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55</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140</w:t>
                  </w:r>
                </w:p>
              </w:tc>
              <w:tc>
                <w:tcPr>
                  <w:tcW w:w="430"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打磨机</w:t>
                  </w:r>
                </w:p>
              </w:tc>
              <w:tc>
                <w:tcPr>
                  <w:tcW w:w="307" w:type="pct"/>
                  <w:tcBorders>
                    <w:top w:val="single" w:color="auto" w:sz="4" w:space="0"/>
                    <w:left w:val="single" w:color="auto" w:sz="4" w:space="0"/>
                    <w:bottom w:val="single" w:color="auto" w:sz="4" w:space="0"/>
                    <w:right w:val="single" w:color="auto" w:sz="4" w:space="0"/>
                  </w:tcBorders>
                  <w:vAlign w:val="center"/>
                </w:tcPr>
                <w:p>
                  <w:pPr>
                    <w:jc w:val="center"/>
                    <w:rPr>
                      <w:bCs/>
                      <w:kern w:val="0"/>
                    </w:rPr>
                  </w:pPr>
                  <w:r>
                    <w:rPr>
                      <w:rFonts w:hint="eastAsia"/>
                    </w:rPr>
                    <w:t>1</w:t>
                  </w:r>
                  <w:r>
                    <w:rPr>
                      <w:rFonts w:hint="eastAsia"/>
                      <w:bCs/>
                      <w:kern w:val="0"/>
                    </w:rPr>
                    <w:t>台</w:t>
                  </w:r>
                </w:p>
              </w:tc>
              <w:tc>
                <w:tcPr>
                  <w:tcW w:w="738" w:type="pct"/>
                  <w:tcBorders>
                    <w:left w:val="single" w:color="auto" w:sz="4" w:space="0"/>
                    <w:right w:val="single" w:color="auto" w:sz="4" w:space="0"/>
                  </w:tcBorders>
                  <w:vAlign w:val="center"/>
                </w:tcPr>
                <w:p>
                  <w:pPr>
                    <w:tabs>
                      <w:tab w:val="left" w:pos="624"/>
                    </w:tabs>
                    <w:adjustRightInd w:val="0"/>
                    <w:snapToGrid w:val="0"/>
                    <w:jc w:val="center"/>
                  </w:pPr>
                  <w:r>
                    <w:rPr>
                      <w:rFonts w:hint="eastAsia"/>
                    </w:rPr>
                    <w:t>生产车间内打磨室</w:t>
                  </w:r>
                </w:p>
              </w:tc>
              <w:tc>
                <w:tcPr>
                  <w:tcW w:w="360"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454" w:type="pct"/>
                  <w:tcBorders>
                    <w:top w:val="single" w:color="auto" w:sz="4" w:space="0"/>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rPr>
                    <w:t>75</w:t>
                  </w:r>
                  <w:r>
                    <w:t>~</w:t>
                  </w:r>
                  <w:r>
                    <w:rPr>
                      <w:rFonts w:hint="eastAsia"/>
                    </w:rPr>
                    <w:t>85</w:t>
                  </w:r>
                </w:p>
              </w:tc>
              <w:tc>
                <w:tcPr>
                  <w:tcW w:w="573" w:type="pct"/>
                  <w:vMerge w:val="continue"/>
                  <w:tcBorders>
                    <w:left w:val="single" w:color="auto" w:sz="4" w:space="0"/>
                    <w:right w:val="single" w:color="auto" w:sz="4" w:space="0"/>
                  </w:tcBorders>
                  <w:vAlign w:val="center"/>
                </w:tcPr>
                <w:p>
                  <w:pPr>
                    <w:adjustRightInd w:val="0"/>
                    <w:snapToGrid w:val="0"/>
                    <w:jc w:val="center"/>
                  </w:pPr>
                </w:p>
              </w:tc>
              <w:tc>
                <w:tcPr>
                  <w:tcW w:w="432"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rPr>
                    <w:t>65</w:t>
                  </w:r>
                  <w:r>
                    <w:t>~</w:t>
                  </w:r>
                  <w:r>
                    <w:rPr>
                      <w:rFonts w:hint="eastAsia"/>
                    </w:rPr>
                    <w:t>75</w:t>
                  </w:r>
                </w:p>
              </w:tc>
              <w:tc>
                <w:tcPr>
                  <w:tcW w:w="39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54</w:t>
                  </w:r>
                </w:p>
              </w:tc>
              <w:tc>
                <w:tcPr>
                  <w:tcW w:w="46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50</w:t>
                  </w:r>
                </w:p>
              </w:tc>
              <w:tc>
                <w:tcPr>
                  <w:tcW w:w="43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138</w:t>
                  </w:r>
                </w:p>
              </w:tc>
              <w:tc>
                <w:tcPr>
                  <w:tcW w:w="43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41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粉尘处理设施风机</w:t>
                  </w:r>
                </w:p>
              </w:tc>
              <w:tc>
                <w:tcPr>
                  <w:tcW w:w="307" w:type="pct"/>
                  <w:vMerge w:val="restart"/>
                  <w:tcBorders>
                    <w:top w:val="single" w:color="auto" w:sz="4" w:space="0"/>
                    <w:left w:val="single" w:color="auto" w:sz="4" w:space="0"/>
                    <w:right w:val="single" w:color="auto" w:sz="4" w:space="0"/>
                  </w:tcBorders>
                  <w:vAlign w:val="center"/>
                </w:tcPr>
                <w:p>
                  <w:pPr>
                    <w:tabs>
                      <w:tab w:val="left" w:pos="624"/>
                    </w:tabs>
                    <w:adjustRightInd w:val="0"/>
                    <w:snapToGrid w:val="0"/>
                    <w:jc w:val="center"/>
                  </w:pPr>
                  <w:r>
                    <w:rPr>
                      <w:rFonts w:hint="eastAsia"/>
                    </w:rPr>
                    <w:t>2</w:t>
                  </w:r>
                  <w:r>
                    <w:rPr>
                      <w:rFonts w:hint="eastAsia" w:cs="宋体"/>
                    </w:rPr>
                    <w:t>套</w:t>
                  </w:r>
                </w:p>
              </w:tc>
              <w:tc>
                <w:tcPr>
                  <w:tcW w:w="738" w:type="pct"/>
                  <w:tcBorders>
                    <w:left w:val="single" w:color="auto" w:sz="4" w:space="0"/>
                    <w:right w:val="single" w:color="auto" w:sz="4" w:space="0"/>
                  </w:tcBorders>
                  <w:vAlign w:val="center"/>
                </w:tcPr>
                <w:p>
                  <w:pPr>
                    <w:tabs>
                      <w:tab w:val="left" w:pos="624"/>
                    </w:tabs>
                    <w:adjustRightInd w:val="0"/>
                    <w:snapToGrid w:val="0"/>
                    <w:jc w:val="center"/>
                  </w:pPr>
                  <w:r>
                    <w:rPr>
                      <w:rFonts w:hint="eastAsia"/>
                    </w:rPr>
                    <w:t>生产车间外</w:t>
                  </w:r>
                </w:p>
              </w:tc>
              <w:tc>
                <w:tcPr>
                  <w:tcW w:w="360" w:type="pct"/>
                  <w:vMerge w:val="restart"/>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cs="宋体"/>
                    </w:rPr>
                    <w:t>连续</w:t>
                  </w:r>
                </w:p>
              </w:tc>
              <w:tc>
                <w:tcPr>
                  <w:tcW w:w="45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rPr>
                    <w:t>85</w:t>
                  </w:r>
                  <w:r>
                    <w:t>~</w:t>
                  </w:r>
                  <w:r>
                    <w:rPr>
                      <w:rFonts w:hint="eastAsia"/>
                    </w:rPr>
                    <w:t>90</w:t>
                  </w:r>
                </w:p>
              </w:tc>
              <w:tc>
                <w:tcPr>
                  <w:tcW w:w="573" w:type="pct"/>
                  <w:vMerge w:val="restart"/>
                  <w:tcBorders>
                    <w:left w:val="single" w:color="auto" w:sz="4" w:space="0"/>
                    <w:right w:val="single" w:color="auto" w:sz="4" w:space="0"/>
                  </w:tcBorders>
                  <w:vAlign w:val="center"/>
                </w:tcPr>
                <w:p>
                  <w:pPr>
                    <w:adjustRightInd w:val="0"/>
                    <w:snapToGrid w:val="0"/>
                    <w:jc w:val="center"/>
                    <w:rPr>
                      <w:rFonts w:cs="宋体"/>
                      <w:lang w:val="zh-CN"/>
                    </w:rPr>
                  </w:pPr>
                  <w:r>
                    <w:rPr>
                      <w:rFonts w:hint="eastAsia" w:cs="宋体"/>
                      <w:lang w:val="zh-CN"/>
                    </w:rPr>
                    <w:t>选用低噪声设备、基础减振、柔性连接</w:t>
                  </w:r>
                </w:p>
                <w:p>
                  <w:pPr>
                    <w:adjustRightInd w:val="0"/>
                    <w:snapToGrid w:val="0"/>
                    <w:jc w:val="center"/>
                    <w:rPr>
                      <w:rFonts w:cs="宋体"/>
                      <w:lang w:val="zh-CN"/>
                    </w:rPr>
                  </w:pPr>
                  <w:r>
                    <w:rPr>
                      <w:rFonts w:hint="eastAsia" w:cs="宋体"/>
                      <w:lang w:val="zh-CN"/>
                    </w:rPr>
                    <w:t>厂房建筑隔声</w:t>
                  </w:r>
                </w:p>
              </w:tc>
              <w:tc>
                <w:tcPr>
                  <w:tcW w:w="432"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70</w:t>
                  </w:r>
                  <w:r>
                    <w:t>~</w:t>
                  </w:r>
                  <w:r>
                    <w:rPr>
                      <w:rFonts w:hint="eastAsia"/>
                    </w:rPr>
                    <w:t>75</w:t>
                  </w:r>
                </w:p>
              </w:tc>
              <w:tc>
                <w:tcPr>
                  <w:tcW w:w="397"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53</w:t>
                  </w:r>
                </w:p>
              </w:tc>
              <w:tc>
                <w:tcPr>
                  <w:tcW w:w="464"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54</w:t>
                  </w:r>
                </w:p>
              </w:tc>
              <w:tc>
                <w:tcPr>
                  <w:tcW w:w="430"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139</w:t>
                  </w:r>
                </w:p>
              </w:tc>
              <w:tc>
                <w:tcPr>
                  <w:tcW w:w="430"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14"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307" w:type="pct"/>
                  <w:vMerge w:val="continue"/>
                  <w:tcBorders>
                    <w:left w:val="single" w:color="auto" w:sz="4" w:space="0"/>
                    <w:right w:val="single" w:color="auto" w:sz="4" w:space="0"/>
                  </w:tcBorders>
                  <w:vAlign w:val="center"/>
                </w:tcPr>
                <w:p>
                  <w:pPr>
                    <w:tabs>
                      <w:tab w:val="left" w:pos="624"/>
                    </w:tabs>
                    <w:adjustRightInd w:val="0"/>
                    <w:snapToGrid w:val="0"/>
                    <w:jc w:val="center"/>
                  </w:pPr>
                </w:p>
              </w:tc>
              <w:tc>
                <w:tcPr>
                  <w:tcW w:w="738" w:type="pct"/>
                  <w:tcBorders>
                    <w:left w:val="single" w:color="auto" w:sz="4" w:space="0"/>
                    <w:right w:val="single" w:color="auto" w:sz="4" w:space="0"/>
                  </w:tcBorders>
                  <w:vAlign w:val="center"/>
                </w:tcPr>
                <w:p>
                  <w:pPr>
                    <w:tabs>
                      <w:tab w:val="left" w:pos="624"/>
                    </w:tabs>
                    <w:adjustRightInd w:val="0"/>
                    <w:snapToGrid w:val="0"/>
                    <w:jc w:val="center"/>
                  </w:pPr>
                  <w:r>
                    <w:rPr>
                      <w:rFonts w:hint="eastAsia"/>
                    </w:rPr>
                    <w:t>生产车间内</w:t>
                  </w:r>
                </w:p>
              </w:tc>
              <w:tc>
                <w:tcPr>
                  <w:tcW w:w="360"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454" w:type="pct"/>
                  <w:vMerge w:val="continue"/>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573" w:type="pct"/>
                  <w:vMerge w:val="continue"/>
                  <w:tcBorders>
                    <w:left w:val="single" w:color="auto" w:sz="4" w:space="0"/>
                    <w:right w:val="single" w:color="auto" w:sz="4" w:space="0"/>
                  </w:tcBorders>
                  <w:vAlign w:val="center"/>
                </w:tcPr>
                <w:p>
                  <w:pPr>
                    <w:adjustRightInd w:val="0"/>
                    <w:snapToGrid w:val="0"/>
                    <w:jc w:val="center"/>
                    <w:rPr>
                      <w:rFonts w:cs="宋体"/>
                      <w:lang w:val="zh-CN"/>
                    </w:rPr>
                  </w:pPr>
                </w:p>
              </w:tc>
              <w:tc>
                <w:tcPr>
                  <w:tcW w:w="432" w:type="pct"/>
                  <w:vMerge w:val="continue"/>
                  <w:tcBorders>
                    <w:left w:val="single" w:color="auto" w:sz="4" w:space="0"/>
                    <w:right w:val="single" w:color="auto" w:sz="4" w:space="0"/>
                  </w:tcBorders>
                  <w:vAlign w:val="center"/>
                </w:tcPr>
                <w:p>
                  <w:pPr>
                    <w:adjustRightInd w:val="0"/>
                    <w:snapToGrid w:val="0"/>
                    <w:jc w:val="center"/>
                  </w:pPr>
                </w:p>
              </w:tc>
              <w:tc>
                <w:tcPr>
                  <w:tcW w:w="397" w:type="pct"/>
                  <w:tcBorders>
                    <w:left w:val="single" w:color="auto" w:sz="4" w:space="0"/>
                    <w:right w:val="single" w:color="auto" w:sz="4" w:space="0"/>
                  </w:tcBorders>
                  <w:vAlign w:val="center"/>
                </w:tcPr>
                <w:p>
                  <w:pPr>
                    <w:adjustRightInd w:val="0"/>
                    <w:snapToGrid w:val="0"/>
                    <w:jc w:val="center"/>
                  </w:pPr>
                  <w:r>
                    <w:rPr>
                      <w:rFonts w:hint="eastAsia"/>
                    </w:rPr>
                    <w:t>152</w:t>
                  </w:r>
                </w:p>
              </w:tc>
              <w:tc>
                <w:tcPr>
                  <w:tcW w:w="464" w:type="pct"/>
                  <w:tcBorders>
                    <w:left w:val="single" w:color="auto" w:sz="4" w:space="0"/>
                    <w:right w:val="single" w:color="auto" w:sz="4" w:space="0"/>
                  </w:tcBorders>
                  <w:vAlign w:val="center"/>
                </w:tcPr>
                <w:p>
                  <w:pPr>
                    <w:adjustRightInd w:val="0"/>
                    <w:snapToGrid w:val="0"/>
                    <w:jc w:val="center"/>
                  </w:pPr>
                  <w:r>
                    <w:rPr>
                      <w:rFonts w:hint="eastAsia"/>
                    </w:rPr>
                    <w:t>62</w:t>
                  </w:r>
                </w:p>
              </w:tc>
              <w:tc>
                <w:tcPr>
                  <w:tcW w:w="430" w:type="pct"/>
                  <w:tcBorders>
                    <w:left w:val="single" w:color="auto" w:sz="4" w:space="0"/>
                    <w:right w:val="single" w:color="auto" w:sz="4" w:space="0"/>
                  </w:tcBorders>
                  <w:vAlign w:val="center"/>
                </w:tcPr>
                <w:p>
                  <w:pPr>
                    <w:adjustRightInd w:val="0"/>
                    <w:snapToGrid w:val="0"/>
                    <w:jc w:val="center"/>
                  </w:pPr>
                  <w:r>
                    <w:rPr>
                      <w:rFonts w:hint="eastAsia"/>
                    </w:rPr>
                    <w:t>40</w:t>
                  </w:r>
                </w:p>
              </w:tc>
              <w:tc>
                <w:tcPr>
                  <w:tcW w:w="430" w:type="pct"/>
                  <w:tcBorders>
                    <w:left w:val="single" w:color="auto" w:sz="4" w:space="0"/>
                    <w:right w:val="single" w:color="auto" w:sz="4" w:space="0"/>
                  </w:tcBorders>
                  <w:vAlign w:val="center"/>
                </w:tcPr>
                <w:p>
                  <w:pPr>
                    <w:adjustRightInd w:val="0"/>
                    <w:snapToGrid w:val="0"/>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41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有机废气处理设施风机</w:t>
                  </w:r>
                </w:p>
              </w:tc>
              <w:tc>
                <w:tcPr>
                  <w:tcW w:w="307" w:type="pct"/>
                  <w:vMerge w:val="restart"/>
                  <w:tcBorders>
                    <w:top w:val="single" w:color="auto" w:sz="4" w:space="0"/>
                    <w:left w:val="single" w:color="auto" w:sz="4" w:space="0"/>
                    <w:right w:val="single" w:color="auto" w:sz="4" w:space="0"/>
                  </w:tcBorders>
                  <w:vAlign w:val="center"/>
                </w:tcPr>
                <w:p>
                  <w:pPr>
                    <w:tabs>
                      <w:tab w:val="left" w:pos="624"/>
                    </w:tabs>
                    <w:adjustRightInd w:val="0"/>
                    <w:snapToGrid w:val="0"/>
                    <w:jc w:val="center"/>
                  </w:pPr>
                  <w:r>
                    <w:rPr>
                      <w:rFonts w:hint="eastAsia"/>
                    </w:rPr>
                    <w:t>2</w:t>
                  </w:r>
                  <w:r>
                    <w:rPr>
                      <w:rFonts w:hint="eastAsia" w:cs="宋体"/>
                    </w:rPr>
                    <w:t>套</w:t>
                  </w:r>
                </w:p>
              </w:tc>
              <w:tc>
                <w:tcPr>
                  <w:tcW w:w="738" w:type="pct"/>
                  <w:vMerge w:val="restart"/>
                  <w:tcBorders>
                    <w:left w:val="single" w:color="auto" w:sz="4" w:space="0"/>
                    <w:right w:val="single" w:color="auto" w:sz="4" w:space="0"/>
                  </w:tcBorders>
                  <w:vAlign w:val="center"/>
                </w:tcPr>
                <w:p>
                  <w:pPr>
                    <w:tabs>
                      <w:tab w:val="left" w:pos="624"/>
                    </w:tabs>
                    <w:adjustRightInd w:val="0"/>
                    <w:snapToGrid w:val="0"/>
                    <w:jc w:val="center"/>
                    <w:rPr>
                      <w:rFonts w:cs="宋体"/>
                    </w:rPr>
                  </w:pPr>
                  <w:r>
                    <w:rPr>
                      <w:rFonts w:hint="eastAsia" w:cs="宋体"/>
                    </w:rPr>
                    <w:t>生产车间封头制作区、缠绕固化区</w:t>
                  </w:r>
                </w:p>
              </w:tc>
              <w:tc>
                <w:tcPr>
                  <w:tcW w:w="360" w:type="pct"/>
                  <w:vMerge w:val="restart"/>
                  <w:tcBorders>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r>
                    <w:rPr>
                      <w:rFonts w:hint="eastAsia" w:cs="宋体"/>
                    </w:rPr>
                    <w:t>连续</w:t>
                  </w:r>
                </w:p>
              </w:tc>
              <w:tc>
                <w:tcPr>
                  <w:tcW w:w="454" w:type="pct"/>
                  <w:vMerge w:val="restart"/>
                  <w:tcBorders>
                    <w:top w:val="single" w:color="auto" w:sz="4" w:space="0"/>
                    <w:left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r>
                    <w:rPr>
                      <w:rFonts w:hint="eastAsia"/>
                    </w:rPr>
                    <w:t>90</w:t>
                  </w:r>
                  <w:r>
                    <w:t>~</w:t>
                  </w:r>
                  <w:r>
                    <w:rPr>
                      <w:rFonts w:hint="eastAsia"/>
                    </w:rPr>
                    <w:t>95</w:t>
                  </w:r>
                </w:p>
              </w:tc>
              <w:tc>
                <w:tcPr>
                  <w:tcW w:w="573" w:type="pct"/>
                  <w:vMerge w:val="continue"/>
                  <w:tcBorders>
                    <w:left w:val="single" w:color="auto" w:sz="4" w:space="0"/>
                    <w:right w:val="single" w:color="auto" w:sz="4" w:space="0"/>
                  </w:tcBorders>
                  <w:vAlign w:val="center"/>
                </w:tcPr>
                <w:p>
                  <w:pPr>
                    <w:adjustRightInd w:val="0"/>
                    <w:snapToGrid w:val="0"/>
                    <w:jc w:val="center"/>
                    <w:rPr>
                      <w:rFonts w:cs="宋体"/>
                      <w:lang w:val="zh-CN"/>
                    </w:rPr>
                  </w:pPr>
                </w:p>
              </w:tc>
              <w:tc>
                <w:tcPr>
                  <w:tcW w:w="432"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75</w:t>
                  </w:r>
                  <w:r>
                    <w:t>~</w:t>
                  </w:r>
                  <w:r>
                    <w:rPr>
                      <w:rFonts w:hint="eastAsia"/>
                    </w:rPr>
                    <w:t>80</w:t>
                  </w:r>
                </w:p>
              </w:tc>
              <w:tc>
                <w:tcPr>
                  <w:tcW w:w="397"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53</w:t>
                  </w:r>
                </w:p>
              </w:tc>
              <w:tc>
                <w:tcPr>
                  <w:tcW w:w="46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57</w:t>
                  </w:r>
                </w:p>
              </w:tc>
              <w:tc>
                <w:tcPr>
                  <w:tcW w:w="430"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139</w:t>
                  </w:r>
                </w:p>
              </w:tc>
              <w:tc>
                <w:tcPr>
                  <w:tcW w:w="430"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414"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307" w:type="pct"/>
                  <w:vMerge w:val="continue"/>
                  <w:tcBorders>
                    <w:left w:val="single" w:color="auto" w:sz="4" w:space="0"/>
                    <w:bottom w:val="single" w:color="auto" w:sz="4" w:space="0"/>
                    <w:right w:val="single" w:color="auto" w:sz="4" w:space="0"/>
                  </w:tcBorders>
                  <w:vAlign w:val="center"/>
                </w:tcPr>
                <w:p>
                  <w:pPr>
                    <w:tabs>
                      <w:tab w:val="left" w:pos="624"/>
                    </w:tabs>
                    <w:adjustRightInd w:val="0"/>
                    <w:snapToGrid w:val="0"/>
                    <w:jc w:val="center"/>
                  </w:pPr>
                </w:p>
              </w:tc>
              <w:tc>
                <w:tcPr>
                  <w:tcW w:w="738" w:type="pct"/>
                  <w:vMerge w:val="continue"/>
                  <w:tcBorders>
                    <w:left w:val="single" w:color="auto" w:sz="4" w:space="0"/>
                    <w:right w:val="single" w:color="auto" w:sz="4" w:space="0"/>
                  </w:tcBorders>
                  <w:vAlign w:val="center"/>
                </w:tcPr>
                <w:p>
                  <w:pPr>
                    <w:tabs>
                      <w:tab w:val="left" w:pos="624"/>
                    </w:tabs>
                    <w:adjustRightInd w:val="0"/>
                    <w:snapToGrid w:val="0"/>
                    <w:jc w:val="center"/>
                    <w:rPr>
                      <w:rFonts w:cs="宋体"/>
                    </w:rPr>
                  </w:pPr>
                </w:p>
              </w:tc>
              <w:tc>
                <w:tcPr>
                  <w:tcW w:w="360"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rPr>
                      <w:rFonts w:cs="宋体"/>
                    </w:rPr>
                  </w:pPr>
                </w:p>
              </w:tc>
              <w:tc>
                <w:tcPr>
                  <w:tcW w:w="454" w:type="pct"/>
                  <w:vMerge w:val="continue"/>
                  <w:tcBorders>
                    <w:left w:val="single" w:color="auto" w:sz="4" w:space="0"/>
                    <w:bottom w:val="single" w:color="auto" w:sz="4" w:space="0"/>
                    <w:right w:val="single" w:color="auto" w:sz="4" w:space="0"/>
                  </w:tcBorders>
                  <w:vAlign w:val="center"/>
                </w:tcPr>
                <w:p>
                  <w:pPr>
                    <w:pStyle w:val="34"/>
                    <w:tabs>
                      <w:tab w:val="center" w:pos="4153"/>
                      <w:tab w:val="right" w:pos="8306"/>
                    </w:tabs>
                    <w:adjustRightInd w:val="0"/>
                    <w:snapToGrid w:val="0"/>
                    <w:spacing w:after="0"/>
                    <w:ind w:left="0" w:leftChars="0" w:firstLine="0"/>
                    <w:jc w:val="center"/>
                  </w:pPr>
                </w:p>
              </w:tc>
              <w:tc>
                <w:tcPr>
                  <w:tcW w:w="573" w:type="pct"/>
                  <w:vMerge w:val="continue"/>
                  <w:tcBorders>
                    <w:left w:val="single" w:color="auto" w:sz="4" w:space="0"/>
                    <w:right w:val="single" w:color="auto" w:sz="4" w:space="0"/>
                  </w:tcBorders>
                  <w:vAlign w:val="center"/>
                </w:tcPr>
                <w:p>
                  <w:pPr>
                    <w:adjustRightInd w:val="0"/>
                    <w:snapToGrid w:val="0"/>
                    <w:jc w:val="center"/>
                    <w:rPr>
                      <w:rFonts w:cs="宋体"/>
                      <w:lang w:val="zh-CN"/>
                    </w:rPr>
                  </w:pPr>
                </w:p>
              </w:tc>
              <w:tc>
                <w:tcPr>
                  <w:tcW w:w="432" w:type="pct"/>
                  <w:vMerge w:val="continue"/>
                  <w:tcBorders>
                    <w:left w:val="single" w:color="auto" w:sz="4" w:space="0"/>
                    <w:bottom w:val="single" w:color="auto" w:sz="4" w:space="0"/>
                    <w:right w:val="single" w:color="auto" w:sz="4" w:space="0"/>
                  </w:tcBorders>
                  <w:vAlign w:val="center"/>
                </w:tcPr>
                <w:p>
                  <w:pPr>
                    <w:adjustRightInd w:val="0"/>
                    <w:snapToGrid w:val="0"/>
                    <w:jc w:val="center"/>
                  </w:pPr>
                </w:p>
              </w:tc>
              <w:tc>
                <w:tcPr>
                  <w:tcW w:w="397" w:type="pct"/>
                  <w:tcBorders>
                    <w:left w:val="single" w:color="auto" w:sz="4" w:space="0"/>
                    <w:bottom w:val="single" w:color="auto" w:sz="4" w:space="0"/>
                    <w:right w:val="single" w:color="auto" w:sz="4" w:space="0"/>
                  </w:tcBorders>
                  <w:vAlign w:val="center"/>
                </w:tcPr>
                <w:p>
                  <w:pPr>
                    <w:adjustRightInd w:val="0"/>
                    <w:snapToGrid w:val="0"/>
                    <w:jc w:val="center"/>
                  </w:pPr>
                  <w:r>
                    <w:rPr>
                      <w:rFonts w:hint="eastAsia"/>
                    </w:rPr>
                    <w:t>157</w:t>
                  </w:r>
                </w:p>
              </w:tc>
              <w:tc>
                <w:tcPr>
                  <w:tcW w:w="464"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52</w:t>
                  </w:r>
                </w:p>
              </w:tc>
              <w:tc>
                <w:tcPr>
                  <w:tcW w:w="430" w:type="pct"/>
                  <w:tcBorders>
                    <w:left w:val="single" w:color="auto" w:sz="4" w:space="0"/>
                    <w:bottom w:val="single" w:color="auto" w:sz="4" w:space="0"/>
                    <w:right w:val="single" w:color="auto" w:sz="4" w:space="0"/>
                  </w:tcBorders>
                  <w:vAlign w:val="center"/>
                </w:tcPr>
                <w:p>
                  <w:pPr>
                    <w:adjustRightInd w:val="0"/>
                    <w:snapToGrid w:val="0"/>
                    <w:jc w:val="center"/>
                  </w:pPr>
                  <w:r>
                    <w:rPr>
                      <w:rFonts w:hint="eastAsia"/>
                    </w:rPr>
                    <w:t>35</w:t>
                  </w:r>
                </w:p>
              </w:tc>
              <w:tc>
                <w:tcPr>
                  <w:tcW w:w="430" w:type="pct"/>
                  <w:tcBorders>
                    <w:left w:val="single" w:color="auto" w:sz="4" w:space="0"/>
                    <w:bottom w:val="single" w:color="auto" w:sz="4" w:space="0"/>
                    <w:right w:val="single" w:color="auto" w:sz="4" w:space="0"/>
                  </w:tcBorders>
                  <w:vAlign w:val="center"/>
                </w:tcPr>
                <w:p>
                  <w:pPr>
                    <w:adjustRightInd w:val="0"/>
                    <w:snapToGrid w:val="0"/>
                    <w:jc w:val="center"/>
                  </w:pPr>
                  <w:r>
                    <w:rPr>
                      <w:rFonts w:hint="eastAsia"/>
                    </w:rPr>
                    <w:t>40</w:t>
                  </w:r>
                </w:p>
              </w:tc>
            </w:tr>
          </w:tbl>
          <w:p>
            <w:pPr>
              <w:autoSpaceDN w:val="0"/>
              <w:adjustRightInd w:val="0"/>
              <w:snapToGrid w:val="0"/>
              <w:spacing w:line="360" w:lineRule="auto"/>
              <w:ind w:firstLine="480" w:firstLineChars="200"/>
              <w:rPr>
                <w:sz w:val="24"/>
              </w:rPr>
            </w:pPr>
            <w:r>
              <w:rPr>
                <w:sz w:val="24"/>
                <w:szCs w:val="24"/>
              </w:rPr>
              <w:t>采用《环境影响评价技术导则 声环境》（HJ2.4-2021）中对企业噪声预测模式进行预测，测采用噪声点源衰减模式和噪声叠加公式进行计算，具体预测模式如下。</w:t>
            </w:r>
          </w:p>
          <w:p>
            <w:pPr>
              <w:autoSpaceDN w:val="0"/>
              <w:adjustRightInd w:val="0"/>
              <w:snapToGrid w:val="0"/>
              <w:spacing w:line="360" w:lineRule="auto"/>
              <w:ind w:firstLine="480" w:firstLineChars="200"/>
              <w:jc w:val="left"/>
              <w:rPr>
                <w:sz w:val="24"/>
              </w:rPr>
            </w:pPr>
            <w:r>
              <w:rPr>
                <w:sz w:val="24"/>
              </w:rPr>
              <w:fldChar w:fldCharType="begin"/>
            </w:r>
            <w:r>
              <w:rPr>
                <w:sz w:val="24"/>
                <w:szCs w:val="24"/>
              </w:rPr>
              <w:instrText xml:space="preserve"> = 1 \* GB3 </w:instrText>
            </w:r>
            <w:r>
              <w:rPr>
                <w:sz w:val="24"/>
              </w:rPr>
              <w:fldChar w:fldCharType="separate"/>
            </w:r>
            <w:r>
              <w:rPr>
                <w:rFonts w:hint="eastAsia" w:cs="宋体"/>
                <w:sz w:val="24"/>
                <w:szCs w:val="24"/>
              </w:rPr>
              <w:t>①</w:t>
            </w:r>
            <w:r>
              <w:rPr>
                <w:sz w:val="24"/>
              </w:rPr>
              <w:fldChar w:fldCharType="end"/>
            </w:r>
            <w:r>
              <w:rPr>
                <w:sz w:val="24"/>
                <w:szCs w:val="24"/>
              </w:rPr>
              <w:t>室内声源等效室外声源计算</w:t>
            </w:r>
          </w:p>
          <w:p>
            <w:pPr>
              <w:autoSpaceDN w:val="0"/>
              <w:adjustRightInd w:val="0"/>
              <w:snapToGrid w:val="0"/>
              <w:spacing w:line="360" w:lineRule="auto"/>
              <w:ind w:firstLine="480" w:firstLineChars="200"/>
              <w:rPr>
                <w:sz w:val="24"/>
              </w:rPr>
            </w:pPr>
            <w:r>
              <w:rPr>
                <w:sz w:val="24"/>
                <w:szCs w:val="24"/>
              </w:rPr>
              <w:t>声源位于室内，室内声源可采用等效室外声源声功率级法进行计算。设靠近开口处（或窗户）室内、室外某倍频带的声压级分别为</w:t>
            </w:r>
            <w:r>
              <w:rPr>
                <w:i/>
                <w:iCs/>
                <w:sz w:val="24"/>
                <w:szCs w:val="24"/>
              </w:rPr>
              <w:t>Lp</w:t>
            </w:r>
            <w:r>
              <w:rPr>
                <w:i/>
                <w:iCs/>
                <w:sz w:val="24"/>
                <w:szCs w:val="24"/>
                <w:vertAlign w:val="subscript"/>
              </w:rPr>
              <w:t>1</w:t>
            </w:r>
            <w:r>
              <w:rPr>
                <w:sz w:val="24"/>
                <w:szCs w:val="24"/>
              </w:rPr>
              <w:t>和</w:t>
            </w:r>
            <w:r>
              <w:rPr>
                <w:i/>
                <w:iCs/>
                <w:sz w:val="24"/>
                <w:szCs w:val="24"/>
              </w:rPr>
              <w:t>Lp</w:t>
            </w:r>
            <w:r>
              <w:rPr>
                <w:i/>
                <w:iCs/>
                <w:sz w:val="24"/>
                <w:szCs w:val="24"/>
                <w:vertAlign w:val="subscript"/>
              </w:rPr>
              <w:t>2</w:t>
            </w:r>
            <w:r>
              <w:rPr>
                <w:sz w:val="24"/>
                <w:szCs w:val="24"/>
              </w:rPr>
              <w:t>。若声源所在室内声场为近似扩散声场，则室外的倍频带声压级可按下式近似求出：</w:t>
            </w:r>
          </w:p>
          <w:p>
            <w:pPr>
              <w:autoSpaceDN w:val="0"/>
              <w:adjustRightInd w:val="0"/>
              <w:snapToGrid w:val="0"/>
              <w:spacing w:line="360" w:lineRule="auto"/>
              <w:ind w:firstLine="480" w:firstLineChars="200"/>
              <w:jc w:val="center"/>
              <w:rPr>
                <w:sz w:val="24"/>
              </w:rPr>
            </w:pPr>
            <w:r>
              <w:rPr>
                <w:sz w:val="24"/>
                <w:szCs w:val="24"/>
              </w:rPr>
              <w:t>L</w:t>
            </w:r>
            <w:r>
              <w:rPr>
                <w:rFonts w:hint="eastAsia"/>
                <w:i/>
                <w:iCs/>
                <w:sz w:val="24"/>
                <w:szCs w:val="24"/>
                <w:vertAlign w:val="subscript"/>
              </w:rPr>
              <w:t>p</w:t>
            </w:r>
            <w:r>
              <w:rPr>
                <w:i/>
                <w:iCs/>
                <w:sz w:val="24"/>
                <w:szCs w:val="24"/>
                <w:vertAlign w:val="subscript"/>
              </w:rPr>
              <w:t>2</w:t>
            </w:r>
            <w:r>
              <w:rPr>
                <w:sz w:val="24"/>
                <w:szCs w:val="24"/>
              </w:rPr>
              <w:t>（</w:t>
            </w:r>
            <w:r>
              <w:rPr>
                <w:i/>
                <w:iCs/>
                <w:sz w:val="24"/>
                <w:szCs w:val="24"/>
              </w:rPr>
              <w:t>T</w:t>
            </w:r>
            <w:r>
              <w:rPr>
                <w:sz w:val="24"/>
                <w:szCs w:val="24"/>
              </w:rPr>
              <w:t>）=L</w:t>
            </w:r>
            <w:r>
              <w:rPr>
                <w:rFonts w:hint="eastAsia"/>
                <w:i/>
                <w:iCs/>
                <w:sz w:val="24"/>
                <w:szCs w:val="24"/>
                <w:vertAlign w:val="subscript"/>
              </w:rPr>
              <w:t>p</w:t>
            </w:r>
            <w:r>
              <w:rPr>
                <w:i/>
                <w:iCs/>
                <w:sz w:val="24"/>
                <w:szCs w:val="24"/>
                <w:vertAlign w:val="subscript"/>
              </w:rPr>
              <w:t>1</w:t>
            </w:r>
            <w:r>
              <w:rPr>
                <w:sz w:val="24"/>
                <w:szCs w:val="24"/>
              </w:rPr>
              <w:t>（</w:t>
            </w:r>
            <w:r>
              <w:rPr>
                <w:i/>
                <w:iCs/>
                <w:sz w:val="24"/>
                <w:szCs w:val="24"/>
              </w:rPr>
              <w:t>T</w:t>
            </w:r>
            <w:r>
              <w:rPr>
                <w:sz w:val="24"/>
                <w:szCs w:val="24"/>
              </w:rPr>
              <w:t>）－(</w:t>
            </w:r>
            <w:r>
              <w:rPr>
                <w:i/>
                <w:iCs/>
                <w:sz w:val="24"/>
                <w:szCs w:val="24"/>
              </w:rPr>
              <w:t>TL</w:t>
            </w:r>
            <w:r>
              <w:rPr>
                <w:sz w:val="24"/>
                <w:szCs w:val="24"/>
              </w:rPr>
              <w:t>+6)</w:t>
            </w:r>
          </w:p>
          <w:p>
            <w:pPr>
              <w:autoSpaceDN w:val="0"/>
              <w:adjustRightInd w:val="0"/>
              <w:snapToGrid w:val="0"/>
              <w:spacing w:line="360" w:lineRule="auto"/>
              <w:ind w:firstLine="480" w:firstLineChars="200"/>
              <w:jc w:val="left"/>
              <w:rPr>
                <w:sz w:val="24"/>
              </w:rPr>
            </w:pPr>
            <w:r>
              <w:rPr>
                <w:sz w:val="24"/>
                <w:szCs w:val="24"/>
              </w:rPr>
              <w:t>式中：</w:t>
            </w:r>
            <w:r>
              <w:rPr>
                <w:i/>
                <w:iCs/>
                <w:sz w:val="24"/>
                <w:szCs w:val="24"/>
              </w:rPr>
              <w:t>TL</w:t>
            </w:r>
            <w:r>
              <w:rPr>
                <w:sz w:val="24"/>
                <w:szCs w:val="24"/>
              </w:rPr>
              <w:t>—隔墙（或窗户）倍频带的隔声量，dB（A）。</w:t>
            </w:r>
          </w:p>
          <w:p>
            <w:pPr>
              <w:autoSpaceDN w:val="0"/>
              <w:adjustRightInd w:val="0"/>
              <w:snapToGrid w:val="0"/>
              <w:spacing w:line="360" w:lineRule="auto"/>
              <w:ind w:firstLine="480" w:firstLineChars="200"/>
              <w:jc w:val="center"/>
              <w:rPr>
                <w:sz w:val="24"/>
              </w:rPr>
            </w:pPr>
            <m:oMathPara>
              <m:oMath>
                <m:sSub>
                  <m:sSubPr>
                    <m:ctrlPr>
                      <w:rPr>
                        <w:rFonts w:ascii="Cambria Math" w:hAnsi="Cambria Math"/>
                        <w:i/>
                        <w:iCs/>
                        <w:sz w:val="24"/>
                        <w:szCs w:val="24"/>
                      </w:rPr>
                    </m:ctrlPr>
                  </m:sSubPr>
                  <m:e>
                    <m:r>
                      <m:rPr/>
                      <w:rPr>
                        <w:rFonts w:ascii="Cambria Math"/>
                        <w:sz w:val="24"/>
                        <w:szCs w:val="24"/>
                      </w:rPr>
                      <m:t>L</m:t>
                    </m:r>
                    <m:ctrlPr>
                      <w:rPr>
                        <w:rFonts w:ascii="Cambria Math" w:hAnsi="Cambria Math"/>
                        <w:i/>
                        <w:iCs/>
                        <w:sz w:val="24"/>
                        <w:szCs w:val="24"/>
                      </w:rPr>
                    </m:ctrlPr>
                  </m:e>
                  <m:sub>
                    <m:r>
                      <m:rPr/>
                      <w:rPr>
                        <w:rFonts w:ascii="Cambria Math"/>
                        <w:sz w:val="24"/>
                        <w:szCs w:val="24"/>
                      </w:rPr>
                      <m:t>P1</m:t>
                    </m:r>
                    <m:ctrlPr>
                      <w:rPr>
                        <w:rFonts w:ascii="Cambria Math" w:hAnsi="Cambria Math"/>
                        <w:i/>
                        <w:iCs/>
                        <w:sz w:val="24"/>
                        <w:szCs w:val="24"/>
                      </w:rPr>
                    </m:ctrlPr>
                  </m:sub>
                </m:sSub>
                <m:r>
                  <m:rPr>
                    <m:sty m:val="p"/>
                  </m:rPr>
                  <w:rPr>
                    <w:rFonts w:ascii="Cambria Math"/>
                    <w:sz w:val="24"/>
                    <w:szCs w:val="24"/>
                  </w:rPr>
                  <m:t>=</m:t>
                </m:r>
                <m:sSub>
                  <m:sSubPr>
                    <m:ctrlPr>
                      <w:rPr>
                        <w:rFonts w:ascii="Cambria Math" w:hAnsi="Cambria Math"/>
                        <w:i/>
                        <w:iCs/>
                        <w:sz w:val="24"/>
                        <w:szCs w:val="24"/>
                      </w:rPr>
                    </m:ctrlPr>
                  </m:sSubPr>
                  <m:e>
                    <m:r>
                      <m:rPr/>
                      <w:rPr>
                        <w:rFonts w:ascii="Cambria Math"/>
                        <w:sz w:val="24"/>
                        <w:szCs w:val="24"/>
                      </w:rPr>
                      <m:t>L</m:t>
                    </m:r>
                    <m:ctrlPr>
                      <w:rPr>
                        <w:rFonts w:ascii="Cambria Math" w:hAnsi="Cambria Math"/>
                        <w:i/>
                        <w:iCs/>
                        <w:sz w:val="24"/>
                        <w:szCs w:val="24"/>
                      </w:rPr>
                    </m:ctrlPr>
                  </m:e>
                  <m:sub>
                    <m:r>
                      <m:rPr/>
                      <w:rPr>
                        <w:rFonts w:ascii="Cambria Math"/>
                        <w:sz w:val="24"/>
                        <w:szCs w:val="24"/>
                      </w:rPr>
                      <m:t>w</m:t>
                    </m:r>
                    <m:ctrlPr>
                      <w:rPr>
                        <w:rFonts w:ascii="Cambria Math" w:hAnsi="Cambria Math"/>
                        <w:i/>
                        <w:iCs/>
                        <w:sz w:val="24"/>
                        <w:szCs w:val="24"/>
                      </w:rPr>
                    </m:ctrlPr>
                  </m:sub>
                </m:sSub>
                <m:r>
                  <m:rPr>
                    <m:sty m:val="p"/>
                  </m:rPr>
                  <w:rPr>
                    <w:rFonts w:ascii="Cambria Math"/>
                    <w:sz w:val="24"/>
                    <w:szCs w:val="24"/>
                  </w:rPr>
                  <m:t>+10lg</m:t>
                </m:r>
                <m:d>
                  <m:dPr>
                    <m:ctrlPr>
                      <w:rPr>
                        <w:rFonts w:ascii="Cambria Math" w:hAnsi="Cambria Math"/>
                        <w:sz w:val="24"/>
                        <w:szCs w:val="24"/>
                      </w:rPr>
                    </m:ctrlPr>
                  </m:dPr>
                  <m:e>
                    <m:f>
                      <m:fPr>
                        <m:ctrlPr>
                          <w:rPr>
                            <w:rFonts w:ascii="Cambria Math" w:hAnsi="Cambria Math"/>
                            <w:i/>
                            <w:iCs/>
                            <w:sz w:val="24"/>
                            <w:szCs w:val="24"/>
                          </w:rPr>
                        </m:ctrlPr>
                      </m:fPr>
                      <m:num>
                        <m:r>
                          <m:rPr/>
                          <w:rPr>
                            <w:rFonts w:ascii="Cambria Math"/>
                            <w:sz w:val="24"/>
                            <w:szCs w:val="24"/>
                          </w:rPr>
                          <m:t>Q</m:t>
                        </m:r>
                        <m:ctrlPr>
                          <w:rPr>
                            <w:rFonts w:ascii="Cambria Math" w:hAnsi="Cambria Math"/>
                            <w:i/>
                            <w:iCs/>
                            <w:sz w:val="24"/>
                            <w:szCs w:val="24"/>
                          </w:rPr>
                        </m:ctrlPr>
                      </m:num>
                      <m:den>
                        <m:sSup>
                          <m:sSupPr>
                            <m:ctrlPr>
                              <w:rPr>
                                <w:rFonts w:ascii="Cambria Math" w:hAnsi="Cambria Math"/>
                                <w:i/>
                                <w:iCs/>
                                <w:sz w:val="24"/>
                                <w:szCs w:val="24"/>
                              </w:rPr>
                            </m:ctrlPr>
                          </m:sSupPr>
                          <m:e>
                            <m:r>
                              <m:rPr/>
                              <w:rPr>
                                <w:rFonts w:ascii="Cambria Math"/>
                                <w:sz w:val="24"/>
                                <w:szCs w:val="24"/>
                              </w:rPr>
                              <m:t>4πr</m:t>
                            </m:r>
                            <m:ctrlPr>
                              <w:rPr>
                                <w:rFonts w:ascii="Cambria Math" w:hAnsi="Cambria Math"/>
                                <w:i/>
                                <w:iCs/>
                                <w:sz w:val="24"/>
                                <w:szCs w:val="24"/>
                              </w:rPr>
                            </m:ctrlPr>
                          </m:e>
                          <m:sup>
                            <m:r>
                              <m:rPr/>
                              <w:rPr>
                                <w:rFonts w:ascii="Cambria Math"/>
                                <w:sz w:val="24"/>
                                <w:szCs w:val="24"/>
                              </w:rPr>
                              <m:t>2</m:t>
                            </m:r>
                            <m:ctrlPr>
                              <w:rPr>
                                <w:rFonts w:ascii="Cambria Math" w:hAnsi="Cambria Math"/>
                                <w:i/>
                                <w:iCs/>
                                <w:sz w:val="24"/>
                                <w:szCs w:val="24"/>
                              </w:rPr>
                            </m:ctrlPr>
                          </m:sup>
                        </m:sSup>
                        <m:ctrlPr>
                          <w:rPr>
                            <w:rFonts w:ascii="Cambria Math" w:hAnsi="Cambria Math"/>
                            <w:i/>
                            <w:iCs/>
                            <w:sz w:val="24"/>
                            <w:szCs w:val="24"/>
                          </w:rPr>
                        </m:ctrlPr>
                      </m:den>
                    </m:f>
                    <m:r>
                      <m:rPr>
                        <m:sty m:val="p"/>
                      </m:rPr>
                      <w:rPr>
                        <w:rFonts w:ascii="Cambria Math"/>
                        <w:sz w:val="24"/>
                        <w:szCs w:val="24"/>
                      </w:rPr>
                      <m:t>+</m:t>
                    </m:r>
                    <m:f>
                      <m:fPr>
                        <m:ctrlPr>
                          <w:rPr>
                            <w:rFonts w:ascii="Cambria Math" w:hAnsi="Cambria Math"/>
                            <w:sz w:val="24"/>
                            <w:szCs w:val="24"/>
                          </w:rPr>
                        </m:ctrlPr>
                      </m:fPr>
                      <m:num>
                        <m:r>
                          <m:rPr>
                            <m:sty m:val="p"/>
                          </m:rPr>
                          <w:rPr>
                            <w:rFonts w:ascii="Cambria Math"/>
                            <w:sz w:val="24"/>
                            <w:szCs w:val="24"/>
                          </w:rPr>
                          <m:t>4</m:t>
                        </m:r>
                        <m:ctrlPr>
                          <w:rPr>
                            <w:rFonts w:ascii="Cambria Math" w:hAnsi="Cambria Math"/>
                            <w:sz w:val="24"/>
                            <w:szCs w:val="24"/>
                          </w:rPr>
                        </m:ctrlPr>
                      </m:num>
                      <m:den>
                        <m:r>
                          <m:rPr/>
                          <w:rPr>
                            <w:rFonts w:ascii="Cambria Math"/>
                            <w:sz w:val="24"/>
                            <w:szCs w:val="24"/>
                          </w:rPr>
                          <m:t>R</m:t>
                        </m:r>
                        <m:ctrlPr>
                          <w:rPr>
                            <w:rFonts w:ascii="Cambria Math" w:hAnsi="Cambria Math"/>
                            <w:sz w:val="24"/>
                            <w:szCs w:val="24"/>
                          </w:rPr>
                        </m:ctrlPr>
                      </m:den>
                    </m:f>
                    <m:ctrlPr>
                      <w:rPr>
                        <w:rFonts w:ascii="Cambria Math" w:hAnsi="Cambria Math"/>
                        <w:sz w:val="24"/>
                        <w:szCs w:val="24"/>
                      </w:rPr>
                    </m:ctrlPr>
                  </m:e>
                </m:d>
              </m:oMath>
            </m:oMathPara>
          </w:p>
          <w:p>
            <w:pPr>
              <w:autoSpaceDN w:val="0"/>
              <w:adjustRightInd w:val="0"/>
              <w:snapToGrid w:val="0"/>
              <w:spacing w:line="360" w:lineRule="auto"/>
              <w:ind w:firstLine="480" w:firstLineChars="200"/>
              <w:rPr>
                <w:sz w:val="24"/>
              </w:rPr>
            </w:pPr>
            <w:r>
              <w:rPr>
                <w:sz w:val="24"/>
                <w:szCs w:val="24"/>
              </w:rPr>
              <w:t>式中：</w:t>
            </w:r>
            <w:r>
              <w:rPr>
                <w:i/>
                <w:iCs/>
                <w:sz w:val="24"/>
                <w:szCs w:val="24"/>
              </w:rPr>
              <w:t>Q</w:t>
            </w:r>
            <w:r>
              <w:rPr>
                <w:sz w:val="24"/>
                <w:szCs w:val="24"/>
              </w:rPr>
              <w:t>—指向性因数；通常对无指向性声源，当声源放在房间中心时，Q=1；当放在一面墙的中心时，Q=2；当放在两面墙夹角处时，Q=4；当放在三面墙夹角处时，Q=8。</w:t>
            </w:r>
          </w:p>
          <w:p>
            <w:pPr>
              <w:autoSpaceDN w:val="0"/>
              <w:adjustRightInd w:val="0"/>
              <w:snapToGrid w:val="0"/>
              <w:spacing w:line="360" w:lineRule="auto"/>
              <w:ind w:firstLine="1200" w:firstLineChars="500"/>
              <w:rPr>
                <w:sz w:val="24"/>
              </w:rPr>
            </w:pPr>
            <w:r>
              <w:rPr>
                <w:i/>
                <w:iCs/>
                <w:sz w:val="24"/>
                <w:szCs w:val="24"/>
              </w:rPr>
              <w:t>R</w:t>
            </w:r>
            <w:r>
              <w:rPr>
                <w:sz w:val="24"/>
                <w:szCs w:val="24"/>
              </w:rPr>
              <w:t>—房间常数；R=Sa/(1-a)，S 为房间内表面面积，m</w:t>
            </w:r>
            <w:r>
              <w:rPr>
                <w:sz w:val="24"/>
                <w:szCs w:val="24"/>
                <w:vertAlign w:val="superscript"/>
              </w:rPr>
              <w:t>2</w:t>
            </w:r>
            <w:r>
              <w:rPr>
                <w:sz w:val="24"/>
                <w:szCs w:val="24"/>
              </w:rPr>
              <w:t>；a平均吸声系数。</w:t>
            </w:r>
          </w:p>
          <w:p>
            <w:pPr>
              <w:autoSpaceDN w:val="0"/>
              <w:adjustRightInd w:val="0"/>
              <w:snapToGrid w:val="0"/>
              <w:spacing w:line="360" w:lineRule="auto"/>
              <w:ind w:firstLine="1320" w:firstLineChars="550"/>
              <w:rPr>
                <w:sz w:val="24"/>
              </w:rPr>
            </w:pPr>
            <w:r>
              <w:rPr>
                <w:i/>
                <w:iCs/>
                <w:sz w:val="24"/>
                <w:szCs w:val="24"/>
              </w:rPr>
              <w:t>r</w:t>
            </w:r>
            <w:r>
              <w:rPr>
                <w:sz w:val="24"/>
                <w:szCs w:val="24"/>
              </w:rPr>
              <w:t>—声源到靠近围护结构某点处的距离，m。</w:t>
            </w:r>
          </w:p>
          <w:p>
            <w:pPr>
              <w:autoSpaceDN w:val="0"/>
              <w:adjustRightInd w:val="0"/>
              <w:snapToGrid w:val="0"/>
              <w:spacing w:line="360" w:lineRule="auto"/>
              <w:ind w:firstLine="480" w:firstLineChars="200"/>
              <w:rPr>
                <w:sz w:val="24"/>
              </w:rPr>
            </w:pPr>
            <w:r>
              <w:rPr>
                <w:sz w:val="24"/>
                <w:szCs w:val="24"/>
              </w:rPr>
              <w:t>按下式计算出所有室内声源在围护结构处产生的 i 倍频带叠加声压级：</w:t>
            </w:r>
          </w:p>
          <w:p>
            <w:pPr>
              <w:autoSpaceDN w:val="0"/>
              <w:adjustRightInd w:val="0"/>
              <w:snapToGrid w:val="0"/>
              <w:spacing w:line="360" w:lineRule="auto"/>
              <w:jc w:val="left"/>
              <w:rPr>
                <w:sz w:val="24"/>
              </w:rPr>
            </w:pPr>
            <m:oMathPara>
              <m:oMath>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p1i</m:t>
                    </m:r>
                    <m:ctrlPr>
                      <w:rPr>
                        <w:rFonts w:ascii="Cambria Math" w:hAnsi="Cambria Math"/>
                        <w:i/>
                        <w:sz w:val="24"/>
                        <w:szCs w:val="24"/>
                      </w:rPr>
                    </m:ctrlPr>
                  </m:sub>
                </m:sSub>
                <m:d>
                  <m:dPr>
                    <m:ctrlPr>
                      <w:rPr>
                        <w:rFonts w:ascii="Cambria Math" w:hAnsi="Cambria Math"/>
                        <w:sz w:val="24"/>
                        <w:szCs w:val="24"/>
                      </w:rPr>
                    </m:ctrlPr>
                  </m:dPr>
                  <m:e>
                    <m:r>
                      <m:rPr/>
                      <w:rPr>
                        <w:rFonts w:ascii="Cambria Math"/>
                        <w:sz w:val="24"/>
                        <w:szCs w:val="24"/>
                      </w:rPr>
                      <m:t>T</m:t>
                    </m:r>
                    <m:ctrlPr>
                      <w:rPr>
                        <w:rFonts w:ascii="Cambria Math" w:hAnsi="Cambria Math"/>
                        <w:sz w:val="24"/>
                        <w:szCs w:val="24"/>
                      </w:rPr>
                    </m:ctrlPr>
                  </m:e>
                </m:d>
                <m:r>
                  <m:rPr>
                    <m:sty m:val="p"/>
                  </m:rPr>
                  <w:rPr>
                    <w:rFonts w:ascii="Cambria Math"/>
                    <w:sz w:val="24"/>
                    <w:szCs w:val="24"/>
                  </w:rPr>
                  <m:t>=10lg</m:t>
                </m:r>
                <m:d>
                  <m:dPr>
                    <m:ctrlPr>
                      <w:rPr>
                        <w:rFonts w:ascii="Cambria Math" w:hAnsi="Cambria Math"/>
                        <w:sz w:val="24"/>
                        <w:szCs w:val="24"/>
                      </w:rPr>
                    </m:ctrlPr>
                  </m:dPr>
                  <m:e>
                    <m:nary>
                      <m:naryPr>
                        <m:chr m:val="∑"/>
                        <m:limLoc m:val="undOvr"/>
                        <m:ctrlPr>
                          <w:rPr>
                            <w:rFonts w:ascii="Cambria Math" w:hAnsi="Cambria Math"/>
                            <w:sz w:val="24"/>
                            <w:szCs w:val="24"/>
                          </w:rPr>
                        </m:ctrlPr>
                      </m:naryPr>
                      <m:sub>
                        <m:r>
                          <m:rPr/>
                          <w:rPr>
                            <w:rFonts w:ascii="Cambria Math"/>
                            <w:sz w:val="24"/>
                            <w:szCs w:val="24"/>
                          </w:rPr>
                          <m:t>j</m:t>
                        </m:r>
                        <m:r>
                          <m:rPr>
                            <m:sty m:val="p"/>
                          </m:rPr>
                          <w:rPr>
                            <w:rFonts w:ascii="Cambria Math"/>
                            <w:sz w:val="24"/>
                            <w:szCs w:val="24"/>
                          </w:rPr>
                          <m:t>=1</m:t>
                        </m:r>
                        <m:ctrlPr>
                          <w:rPr>
                            <w:rFonts w:ascii="Cambria Math" w:hAnsi="Cambria Math"/>
                            <w:sz w:val="24"/>
                            <w:szCs w:val="24"/>
                          </w:rPr>
                        </m:ctrlPr>
                      </m:sub>
                      <m:sup>
                        <m:r>
                          <m:rPr/>
                          <w:rPr>
                            <w:rFonts w:ascii="Cambria Math"/>
                            <w:sz w:val="24"/>
                            <w:szCs w:val="24"/>
                          </w:rPr>
                          <m:t>N</m:t>
                        </m:r>
                        <m:ctrlPr>
                          <w:rPr>
                            <w:rFonts w:ascii="Cambria Math" w:hAnsi="Cambria Math"/>
                            <w:sz w:val="24"/>
                            <w:szCs w:val="24"/>
                          </w:rPr>
                        </m:ctrlPr>
                      </m:sup>
                      <m:e>
                        <m:sSup>
                          <m:sSupPr>
                            <m:ctrlPr>
                              <w:rPr>
                                <w:rFonts w:ascii="Cambria Math" w:hAnsi="Cambria Math"/>
                                <w:sz w:val="24"/>
                                <w:szCs w:val="24"/>
                              </w:rPr>
                            </m:ctrlPr>
                          </m:sSupPr>
                          <m:e>
                            <m:r>
                              <m:rPr>
                                <m:sty m:val="p"/>
                              </m:rPr>
                              <w:rPr>
                                <w:rFonts w:ascii="Cambria Math"/>
                                <w:sz w:val="24"/>
                                <w:szCs w:val="24"/>
                              </w:rPr>
                              <m:t>10</m:t>
                            </m:r>
                            <m:ctrlPr>
                              <w:rPr>
                                <w:rFonts w:ascii="Cambria Math" w:hAnsi="Cambria Math"/>
                                <w:sz w:val="24"/>
                                <w:szCs w:val="24"/>
                              </w:rPr>
                            </m:ctrlPr>
                          </m:e>
                          <m:sup>
                            <m:r>
                              <m:rPr>
                                <m:sty m:val="p"/>
                              </m:rPr>
                              <w:rPr>
                                <w:rFonts w:ascii="Cambria Math"/>
                                <w:sz w:val="24"/>
                                <w:szCs w:val="24"/>
                              </w:rPr>
                              <m:t>0.1</m:t>
                            </m:r>
                            <m:sSub>
                              <m:sSubPr>
                                <m:ctrlPr>
                                  <w:rPr>
                                    <w:rFonts w:ascii="Cambria Math" w:hAnsi="Cambria Math"/>
                                    <w:sz w:val="24"/>
                                    <w:szCs w:val="24"/>
                                  </w:rPr>
                                </m:ctrlPr>
                              </m:sSubPr>
                              <m:e>
                                <m:r>
                                  <m:rPr/>
                                  <w:rPr>
                                    <w:rFonts w:ascii="Cambria Math"/>
                                    <w:sz w:val="24"/>
                                    <w:szCs w:val="24"/>
                                  </w:rPr>
                                  <m:t>L</m:t>
                                </m:r>
                                <m:ctrlPr>
                                  <w:rPr>
                                    <w:rFonts w:ascii="Cambria Math" w:hAnsi="Cambria Math"/>
                                    <w:sz w:val="24"/>
                                    <w:szCs w:val="24"/>
                                  </w:rPr>
                                </m:ctrlPr>
                              </m:e>
                              <m:sub>
                                <m:r>
                                  <m:rPr/>
                                  <w:rPr>
                                    <w:rFonts w:ascii="Cambria Math"/>
                                    <w:sz w:val="24"/>
                                    <w:szCs w:val="24"/>
                                  </w:rPr>
                                  <m:t>p1ij</m:t>
                                </m:r>
                                <m:ctrlPr>
                                  <w:rPr>
                                    <w:rFonts w:ascii="Cambria Math" w:hAnsi="Cambria Math"/>
                                    <w:sz w:val="24"/>
                                    <w:szCs w:val="24"/>
                                  </w:rPr>
                                </m:ctrlPr>
                              </m:sub>
                            </m:sSub>
                            <m:ctrlPr>
                              <w:rPr>
                                <w:rFonts w:ascii="Cambria Math" w:hAnsi="Cambria Math"/>
                                <w:sz w:val="24"/>
                                <w:szCs w:val="24"/>
                              </w:rPr>
                            </m:ctrlPr>
                          </m:sup>
                        </m:sSup>
                        <m:ctrlPr>
                          <w:rPr>
                            <w:rFonts w:ascii="Cambria Math" w:hAnsi="Cambria Math"/>
                            <w:sz w:val="24"/>
                            <w:szCs w:val="24"/>
                          </w:rPr>
                        </m:ctrlPr>
                      </m:e>
                    </m:nary>
                    <m:ctrlPr>
                      <w:rPr>
                        <w:rFonts w:ascii="Cambria Math" w:hAnsi="Cambria Math"/>
                        <w:sz w:val="24"/>
                        <w:szCs w:val="24"/>
                      </w:rPr>
                    </m:ctrlPr>
                  </m:e>
                </m:d>
              </m:oMath>
            </m:oMathPara>
          </w:p>
          <w:p>
            <w:pPr>
              <w:autoSpaceDN w:val="0"/>
              <w:adjustRightInd w:val="0"/>
              <w:snapToGrid w:val="0"/>
              <w:spacing w:line="360" w:lineRule="auto"/>
              <w:ind w:firstLine="480" w:firstLineChars="200"/>
              <w:rPr>
                <w:sz w:val="24"/>
              </w:rPr>
            </w:pPr>
            <w:r>
              <w:rPr>
                <w:sz w:val="24"/>
                <w:szCs w:val="24"/>
              </w:rPr>
              <w:t>式中：</w:t>
            </w:r>
            <w:r>
              <w:rPr>
                <w:i/>
                <w:iCs/>
                <w:sz w:val="24"/>
                <w:szCs w:val="24"/>
              </w:rPr>
              <w:t>L</w:t>
            </w:r>
            <w:r>
              <w:rPr>
                <w:rFonts w:hint="eastAsia"/>
                <w:i/>
                <w:iCs/>
                <w:sz w:val="24"/>
                <w:szCs w:val="24"/>
              </w:rPr>
              <w:t>p</w:t>
            </w:r>
            <w:r>
              <w:rPr>
                <w:i/>
                <w:iCs/>
                <w:sz w:val="24"/>
                <w:szCs w:val="24"/>
                <w:vertAlign w:val="subscript"/>
              </w:rPr>
              <w:t>1i</w:t>
            </w:r>
            <w:r>
              <w:rPr>
                <w:sz w:val="24"/>
                <w:szCs w:val="24"/>
              </w:rPr>
              <w:t>（</w:t>
            </w:r>
            <w:r>
              <w:rPr>
                <w:i/>
                <w:iCs/>
                <w:sz w:val="24"/>
                <w:szCs w:val="24"/>
              </w:rPr>
              <w:t>T</w:t>
            </w:r>
            <w:r>
              <w:rPr>
                <w:sz w:val="24"/>
                <w:szCs w:val="24"/>
              </w:rPr>
              <w:t>）—靠近维护结构处室内 N 个声源 i 倍频带的叠加声压级，dB；</w:t>
            </w:r>
          </w:p>
          <w:p>
            <w:pPr>
              <w:autoSpaceDN w:val="0"/>
              <w:adjustRightInd w:val="0"/>
              <w:snapToGrid w:val="0"/>
              <w:spacing w:line="360" w:lineRule="auto"/>
              <w:ind w:firstLine="1200" w:firstLineChars="500"/>
              <w:rPr>
                <w:sz w:val="24"/>
              </w:rPr>
            </w:pPr>
            <w:r>
              <w:rPr>
                <w:i/>
                <w:iCs/>
                <w:sz w:val="24"/>
                <w:szCs w:val="24"/>
              </w:rPr>
              <w:t>L</w:t>
            </w:r>
            <w:r>
              <w:rPr>
                <w:rFonts w:hint="eastAsia"/>
                <w:i/>
                <w:iCs/>
                <w:sz w:val="24"/>
                <w:szCs w:val="24"/>
              </w:rPr>
              <w:t>p</w:t>
            </w:r>
            <w:r>
              <w:rPr>
                <w:i/>
                <w:iCs/>
                <w:sz w:val="24"/>
                <w:szCs w:val="24"/>
                <w:vertAlign w:val="subscript"/>
              </w:rPr>
              <w:t>1ij</w:t>
            </w:r>
            <w:r>
              <w:rPr>
                <w:sz w:val="24"/>
                <w:szCs w:val="24"/>
              </w:rPr>
              <w:t>—室内 j 声源 i 倍频带的声压级，dB；</w:t>
            </w:r>
          </w:p>
          <w:p>
            <w:pPr>
              <w:autoSpaceDN w:val="0"/>
              <w:adjustRightInd w:val="0"/>
              <w:snapToGrid w:val="0"/>
              <w:spacing w:line="360" w:lineRule="auto"/>
              <w:ind w:firstLine="1200" w:firstLineChars="500"/>
              <w:rPr>
                <w:sz w:val="24"/>
              </w:rPr>
            </w:pPr>
            <w:r>
              <w:rPr>
                <w:sz w:val="24"/>
                <w:szCs w:val="24"/>
              </w:rPr>
              <w:t>N—室内声源总数。</w:t>
            </w:r>
          </w:p>
          <w:p>
            <w:pPr>
              <w:autoSpaceDN w:val="0"/>
              <w:adjustRightInd w:val="0"/>
              <w:snapToGrid w:val="0"/>
              <w:spacing w:line="360" w:lineRule="auto"/>
              <w:ind w:firstLine="480" w:firstLineChars="200"/>
              <w:rPr>
                <w:sz w:val="24"/>
              </w:rPr>
            </w:pPr>
            <w:r>
              <w:rPr>
                <w:sz w:val="24"/>
                <w:szCs w:val="24"/>
              </w:rPr>
              <w:t>在室内近似为扩散声场时，按下式计算出靠近室外围护结构处的声压级：</w:t>
            </w:r>
          </w:p>
          <w:p>
            <w:pPr>
              <w:autoSpaceDN w:val="0"/>
              <w:adjustRightInd w:val="0"/>
              <w:snapToGrid w:val="0"/>
              <w:spacing w:line="360" w:lineRule="auto"/>
              <w:ind w:firstLine="480" w:firstLineChars="200"/>
              <w:jc w:val="center"/>
              <w:rPr>
                <w:sz w:val="24"/>
              </w:rPr>
            </w:pPr>
            <w:r>
              <w:rPr>
                <w:i/>
                <w:iCs/>
                <w:sz w:val="24"/>
                <w:szCs w:val="24"/>
              </w:rPr>
              <w:t>L</w:t>
            </w:r>
            <w:r>
              <w:rPr>
                <w:rFonts w:hint="eastAsia"/>
                <w:i/>
                <w:iCs/>
                <w:sz w:val="24"/>
                <w:szCs w:val="24"/>
              </w:rPr>
              <w:t>p</w:t>
            </w:r>
            <w:r>
              <w:rPr>
                <w:i/>
                <w:iCs/>
                <w:sz w:val="24"/>
                <w:szCs w:val="24"/>
                <w:vertAlign w:val="subscript"/>
              </w:rPr>
              <w:t>2i</w:t>
            </w:r>
            <w:r>
              <w:rPr>
                <w:sz w:val="24"/>
                <w:szCs w:val="24"/>
              </w:rPr>
              <w:t>（</w:t>
            </w:r>
            <w:r>
              <w:rPr>
                <w:i/>
                <w:iCs/>
                <w:sz w:val="24"/>
                <w:szCs w:val="24"/>
              </w:rPr>
              <w:t>T</w:t>
            </w:r>
            <w:r>
              <w:rPr>
                <w:rFonts w:hint="eastAsia"/>
                <w:sz w:val="24"/>
                <w:szCs w:val="24"/>
              </w:rPr>
              <w:t>）</w:t>
            </w:r>
            <w:r>
              <w:rPr>
                <w:sz w:val="24"/>
                <w:szCs w:val="24"/>
              </w:rPr>
              <w:t>=</w:t>
            </w:r>
            <w:r>
              <w:rPr>
                <w:i/>
                <w:iCs/>
                <w:sz w:val="24"/>
                <w:szCs w:val="24"/>
              </w:rPr>
              <w:t>L</w:t>
            </w:r>
            <w:r>
              <w:rPr>
                <w:rFonts w:hint="eastAsia"/>
                <w:i/>
                <w:iCs/>
                <w:sz w:val="24"/>
                <w:szCs w:val="24"/>
              </w:rPr>
              <w:t>p</w:t>
            </w:r>
            <w:r>
              <w:rPr>
                <w:i/>
                <w:iCs/>
                <w:sz w:val="24"/>
                <w:szCs w:val="24"/>
                <w:vertAlign w:val="subscript"/>
              </w:rPr>
              <w:t>1i</w:t>
            </w:r>
            <w:r>
              <w:rPr>
                <w:sz w:val="24"/>
                <w:szCs w:val="24"/>
              </w:rPr>
              <w:t>（</w:t>
            </w:r>
            <w:r>
              <w:rPr>
                <w:i/>
                <w:iCs/>
                <w:sz w:val="24"/>
                <w:szCs w:val="24"/>
              </w:rPr>
              <w:t>T</w:t>
            </w:r>
            <w:r>
              <w:rPr>
                <w:rFonts w:hint="eastAsia"/>
                <w:sz w:val="24"/>
                <w:szCs w:val="24"/>
              </w:rPr>
              <w:t>）</w:t>
            </w:r>
            <w:r>
              <w:rPr>
                <w:sz w:val="24"/>
                <w:szCs w:val="24"/>
              </w:rPr>
              <w:t>－（</w:t>
            </w:r>
            <w:r>
              <w:rPr>
                <w:i/>
                <w:iCs/>
                <w:sz w:val="24"/>
                <w:szCs w:val="24"/>
              </w:rPr>
              <w:t>TL</w:t>
            </w:r>
            <w:r>
              <w:rPr>
                <w:i/>
                <w:iCs/>
                <w:sz w:val="24"/>
                <w:szCs w:val="24"/>
                <w:vertAlign w:val="subscript"/>
              </w:rPr>
              <w:t>i</w:t>
            </w:r>
            <w:r>
              <w:rPr>
                <w:sz w:val="24"/>
                <w:szCs w:val="24"/>
              </w:rPr>
              <w:t>+6</w:t>
            </w:r>
            <w:r>
              <w:rPr>
                <w:rFonts w:hint="eastAsia"/>
                <w:sz w:val="24"/>
                <w:szCs w:val="24"/>
              </w:rPr>
              <w:t>）</w:t>
            </w:r>
          </w:p>
          <w:p>
            <w:pPr>
              <w:autoSpaceDN w:val="0"/>
              <w:adjustRightInd w:val="0"/>
              <w:snapToGrid w:val="0"/>
              <w:spacing w:line="360" w:lineRule="auto"/>
              <w:ind w:firstLine="480" w:firstLineChars="200"/>
              <w:rPr>
                <w:sz w:val="24"/>
              </w:rPr>
            </w:pPr>
            <w:r>
              <w:rPr>
                <w:sz w:val="24"/>
                <w:szCs w:val="24"/>
              </w:rPr>
              <w:t>式中：</w:t>
            </w:r>
            <w:r>
              <w:rPr>
                <w:i/>
                <w:iCs/>
                <w:sz w:val="24"/>
                <w:szCs w:val="24"/>
              </w:rPr>
              <w:t>L</w:t>
            </w:r>
            <w:r>
              <w:rPr>
                <w:rFonts w:hint="eastAsia"/>
                <w:i/>
                <w:iCs/>
                <w:sz w:val="24"/>
                <w:szCs w:val="24"/>
              </w:rPr>
              <w:t>p</w:t>
            </w:r>
            <w:r>
              <w:rPr>
                <w:i/>
                <w:iCs/>
                <w:sz w:val="24"/>
                <w:szCs w:val="24"/>
                <w:vertAlign w:val="subscript"/>
              </w:rPr>
              <w:t>2i</w:t>
            </w:r>
            <w:r>
              <w:rPr>
                <w:sz w:val="24"/>
                <w:szCs w:val="24"/>
              </w:rPr>
              <w:t>（</w:t>
            </w:r>
            <w:r>
              <w:rPr>
                <w:i/>
                <w:iCs/>
                <w:sz w:val="24"/>
                <w:szCs w:val="24"/>
              </w:rPr>
              <w:t>T</w:t>
            </w:r>
            <w:r>
              <w:rPr>
                <w:sz w:val="24"/>
                <w:szCs w:val="24"/>
              </w:rPr>
              <w:t>）—靠近维护结构处室外 N 个声源i 倍频带的叠加声压级，dB；</w:t>
            </w:r>
          </w:p>
          <w:p>
            <w:pPr>
              <w:autoSpaceDN w:val="0"/>
              <w:adjustRightInd w:val="0"/>
              <w:snapToGrid w:val="0"/>
              <w:spacing w:line="360" w:lineRule="auto"/>
              <w:ind w:firstLine="1200" w:firstLineChars="500"/>
              <w:rPr>
                <w:sz w:val="24"/>
              </w:rPr>
            </w:pPr>
            <w:r>
              <w:rPr>
                <w:i/>
                <w:iCs/>
                <w:sz w:val="24"/>
                <w:szCs w:val="24"/>
              </w:rPr>
              <w:t>TL</w:t>
            </w:r>
            <w:r>
              <w:rPr>
                <w:i/>
                <w:iCs/>
                <w:sz w:val="24"/>
                <w:szCs w:val="24"/>
                <w:vertAlign w:val="subscript"/>
              </w:rPr>
              <w:t>i</w:t>
            </w:r>
            <w:r>
              <w:rPr>
                <w:sz w:val="24"/>
                <w:szCs w:val="24"/>
              </w:rPr>
              <w:t>—维护结构 i 倍频带的隔声量，dB。</w:t>
            </w:r>
          </w:p>
          <w:p>
            <w:pPr>
              <w:autoSpaceDN w:val="0"/>
              <w:adjustRightInd w:val="0"/>
              <w:snapToGrid w:val="0"/>
              <w:spacing w:line="360" w:lineRule="auto"/>
              <w:ind w:firstLine="480" w:firstLineChars="200"/>
              <w:rPr>
                <w:sz w:val="24"/>
              </w:rPr>
            </w:pPr>
            <w:r>
              <w:rPr>
                <w:sz w:val="24"/>
                <w:szCs w:val="24"/>
              </w:rPr>
              <w:t>然后按下式将室外声源的声压级和透过面积换算成等效的室外声源，计算出中心位置位于透声面积（S）处的等效声源的倍频带声功率级：</w:t>
            </w:r>
          </w:p>
          <w:p>
            <w:pPr>
              <w:autoSpaceDN w:val="0"/>
              <w:adjustRightInd w:val="0"/>
              <w:snapToGrid w:val="0"/>
              <w:spacing w:line="360" w:lineRule="auto"/>
              <w:ind w:firstLine="480" w:firstLineChars="200"/>
              <w:jc w:val="left"/>
              <w:rPr>
                <w:sz w:val="24"/>
              </w:rPr>
            </w:pPr>
            <m:oMathPara>
              <m:oMath>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w</m:t>
                    </m:r>
                    <m:ctrlPr>
                      <w:rPr>
                        <w:rFonts w:ascii="Cambria Math" w:hAnsi="Cambria Math"/>
                        <w:i/>
                        <w:sz w:val="24"/>
                        <w:szCs w:val="24"/>
                      </w:rPr>
                    </m:ctrlPr>
                  </m:sub>
                </m:sSub>
                <m:r>
                  <m:rPr/>
                  <w:rPr>
                    <w:rFonts w:ascii="Cambria Math"/>
                    <w:sz w:val="24"/>
                    <w:szCs w:val="24"/>
                  </w:rPr>
                  <m:t>=</m:t>
                </m:r>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p2</m:t>
                    </m:r>
                    <m:ctrlPr>
                      <w:rPr>
                        <w:rFonts w:ascii="Cambria Math" w:hAnsi="Cambria Math"/>
                        <w:i/>
                        <w:sz w:val="24"/>
                        <w:szCs w:val="24"/>
                      </w:rPr>
                    </m:ctrlPr>
                  </m:sub>
                </m:sSub>
                <m:d>
                  <m:dPr>
                    <m:ctrlPr>
                      <w:rPr>
                        <w:rFonts w:ascii="Cambria Math" w:hAnsi="Cambria Math"/>
                        <w:i/>
                        <w:sz w:val="24"/>
                        <w:szCs w:val="24"/>
                      </w:rPr>
                    </m:ctrlPr>
                  </m:dPr>
                  <m:e>
                    <m:r>
                      <m:rPr/>
                      <w:rPr>
                        <w:rFonts w:ascii="Cambria Math"/>
                        <w:sz w:val="24"/>
                        <w:szCs w:val="24"/>
                      </w:rPr>
                      <m:t>T</m:t>
                    </m:r>
                    <m:ctrlPr>
                      <w:rPr>
                        <w:rFonts w:ascii="Cambria Math" w:hAnsi="Cambria Math"/>
                        <w:i/>
                        <w:sz w:val="24"/>
                        <w:szCs w:val="24"/>
                      </w:rPr>
                    </m:ctrlPr>
                  </m:e>
                </m:d>
                <m:r>
                  <m:rPr/>
                  <w:rPr>
                    <w:rFonts w:ascii="Cambria Math"/>
                    <w:sz w:val="24"/>
                    <w:szCs w:val="24"/>
                  </w:rPr>
                  <m:t>+10</m:t>
                </m:r>
                <m:r>
                  <m:rPr>
                    <m:sty m:val="p"/>
                  </m:rPr>
                  <w:rPr>
                    <w:rFonts w:ascii="Cambria Math"/>
                    <w:sz w:val="24"/>
                    <w:szCs w:val="24"/>
                  </w:rPr>
                  <m:t>lg</m:t>
                </m:r>
                <m:r>
                  <m:rPr/>
                  <w:rPr>
                    <w:rFonts w:ascii="Cambria Math"/>
                    <w:sz w:val="24"/>
                    <w:szCs w:val="24"/>
                  </w:rPr>
                  <m:t>S</m:t>
                </m:r>
              </m:oMath>
            </m:oMathPara>
          </w:p>
          <w:p>
            <w:pPr>
              <w:autoSpaceDN w:val="0"/>
              <w:adjustRightInd w:val="0"/>
              <w:snapToGrid w:val="0"/>
              <w:spacing w:line="360" w:lineRule="auto"/>
              <w:ind w:firstLine="480" w:firstLineChars="200"/>
              <w:rPr>
                <w:sz w:val="24"/>
              </w:rPr>
            </w:pPr>
            <w:r>
              <w:rPr>
                <w:sz w:val="24"/>
                <w:szCs w:val="24"/>
              </w:rPr>
              <w:t>然后按室外声源预测方法计算预测点处的 A 声级。</w:t>
            </w:r>
          </w:p>
          <w:p>
            <w:pPr>
              <w:autoSpaceDN w:val="0"/>
              <w:adjustRightInd w:val="0"/>
              <w:snapToGrid w:val="0"/>
              <w:spacing w:line="360" w:lineRule="auto"/>
              <w:ind w:firstLine="480" w:firstLineChars="200"/>
              <w:rPr>
                <w:sz w:val="24"/>
              </w:rPr>
            </w:pPr>
            <w:r>
              <w:rPr>
                <w:rFonts w:hint="eastAsia" w:cs="宋体"/>
                <w:sz w:val="24"/>
                <w:szCs w:val="24"/>
              </w:rPr>
              <w:t>②</w:t>
            </w:r>
            <w:r>
              <w:rPr>
                <w:sz w:val="24"/>
                <w:szCs w:val="24"/>
              </w:rPr>
              <w:t>噪声贡献值计算</w:t>
            </w:r>
          </w:p>
          <w:p>
            <w:pPr>
              <w:autoSpaceDN w:val="0"/>
              <w:adjustRightInd w:val="0"/>
              <w:snapToGrid w:val="0"/>
              <w:spacing w:line="360" w:lineRule="auto"/>
              <w:ind w:firstLine="480" w:firstLineChars="200"/>
              <w:rPr>
                <w:sz w:val="24"/>
              </w:rPr>
            </w:pPr>
            <w:r>
              <w:rPr>
                <w:sz w:val="24"/>
                <w:szCs w:val="24"/>
              </w:rPr>
              <w:t>设第i个室外声源在预测点产生的 A 声级为 L</w:t>
            </w:r>
            <w:r>
              <w:rPr>
                <w:sz w:val="24"/>
                <w:szCs w:val="24"/>
                <w:vertAlign w:val="subscript"/>
              </w:rPr>
              <w:t>Ai</w:t>
            </w:r>
            <w:r>
              <w:rPr>
                <w:sz w:val="24"/>
                <w:szCs w:val="24"/>
              </w:rPr>
              <w:t>，在 T 时间内该声源工作时间为 ti；</w:t>
            </w:r>
          </w:p>
          <w:p>
            <w:pPr>
              <w:autoSpaceDN w:val="0"/>
              <w:adjustRightInd w:val="0"/>
              <w:snapToGrid w:val="0"/>
              <w:spacing w:line="360" w:lineRule="auto"/>
              <w:ind w:firstLine="480" w:firstLineChars="200"/>
              <w:rPr>
                <w:sz w:val="24"/>
              </w:rPr>
            </w:pPr>
            <w:r>
              <w:rPr>
                <w:sz w:val="24"/>
                <w:szCs w:val="24"/>
              </w:rPr>
              <w:t>第 j 个等效室外声源在预测点产生的 A 声级为 L</w:t>
            </w:r>
            <w:r>
              <w:rPr>
                <w:sz w:val="24"/>
                <w:szCs w:val="24"/>
                <w:vertAlign w:val="subscript"/>
              </w:rPr>
              <w:t>Aj</w:t>
            </w:r>
            <w:r>
              <w:rPr>
                <w:sz w:val="24"/>
                <w:szCs w:val="24"/>
              </w:rPr>
              <w:t>，在 T 时间内该声源工作时间为tj，则拟建工程声源对预测点产生的贡献值（Leqg）为：</w:t>
            </w:r>
          </w:p>
          <w:p>
            <w:pPr>
              <w:autoSpaceDN w:val="0"/>
              <w:adjustRightInd w:val="0"/>
              <w:snapToGrid w:val="0"/>
              <w:spacing w:line="360" w:lineRule="auto"/>
              <w:ind w:firstLine="480" w:firstLineChars="200"/>
              <w:jc w:val="left"/>
              <w:rPr>
                <w:sz w:val="24"/>
              </w:rPr>
            </w:pPr>
            <m:oMathPara>
              <m:oMath>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m:sty m:val="p"/>
                      </m:rPr>
                      <w:rPr>
                        <w:rFonts w:ascii="Cambria Math"/>
                        <w:sz w:val="24"/>
                        <w:szCs w:val="24"/>
                      </w:rPr>
                      <m:t>eqg</m:t>
                    </m:r>
                    <m:ctrlPr>
                      <w:rPr>
                        <w:rFonts w:ascii="Cambria Math" w:hAnsi="Cambria Math"/>
                        <w:i/>
                        <w:sz w:val="24"/>
                        <w:szCs w:val="24"/>
                      </w:rPr>
                    </m:ctrlPr>
                  </m:sub>
                </m:sSub>
                <m:r>
                  <m:rPr/>
                  <w:rPr>
                    <w:rFonts w:ascii="Cambria Math"/>
                    <w:sz w:val="24"/>
                    <w:szCs w:val="24"/>
                  </w:rPr>
                  <m:t>=10</m:t>
                </m:r>
                <m:r>
                  <m:rPr>
                    <m:sty m:val="p"/>
                  </m:rPr>
                  <w:rPr>
                    <w:rFonts w:ascii="Cambria Math"/>
                    <w:sz w:val="24"/>
                    <w:szCs w:val="24"/>
                  </w:rPr>
                  <m:t>lg</m:t>
                </m:r>
                <m:d>
                  <m:dPr>
                    <m:begChr m:val="["/>
                    <m:endChr m:val="]"/>
                    <m:ctrlPr>
                      <w:rPr>
                        <w:rFonts w:ascii="Cambria Math" w:hAnsi="Cambria Math"/>
                        <w:i/>
                        <w:sz w:val="24"/>
                        <w:szCs w:val="24"/>
                      </w:rPr>
                    </m:ctrlPr>
                  </m:dPr>
                  <m:e>
                    <m:f>
                      <m:fPr>
                        <m:ctrlPr>
                          <w:rPr>
                            <w:rFonts w:ascii="Cambria Math" w:hAnsi="Cambria Math"/>
                            <w:i/>
                            <w:sz w:val="24"/>
                            <w:szCs w:val="24"/>
                          </w:rPr>
                        </m:ctrlPr>
                      </m:fPr>
                      <m:num>
                        <m:r>
                          <m:rPr/>
                          <w:rPr>
                            <w:rFonts w:ascii="Cambria Math"/>
                            <w:sz w:val="24"/>
                            <w:szCs w:val="24"/>
                          </w:rPr>
                          <m:t>1</m:t>
                        </m:r>
                        <m:ctrlPr>
                          <w:rPr>
                            <w:rFonts w:ascii="Cambria Math" w:hAnsi="Cambria Math"/>
                            <w:i/>
                            <w:sz w:val="24"/>
                            <w:szCs w:val="24"/>
                          </w:rPr>
                        </m:ctrlPr>
                      </m:num>
                      <m:den>
                        <m:r>
                          <m:rPr/>
                          <w:rPr>
                            <w:rFonts w:ascii="Cambria Math"/>
                            <w:sz w:val="24"/>
                            <w:szCs w:val="24"/>
                          </w:rPr>
                          <m:t>T</m:t>
                        </m:r>
                        <m:ctrlPr>
                          <w:rPr>
                            <w:rFonts w:ascii="Cambria Math" w:hAnsi="Cambria Math"/>
                            <w:i/>
                            <w:sz w:val="24"/>
                            <w:szCs w:val="24"/>
                          </w:rPr>
                        </m:ctrlPr>
                      </m:den>
                    </m:f>
                    <m:d>
                      <m:dPr>
                        <m:ctrlPr>
                          <w:rPr>
                            <w:rFonts w:ascii="Cambria Math" w:hAnsi="Cambria Math"/>
                            <w:i/>
                            <w:sz w:val="24"/>
                            <w:szCs w:val="24"/>
                          </w:rPr>
                        </m:ctrlPr>
                      </m:dPr>
                      <m:e>
                        <m:nary>
                          <m:naryPr>
                            <m:chr m:val="∑"/>
                            <m:limLoc m:val="undOvr"/>
                            <m:ctrlPr>
                              <w:rPr>
                                <w:rFonts w:ascii="Cambria Math" w:hAnsi="Cambria Math"/>
                                <w:i/>
                                <w:sz w:val="24"/>
                                <w:szCs w:val="24"/>
                              </w:rPr>
                            </m:ctrlPr>
                          </m:naryPr>
                          <m:sub>
                            <m:r>
                              <m:rPr/>
                              <w:rPr>
                                <w:rFonts w:ascii="Cambria Math"/>
                                <w:sz w:val="24"/>
                                <w:szCs w:val="24"/>
                              </w:rPr>
                              <m:t>i=1</m:t>
                            </m:r>
                            <m:ctrlPr>
                              <w:rPr>
                                <w:rFonts w:ascii="Cambria Math" w:hAnsi="Cambria Math"/>
                                <w:i/>
                                <w:sz w:val="24"/>
                                <w:szCs w:val="24"/>
                              </w:rPr>
                            </m:ctrlPr>
                          </m:sub>
                          <m:sup>
                            <m:r>
                              <m:rPr/>
                              <w:rPr>
                                <w:rFonts w:ascii="Cambria Math"/>
                                <w:sz w:val="24"/>
                                <w:szCs w:val="24"/>
                              </w:rPr>
                              <m:t>N</m:t>
                            </m:r>
                            <m:ctrlPr>
                              <w:rPr>
                                <w:rFonts w:ascii="Cambria Math" w:hAnsi="Cambria Math"/>
                                <w:i/>
                                <w:sz w:val="24"/>
                                <w:szCs w:val="24"/>
                              </w:rPr>
                            </m:ctrlPr>
                          </m:sup>
                          <m:e>
                            <m:sSub>
                              <m:sSubPr>
                                <m:ctrlPr>
                                  <w:rPr>
                                    <w:rFonts w:ascii="Cambria Math" w:hAnsi="Cambria Math"/>
                                    <w:i/>
                                    <w:sz w:val="24"/>
                                    <w:szCs w:val="24"/>
                                  </w:rPr>
                                </m:ctrlPr>
                              </m:sSubPr>
                              <m:e>
                                <m:r>
                                  <m:rPr/>
                                  <w:rPr>
                                    <w:rFonts w:ascii="Cambria Math"/>
                                    <w:sz w:val="24"/>
                                    <w:szCs w:val="24"/>
                                  </w:rPr>
                                  <m:t>t</m:t>
                                </m:r>
                                <m:ctrlPr>
                                  <w:rPr>
                                    <w:rFonts w:ascii="Cambria Math" w:hAnsi="Cambria Math"/>
                                    <w:i/>
                                    <w:sz w:val="24"/>
                                    <w:szCs w:val="24"/>
                                  </w:rPr>
                                </m:ctrlPr>
                              </m:e>
                              <m:sub>
                                <m:r>
                                  <m:rPr/>
                                  <w:rPr>
                                    <w:rFonts w:ascii="Cambria Math"/>
                                    <w:sz w:val="24"/>
                                    <w:szCs w:val="24"/>
                                  </w:rPr>
                                  <m:t>i</m:t>
                                </m:r>
                                <m:ctrlPr>
                                  <w:rPr>
                                    <w:rFonts w:ascii="Cambria Math" w:hAnsi="Cambria Math"/>
                                    <w:i/>
                                    <w:sz w:val="24"/>
                                    <w:szCs w:val="24"/>
                                  </w:rPr>
                                </m:ctrlPr>
                              </m:sub>
                            </m:sSub>
                            <m:sSup>
                              <m:sSupPr>
                                <m:ctrlPr>
                                  <w:rPr>
                                    <w:rFonts w:ascii="Cambria Math" w:hAnsi="Cambria Math"/>
                                    <w:i/>
                                    <w:sz w:val="24"/>
                                    <w:szCs w:val="24"/>
                                  </w:rPr>
                                </m:ctrlPr>
                              </m:sSupPr>
                              <m:e>
                                <m:r>
                                  <m:rPr/>
                                  <w:rPr>
                                    <w:rFonts w:ascii="Cambria Math"/>
                                    <w:sz w:val="24"/>
                                    <w:szCs w:val="24"/>
                                  </w:rPr>
                                  <m:t>10</m:t>
                                </m:r>
                                <m:ctrlPr>
                                  <w:rPr>
                                    <w:rFonts w:ascii="Cambria Math" w:hAnsi="Cambria Math"/>
                                    <w:i/>
                                    <w:sz w:val="24"/>
                                    <w:szCs w:val="24"/>
                                  </w:rPr>
                                </m:ctrlPr>
                              </m:e>
                              <m:sup>
                                <m:r>
                                  <m:rPr/>
                                  <w:rPr>
                                    <w:rFonts w:ascii="Cambria Math"/>
                                    <w:sz w:val="24"/>
                                    <w:szCs w:val="24"/>
                                  </w:rPr>
                                  <m:t>0.1</m:t>
                                </m:r>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Ai</m:t>
                                    </m:r>
                                    <m:ctrlPr>
                                      <w:rPr>
                                        <w:rFonts w:ascii="Cambria Math" w:hAnsi="Cambria Math"/>
                                        <w:i/>
                                        <w:sz w:val="24"/>
                                        <w:szCs w:val="24"/>
                                      </w:rPr>
                                    </m:ctrlPr>
                                  </m:sub>
                                </m:sSub>
                                <m:ctrlPr>
                                  <w:rPr>
                                    <w:rFonts w:ascii="Cambria Math" w:hAnsi="Cambria Math"/>
                                    <w:i/>
                                    <w:sz w:val="24"/>
                                    <w:szCs w:val="24"/>
                                  </w:rPr>
                                </m:ctrlPr>
                              </m:sup>
                            </m:sSup>
                            <m:ctrlPr>
                              <w:rPr>
                                <w:rFonts w:ascii="Cambria Math" w:hAnsi="Cambria Math"/>
                                <w:i/>
                                <w:sz w:val="24"/>
                                <w:szCs w:val="24"/>
                              </w:rPr>
                            </m:ctrlPr>
                          </m:e>
                        </m:nary>
                        <m:r>
                          <m:rPr/>
                          <w:rPr>
                            <w:rFonts w:ascii="Cambria Math"/>
                            <w:sz w:val="24"/>
                            <w:szCs w:val="24"/>
                          </w:rPr>
                          <m:t>+</m:t>
                        </m:r>
                        <m:nary>
                          <m:naryPr>
                            <m:chr m:val="∑"/>
                            <m:limLoc m:val="undOvr"/>
                            <m:ctrlPr>
                              <w:rPr>
                                <w:rFonts w:ascii="Cambria Math" w:hAnsi="Cambria Math"/>
                                <w:i/>
                                <w:sz w:val="24"/>
                                <w:szCs w:val="24"/>
                              </w:rPr>
                            </m:ctrlPr>
                          </m:naryPr>
                          <m:sub>
                            <m:r>
                              <m:rPr/>
                              <w:rPr>
                                <w:rFonts w:ascii="Cambria Math"/>
                                <w:sz w:val="24"/>
                                <w:szCs w:val="24"/>
                              </w:rPr>
                              <m:t>j=1</m:t>
                            </m:r>
                            <m:ctrlPr>
                              <w:rPr>
                                <w:rFonts w:ascii="Cambria Math" w:hAnsi="Cambria Math"/>
                                <w:i/>
                                <w:sz w:val="24"/>
                                <w:szCs w:val="24"/>
                              </w:rPr>
                            </m:ctrlPr>
                          </m:sub>
                          <m:sup>
                            <m:r>
                              <m:rPr/>
                              <w:rPr>
                                <w:rFonts w:ascii="Cambria Math"/>
                                <w:sz w:val="24"/>
                                <w:szCs w:val="24"/>
                              </w:rPr>
                              <m:t>M</m:t>
                            </m:r>
                            <m:ctrlPr>
                              <w:rPr>
                                <w:rFonts w:ascii="Cambria Math" w:hAnsi="Cambria Math"/>
                                <w:i/>
                                <w:sz w:val="24"/>
                                <w:szCs w:val="24"/>
                              </w:rPr>
                            </m:ctrlPr>
                          </m:sup>
                          <m:e>
                            <m:sSub>
                              <m:sSubPr>
                                <m:ctrlPr>
                                  <w:rPr>
                                    <w:rFonts w:ascii="Cambria Math" w:hAnsi="Cambria Math"/>
                                    <w:i/>
                                    <w:sz w:val="24"/>
                                    <w:szCs w:val="24"/>
                                  </w:rPr>
                                </m:ctrlPr>
                              </m:sSubPr>
                              <m:e>
                                <m:r>
                                  <m:rPr/>
                                  <w:rPr>
                                    <w:rFonts w:ascii="Cambria Math"/>
                                    <w:sz w:val="24"/>
                                    <w:szCs w:val="24"/>
                                  </w:rPr>
                                  <m:t>t</m:t>
                                </m:r>
                                <m:ctrlPr>
                                  <w:rPr>
                                    <w:rFonts w:ascii="Cambria Math" w:hAnsi="Cambria Math"/>
                                    <w:i/>
                                    <w:sz w:val="24"/>
                                    <w:szCs w:val="24"/>
                                  </w:rPr>
                                </m:ctrlPr>
                              </m:e>
                              <m:sub>
                                <m:r>
                                  <m:rPr/>
                                  <w:rPr>
                                    <w:rFonts w:ascii="Cambria Math"/>
                                    <w:sz w:val="24"/>
                                    <w:szCs w:val="24"/>
                                  </w:rPr>
                                  <m:t>j</m:t>
                                </m:r>
                                <m:ctrlPr>
                                  <w:rPr>
                                    <w:rFonts w:ascii="Cambria Math" w:hAnsi="Cambria Math"/>
                                    <w:i/>
                                    <w:sz w:val="24"/>
                                    <w:szCs w:val="24"/>
                                  </w:rPr>
                                </m:ctrlPr>
                              </m:sub>
                            </m:sSub>
                            <m:sSup>
                              <m:sSupPr>
                                <m:ctrlPr>
                                  <w:rPr>
                                    <w:rFonts w:ascii="Cambria Math" w:hAnsi="Cambria Math"/>
                                    <w:i/>
                                    <w:sz w:val="24"/>
                                    <w:szCs w:val="24"/>
                                  </w:rPr>
                                </m:ctrlPr>
                              </m:sSupPr>
                              <m:e>
                                <m:r>
                                  <m:rPr/>
                                  <w:rPr>
                                    <w:rFonts w:ascii="Cambria Math"/>
                                    <w:sz w:val="24"/>
                                    <w:szCs w:val="24"/>
                                  </w:rPr>
                                  <m:t>10</m:t>
                                </m:r>
                                <m:ctrlPr>
                                  <w:rPr>
                                    <w:rFonts w:ascii="Cambria Math" w:hAnsi="Cambria Math"/>
                                    <w:i/>
                                    <w:sz w:val="24"/>
                                    <w:szCs w:val="24"/>
                                  </w:rPr>
                                </m:ctrlPr>
                              </m:e>
                              <m:sup>
                                <m:r>
                                  <m:rPr/>
                                  <w:rPr>
                                    <w:rFonts w:ascii="Cambria Math"/>
                                    <w:sz w:val="24"/>
                                    <w:szCs w:val="24"/>
                                  </w:rPr>
                                  <m:t>0.1</m:t>
                                </m:r>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Aj</m:t>
                                    </m:r>
                                    <m:ctrlPr>
                                      <w:rPr>
                                        <w:rFonts w:ascii="Cambria Math" w:hAnsi="Cambria Math"/>
                                        <w:i/>
                                        <w:sz w:val="24"/>
                                        <w:szCs w:val="24"/>
                                      </w:rPr>
                                    </m:ctrlPr>
                                  </m:sub>
                                </m:sSub>
                                <m:ctrlPr>
                                  <w:rPr>
                                    <w:rFonts w:ascii="Cambria Math" w:hAnsi="Cambria Math"/>
                                    <w:i/>
                                    <w:sz w:val="24"/>
                                    <w:szCs w:val="24"/>
                                  </w:rPr>
                                </m:ctrlPr>
                              </m:sup>
                            </m:sSup>
                            <m:ctrlPr>
                              <w:rPr>
                                <w:rFonts w:ascii="Cambria Math" w:hAnsi="Cambria Math"/>
                                <w:i/>
                                <w:sz w:val="24"/>
                                <w:szCs w:val="24"/>
                              </w:rPr>
                            </m:ctrlPr>
                          </m:e>
                        </m:nary>
                        <m:ctrlPr>
                          <w:rPr>
                            <w:rFonts w:ascii="Cambria Math" w:hAnsi="Cambria Math"/>
                            <w:i/>
                            <w:sz w:val="24"/>
                            <w:szCs w:val="24"/>
                          </w:rPr>
                        </m:ctrlPr>
                      </m:e>
                    </m:d>
                    <m:ctrlPr>
                      <w:rPr>
                        <w:rFonts w:ascii="Cambria Math" w:hAnsi="Cambria Math"/>
                        <w:i/>
                        <w:sz w:val="24"/>
                        <w:szCs w:val="24"/>
                      </w:rPr>
                    </m:ctrlPr>
                  </m:e>
                </m:d>
              </m:oMath>
            </m:oMathPara>
          </w:p>
          <w:p>
            <w:pPr>
              <w:autoSpaceDN w:val="0"/>
              <w:adjustRightInd w:val="0"/>
              <w:snapToGrid w:val="0"/>
              <w:spacing w:line="360" w:lineRule="auto"/>
              <w:ind w:firstLine="480" w:firstLineChars="200"/>
              <w:rPr>
                <w:sz w:val="24"/>
              </w:rPr>
            </w:pPr>
            <w:r>
              <w:rPr>
                <w:sz w:val="24"/>
                <w:szCs w:val="24"/>
              </w:rPr>
              <w:t>式中：ti—在 T 时间内i声源工作时间，S；</w:t>
            </w:r>
          </w:p>
          <w:p>
            <w:pPr>
              <w:autoSpaceDN w:val="0"/>
              <w:adjustRightInd w:val="0"/>
              <w:snapToGrid w:val="0"/>
              <w:spacing w:line="360" w:lineRule="auto"/>
              <w:ind w:firstLine="1200" w:firstLineChars="500"/>
              <w:rPr>
                <w:sz w:val="24"/>
              </w:rPr>
            </w:pPr>
            <w:r>
              <w:rPr>
                <w:sz w:val="24"/>
                <w:szCs w:val="24"/>
              </w:rPr>
              <w:t>tj—在 T 时间内 j 声源工作时间，S；</w:t>
            </w:r>
          </w:p>
          <w:p>
            <w:pPr>
              <w:autoSpaceDN w:val="0"/>
              <w:adjustRightInd w:val="0"/>
              <w:snapToGrid w:val="0"/>
              <w:spacing w:line="360" w:lineRule="auto"/>
              <w:ind w:firstLine="1200" w:firstLineChars="500"/>
              <w:rPr>
                <w:sz w:val="24"/>
              </w:rPr>
            </w:pPr>
            <w:r>
              <w:rPr>
                <w:sz w:val="24"/>
                <w:szCs w:val="24"/>
              </w:rPr>
              <w:t>T—用于计算等效声级的时间，S；</w:t>
            </w:r>
          </w:p>
          <w:p>
            <w:pPr>
              <w:autoSpaceDN w:val="0"/>
              <w:adjustRightInd w:val="0"/>
              <w:snapToGrid w:val="0"/>
              <w:spacing w:line="360" w:lineRule="auto"/>
              <w:ind w:firstLine="1200" w:firstLineChars="500"/>
              <w:rPr>
                <w:sz w:val="24"/>
              </w:rPr>
            </w:pPr>
            <w:r>
              <w:rPr>
                <w:sz w:val="24"/>
                <w:szCs w:val="24"/>
              </w:rPr>
              <w:t>N—室外声源个数；</w:t>
            </w:r>
          </w:p>
          <w:p>
            <w:pPr>
              <w:autoSpaceDN w:val="0"/>
              <w:adjustRightInd w:val="0"/>
              <w:snapToGrid w:val="0"/>
              <w:spacing w:line="360" w:lineRule="auto"/>
              <w:ind w:firstLine="1200" w:firstLineChars="500"/>
              <w:rPr>
                <w:sz w:val="24"/>
              </w:rPr>
            </w:pPr>
            <w:r>
              <w:rPr>
                <w:sz w:val="24"/>
                <w:szCs w:val="24"/>
              </w:rPr>
              <w:t>M—等效室外声源个数。</w:t>
            </w:r>
          </w:p>
          <w:p>
            <w:pPr>
              <w:autoSpaceDN w:val="0"/>
              <w:adjustRightInd w:val="0"/>
              <w:snapToGrid w:val="0"/>
              <w:spacing w:line="360" w:lineRule="auto"/>
              <w:ind w:firstLine="1200" w:firstLineChars="500"/>
              <w:rPr>
                <w:sz w:val="24"/>
              </w:rPr>
            </w:pPr>
            <w:r>
              <w:rPr>
                <w:sz w:val="24"/>
                <w:szCs w:val="24"/>
              </w:rPr>
              <w:t>算某个声源在预测点的声压级</w:t>
            </w:r>
          </w:p>
          <w:p>
            <w:pPr>
              <w:autoSpaceDN w:val="0"/>
              <w:adjustRightInd w:val="0"/>
              <w:snapToGrid w:val="0"/>
              <w:spacing w:line="360" w:lineRule="auto"/>
              <w:ind w:firstLine="480" w:firstLineChars="200"/>
              <w:jc w:val="left"/>
              <w:rPr>
                <w:sz w:val="24"/>
              </w:rPr>
            </w:pPr>
            <w:r>
              <w:rPr>
                <w:rFonts w:hint="eastAsia" w:cs="宋体"/>
                <w:sz w:val="24"/>
                <w:szCs w:val="24"/>
              </w:rPr>
              <w:t>③</w:t>
            </w:r>
            <w:r>
              <w:rPr>
                <w:sz w:val="24"/>
                <w:szCs w:val="24"/>
              </w:rPr>
              <w:t>预测值的计算</w:t>
            </w:r>
          </w:p>
          <w:p>
            <w:pPr>
              <w:autoSpaceDN w:val="0"/>
              <w:adjustRightInd w:val="0"/>
              <w:snapToGrid w:val="0"/>
              <w:spacing w:line="360" w:lineRule="auto"/>
              <w:ind w:firstLine="480" w:firstLineChars="200"/>
              <w:jc w:val="left"/>
              <w:rPr>
                <w:sz w:val="24"/>
              </w:rPr>
            </w:pPr>
            <m:oMathPara>
              <m:oMath>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m:sty m:val="p"/>
                      </m:rPr>
                      <w:rPr>
                        <w:rFonts w:ascii="Cambria Math"/>
                        <w:sz w:val="24"/>
                        <w:szCs w:val="24"/>
                      </w:rPr>
                      <m:t>eq</m:t>
                    </m:r>
                    <m:ctrlPr>
                      <w:rPr>
                        <w:rFonts w:ascii="Cambria Math" w:hAnsi="Cambria Math"/>
                        <w:i/>
                        <w:sz w:val="24"/>
                        <w:szCs w:val="24"/>
                      </w:rPr>
                    </m:ctrlPr>
                  </m:sub>
                </m:sSub>
                <m:r>
                  <m:rPr/>
                  <w:rPr>
                    <w:rFonts w:ascii="Cambria Math"/>
                    <w:sz w:val="24"/>
                    <w:szCs w:val="24"/>
                  </w:rPr>
                  <m:t>=10lg</m:t>
                </m:r>
                <m:d>
                  <m:dPr>
                    <m:ctrlPr>
                      <w:rPr>
                        <w:rFonts w:ascii="Cambria Math" w:hAnsi="Cambria Math"/>
                        <w:i/>
                        <w:sz w:val="24"/>
                        <w:szCs w:val="24"/>
                      </w:rPr>
                    </m:ctrlPr>
                  </m:dPr>
                  <m:e>
                    <m:sSup>
                      <m:sSupPr>
                        <m:ctrlPr>
                          <w:rPr>
                            <w:rFonts w:ascii="Cambria Math" w:hAnsi="Cambria Math"/>
                            <w:i/>
                            <w:sz w:val="24"/>
                            <w:szCs w:val="24"/>
                          </w:rPr>
                        </m:ctrlPr>
                      </m:sSupPr>
                      <m:e>
                        <m:r>
                          <m:rPr/>
                          <w:rPr>
                            <w:rFonts w:ascii="Cambria Math"/>
                            <w:sz w:val="24"/>
                            <w:szCs w:val="24"/>
                          </w:rPr>
                          <m:t>10</m:t>
                        </m:r>
                        <m:ctrlPr>
                          <w:rPr>
                            <w:rFonts w:ascii="Cambria Math" w:hAnsi="Cambria Math"/>
                            <w:i/>
                            <w:sz w:val="24"/>
                            <w:szCs w:val="24"/>
                          </w:rPr>
                        </m:ctrlPr>
                      </m:e>
                      <m:sup>
                        <m:r>
                          <m:rPr/>
                          <w:rPr>
                            <w:rFonts w:ascii="Cambria Math"/>
                            <w:sz w:val="24"/>
                            <w:szCs w:val="24"/>
                          </w:rPr>
                          <m:t>0.1</m:t>
                        </m:r>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eqg</m:t>
                            </m:r>
                            <m:ctrlPr>
                              <w:rPr>
                                <w:rFonts w:ascii="Cambria Math" w:hAnsi="Cambria Math"/>
                                <w:i/>
                                <w:sz w:val="24"/>
                                <w:szCs w:val="24"/>
                              </w:rPr>
                            </m:ctrlPr>
                          </m:sub>
                        </m:sSub>
                        <m:ctrlPr>
                          <w:rPr>
                            <w:rFonts w:ascii="Cambria Math" w:hAnsi="Cambria Math"/>
                            <w:i/>
                            <w:sz w:val="24"/>
                            <w:szCs w:val="24"/>
                          </w:rPr>
                        </m:ctrlPr>
                      </m:sup>
                    </m:sSup>
                    <m:r>
                      <m:rPr/>
                      <w:rPr>
                        <w:rFonts w:ascii="Cambria Math"/>
                        <w:sz w:val="24"/>
                        <w:szCs w:val="24"/>
                      </w:rPr>
                      <m:t>+</m:t>
                    </m:r>
                    <m:sSup>
                      <m:sSupPr>
                        <m:ctrlPr>
                          <w:rPr>
                            <w:rFonts w:ascii="Cambria Math" w:hAnsi="Cambria Math"/>
                            <w:i/>
                            <w:sz w:val="24"/>
                            <w:szCs w:val="24"/>
                          </w:rPr>
                        </m:ctrlPr>
                      </m:sSupPr>
                      <m:e>
                        <m:r>
                          <m:rPr/>
                          <w:rPr>
                            <w:rFonts w:ascii="Cambria Math"/>
                            <w:sz w:val="24"/>
                            <w:szCs w:val="24"/>
                          </w:rPr>
                          <m:t>10</m:t>
                        </m:r>
                        <m:ctrlPr>
                          <w:rPr>
                            <w:rFonts w:ascii="Cambria Math" w:hAnsi="Cambria Math"/>
                            <w:i/>
                            <w:sz w:val="24"/>
                            <w:szCs w:val="24"/>
                          </w:rPr>
                        </m:ctrlPr>
                      </m:e>
                      <m:sup>
                        <m:r>
                          <m:rPr/>
                          <w:rPr>
                            <w:rFonts w:ascii="Cambria Math"/>
                            <w:sz w:val="24"/>
                            <w:szCs w:val="24"/>
                          </w:rPr>
                          <m:t>0.1</m:t>
                        </m:r>
                        <m:sSub>
                          <m:sSubPr>
                            <m:ctrlPr>
                              <w:rPr>
                                <w:rFonts w:ascii="Cambria Math" w:hAnsi="Cambria Math"/>
                                <w:i/>
                                <w:sz w:val="24"/>
                                <w:szCs w:val="24"/>
                              </w:rPr>
                            </m:ctrlPr>
                          </m:sSubPr>
                          <m:e>
                            <m:r>
                              <m:rPr/>
                              <w:rPr>
                                <w:rFonts w:ascii="Cambria Math"/>
                                <w:sz w:val="24"/>
                                <w:szCs w:val="24"/>
                              </w:rPr>
                              <m:t>L</m:t>
                            </m:r>
                            <m:ctrlPr>
                              <w:rPr>
                                <w:rFonts w:ascii="Cambria Math" w:hAnsi="Cambria Math"/>
                                <w:i/>
                                <w:sz w:val="24"/>
                                <w:szCs w:val="24"/>
                              </w:rPr>
                            </m:ctrlPr>
                          </m:e>
                          <m:sub>
                            <m:r>
                              <m:rPr/>
                              <w:rPr>
                                <w:rFonts w:ascii="Cambria Math"/>
                                <w:sz w:val="24"/>
                                <w:szCs w:val="24"/>
                              </w:rPr>
                              <m:t>eqb</m:t>
                            </m:r>
                            <m:ctrlPr>
                              <w:rPr>
                                <w:rFonts w:ascii="Cambria Math" w:hAnsi="Cambria Math"/>
                                <w:i/>
                                <w:sz w:val="24"/>
                                <w:szCs w:val="24"/>
                              </w:rPr>
                            </m:ctrlPr>
                          </m:sub>
                        </m:sSub>
                        <m:ctrlPr>
                          <w:rPr>
                            <w:rFonts w:ascii="Cambria Math" w:hAnsi="Cambria Math"/>
                            <w:i/>
                            <w:sz w:val="24"/>
                            <w:szCs w:val="24"/>
                          </w:rPr>
                        </m:ctrlPr>
                      </m:sup>
                    </m:sSup>
                    <m:ctrlPr>
                      <w:rPr>
                        <w:rFonts w:ascii="Cambria Math" w:hAnsi="Cambria Math"/>
                        <w:i/>
                        <w:sz w:val="24"/>
                        <w:szCs w:val="24"/>
                      </w:rPr>
                    </m:ctrlPr>
                  </m:e>
                </m:d>
              </m:oMath>
            </m:oMathPara>
          </w:p>
          <w:p>
            <w:pPr>
              <w:adjustRightInd w:val="0"/>
              <w:snapToGrid w:val="0"/>
              <w:spacing w:line="360" w:lineRule="auto"/>
              <w:ind w:firstLine="480" w:firstLineChars="200"/>
              <w:jc w:val="left"/>
              <w:rPr>
                <w:sz w:val="24"/>
              </w:rPr>
            </w:pPr>
            <w:r>
              <w:rPr>
                <w:sz w:val="24"/>
                <w:szCs w:val="24"/>
              </w:rPr>
              <w:t>式中：Leqg—建设项目声源在预测点的等效声级贡献值，dB(A)；</w:t>
            </w:r>
          </w:p>
          <w:p>
            <w:pPr>
              <w:adjustRightInd w:val="0"/>
              <w:snapToGrid w:val="0"/>
              <w:spacing w:line="360" w:lineRule="auto"/>
              <w:ind w:firstLine="1200" w:firstLineChars="500"/>
              <w:jc w:val="left"/>
              <w:rPr>
                <w:sz w:val="24"/>
              </w:rPr>
            </w:pPr>
            <w:r>
              <w:rPr>
                <w:sz w:val="24"/>
                <w:szCs w:val="24"/>
              </w:rPr>
              <w:t>Leqb—预测点的背景值，dB(A)</w:t>
            </w:r>
          </w:p>
          <w:p>
            <w:pPr>
              <w:autoSpaceDN w:val="0"/>
              <w:adjustRightInd w:val="0"/>
              <w:snapToGrid w:val="0"/>
              <w:spacing w:line="360" w:lineRule="auto"/>
              <w:jc w:val="center"/>
              <w:rPr>
                <w:sz w:val="24"/>
                <w:szCs w:val="24"/>
              </w:rPr>
            </w:pPr>
            <w:r>
              <w:rPr>
                <w:rFonts w:hint="eastAsia" w:cs="宋体"/>
                <w:b/>
                <w:bCs/>
                <w:szCs w:val="24"/>
              </w:rPr>
              <w:t>表</w:t>
            </w:r>
            <w:r>
              <w:rPr>
                <w:b/>
                <w:bCs/>
                <w:szCs w:val="24"/>
              </w:rPr>
              <w:t>4-</w:t>
            </w:r>
            <w:r>
              <w:rPr>
                <w:rFonts w:hint="eastAsia"/>
                <w:b/>
                <w:bCs/>
                <w:szCs w:val="24"/>
              </w:rPr>
              <w:t xml:space="preserve">11 </w:t>
            </w:r>
            <w:r>
              <w:rPr>
                <w:rFonts w:hint="eastAsia" w:cs="宋体"/>
                <w:b/>
                <w:bCs/>
                <w:kern w:val="24"/>
                <w:szCs w:val="24"/>
              </w:rPr>
              <w:t>噪声预测结果</w:t>
            </w:r>
          </w:p>
          <w:tbl>
            <w:tblPr>
              <w:tblStyle w:val="36"/>
              <w:tblW w:w="5000" w:type="pct"/>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autofit"/>
              <w:tblCellMar>
                <w:top w:w="0" w:type="dxa"/>
                <w:left w:w="108" w:type="dxa"/>
                <w:bottom w:w="0" w:type="dxa"/>
                <w:right w:w="108" w:type="dxa"/>
              </w:tblCellMar>
            </w:tblPr>
            <w:tblGrid>
              <w:gridCol w:w="1358"/>
              <w:gridCol w:w="1526"/>
              <w:gridCol w:w="2452"/>
              <w:gridCol w:w="1958"/>
              <w:gridCol w:w="152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635" w:type="pct"/>
                  <w:gridSpan w:val="2"/>
                  <w:vMerge w:val="restart"/>
                  <w:tcBorders>
                    <w:tl2br w:val="nil"/>
                    <w:tr2bl w:val="nil"/>
                  </w:tcBorders>
                  <w:vAlign w:val="center"/>
                </w:tcPr>
                <w:p>
                  <w:pPr>
                    <w:jc w:val="center"/>
                  </w:pPr>
                  <w:r>
                    <w:rPr>
                      <w:rFonts w:hint="eastAsia"/>
                    </w:rPr>
                    <w:t>预测点</w:t>
                  </w:r>
                </w:p>
              </w:tc>
              <w:tc>
                <w:tcPr>
                  <w:tcW w:w="1390" w:type="pct"/>
                  <w:tcBorders>
                    <w:tl2br w:val="nil"/>
                    <w:tr2bl w:val="nil"/>
                  </w:tcBorders>
                  <w:vAlign w:val="center"/>
                </w:tcPr>
                <w:p>
                  <w:pPr>
                    <w:jc w:val="center"/>
                  </w:pPr>
                  <w:r>
                    <w:rPr>
                      <w:rFonts w:hint="eastAsia"/>
                    </w:rPr>
                    <w:t>贡献值</w:t>
                  </w:r>
                  <w:r>
                    <w:t>dB(A)</w:t>
                  </w:r>
                </w:p>
              </w:tc>
              <w:tc>
                <w:tcPr>
                  <w:tcW w:w="1110" w:type="pct"/>
                  <w:tcBorders>
                    <w:tl2br w:val="nil"/>
                    <w:tr2bl w:val="nil"/>
                  </w:tcBorders>
                </w:tcPr>
                <w:p>
                  <w:pPr>
                    <w:jc w:val="center"/>
                  </w:pPr>
                  <w:r>
                    <w:rPr>
                      <w:rFonts w:hint="eastAsia"/>
                    </w:rPr>
                    <w:t>标准限值</w:t>
                  </w:r>
                </w:p>
              </w:tc>
              <w:tc>
                <w:tcPr>
                  <w:tcW w:w="865" w:type="pct"/>
                  <w:tcBorders>
                    <w:tl2br w:val="nil"/>
                    <w:tr2bl w:val="nil"/>
                  </w:tcBorders>
                </w:tcPr>
                <w:p>
                  <w:pPr>
                    <w:jc w:val="center"/>
                  </w:pPr>
                  <w:r>
                    <w:rPr>
                      <w:rFonts w:hint="eastAsia"/>
                    </w:rPr>
                    <w:t>达标情况</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1635" w:type="pct"/>
                  <w:gridSpan w:val="2"/>
                  <w:vMerge w:val="continue"/>
                  <w:tcBorders>
                    <w:tl2br w:val="nil"/>
                    <w:tr2bl w:val="nil"/>
                  </w:tcBorders>
                  <w:vAlign w:val="center"/>
                </w:tcPr>
                <w:p>
                  <w:pPr>
                    <w:jc w:val="center"/>
                  </w:pPr>
                </w:p>
              </w:tc>
              <w:tc>
                <w:tcPr>
                  <w:tcW w:w="1390" w:type="pct"/>
                  <w:tcBorders>
                    <w:tl2br w:val="nil"/>
                    <w:tr2bl w:val="nil"/>
                  </w:tcBorders>
                  <w:vAlign w:val="center"/>
                </w:tcPr>
                <w:p>
                  <w:pPr>
                    <w:jc w:val="center"/>
                  </w:pPr>
                  <w:r>
                    <w:rPr>
                      <w:rFonts w:hint="eastAsia"/>
                    </w:rPr>
                    <w:t>昼间</w:t>
                  </w:r>
                </w:p>
              </w:tc>
              <w:tc>
                <w:tcPr>
                  <w:tcW w:w="1110" w:type="pct"/>
                  <w:tcBorders>
                    <w:tl2br w:val="nil"/>
                    <w:tr2bl w:val="nil"/>
                  </w:tcBorders>
                  <w:vAlign w:val="center"/>
                </w:tcPr>
                <w:p>
                  <w:pPr>
                    <w:jc w:val="center"/>
                  </w:pPr>
                  <w:r>
                    <w:rPr>
                      <w:rFonts w:hint="eastAsia"/>
                    </w:rPr>
                    <w:t>昼间</w:t>
                  </w:r>
                </w:p>
              </w:tc>
              <w:tc>
                <w:tcPr>
                  <w:tcW w:w="865" w:type="pct"/>
                  <w:tcBorders>
                    <w:tl2br w:val="nil"/>
                    <w:tr2bl w:val="nil"/>
                  </w:tcBorders>
                </w:tcPr>
                <w:p>
                  <w:pPr>
                    <w:jc w:val="center"/>
                  </w:pPr>
                  <w:r>
                    <w:rPr>
                      <w:rFonts w:hint="eastAsia"/>
                    </w:rPr>
                    <w:t>达标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770" w:type="pct"/>
                  <w:vMerge w:val="restart"/>
                  <w:tcBorders>
                    <w:tl2br w:val="nil"/>
                    <w:tr2bl w:val="nil"/>
                  </w:tcBorders>
                  <w:vAlign w:val="center"/>
                </w:tcPr>
                <w:p>
                  <w:pPr>
                    <w:jc w:val="center"/>
                  </w:pPr>
                  <w:r>
                    <w:rPr>
                      <w:rFonts w:hint="eastAsia"/>
                    </w:rPr>
                    <w:t>厂界</w:t>
                  </w:r>
                </w:p>
              </w:tc>
              <w:tc>
                <w:tcPr>
                  <w:tcW w:w="865" w:type="pct"/>
                  <w:tcBorders>
                    <w:tl2br w:val="nil"/>
                    <w:tr2bl w:val="nil"/>
                  </w:tcBorders>
                  <w:vAlign w:val="center"/>
                </w:tcPr>
                <w:p>
                  <w:pPr>
                    <w:jc w:val="center"/>
                  </w:pPr>
                  <w:r>
                    <w:t>东厂界</w:t>
                  </w:r>
                </w:p>
              </w:tc>
              <w:tc>
                <w:tcPr>
                  <w:tcW w:w="1390" w:type="pct"/>
                  <w:tcBorders>
                    <w:tl2br w:val="nil"/>
                    <w:tr2bl w:val="nil"/>
                  </w:tcBorders>
                  <w:vAlign w:val="center"/>
                </w:tcPr>
                <w:p>
                  <w:pPr>
                    <w:adjustRightInd w:val="0"/>
                    <w:snapToGrid w:val="0"/>
                    <w:jc w:val="center"/>
                  </w:pPr>
                  <w:r>
                    <w:rPr>
                      <w:rFonts w:hint="eastAsia"/>
                    </w:rPr>
                    <w:t>46.4</w:t>
                  </w:r>
                </w:p>
              </w:tc>
              <w:tc>
                <w:tcPr>
                  <w:tcW w:w="1110" w:type="pct"/>
                  <w:tcBorders>
                    <w:tl2br w:val="nil"/>
                    <w:tr2bl w:val="nil"/>
                  </w:tcBorders>
                  <w:vAlign w:val="center"/>
                </w:tcPr>
                <w:p>
                  <w:pPr>
                    <w:jc w:val="center"/>
                  </w:pPr>
                  <w:r>
                    <w:rPr>
                      <w:rFonts w:hint="eastAsia"/>
                    </w:rPr>
                    <w:t>65</w:t>
                  </w:r>
                </w:p>
              </w:tc>
              <w:tc>
                <w:tcPr>
                  <w:tcW w:w="865" w:type="pct"/>
                  <w:tcBorders>
                    <w:tl2br w:val="nil"/>
                    <w:tr2bl w:val="nil"/>
                  </w:tcBorders>
                  <w:vAlign w:val="center"/>
                </w:tcPr>
                <w:p>
                  <w:pPr>
                    <w:jc w:val="center"/>
                  </w:pPr>
                  <w:r>
                    <w:rPr>
                      <w:rFonts w:hint="eastAsia"/>
                    </w:rPr>
                    <w:t>达标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770" w:type="pct"/>
                  <w:vMerge w:val="continue"/>
                  <w:tcBorders>
                    <w:tl2br w:val="nil"/>
                    <w:tr2bl w:val="nil"/>
                  </w:tcBorders>
                  <w:vAlign w:val="center"/>
                </w:tcPr>
                <w:p>
                  <w:pPr>
                    <w:jc w:val="center"/>
                  </w:pPr>
                </w:p>
              </w:tc>
              <w:tc>
                <w:tcPr>
                  <w:tcW w:w="865" w:type="pct"/>
                  <w:tcBorders>
                    <w:tl2br w:val="nil"/>
                    <w:tr2bl w:val="nil"/>
                  </w:tcBorders>
                  <w:vAlign w:val="center"/>
                </w:tcPr>
                <w:p>
                  <w:pPr>
                    <w:jc w:val="center"/>
                  </w:pPr>
                  <w:r>
                    <w:rPr>
                      <w:rFonts w:hint="eastAsia"/>
                    </w:rPr>
                    <w:t>南</w:t>
                  </w:r>
                  <w:r>
                    <w:t>厂界</w:t>
                  </w:r>
                </w:p>
              </w:tc>
              <w:tc>
                <w:tcPr>
                  <w:tcW w:w="1390" w:type="pct"/>
                  <w:tcBorders>
                    <w:tl2br w:val="nil"/>
                    <w:tr2bl w:val="nil"/>
                  </w:tcBorders>
                  <w:vAlign w:val="center"/>
                </w:tcPr>
                <w:p>
                  <w:pPr>
                    <w:adjustRightInd w:val="0"/>
                    <w:snapToGrid w:val="0"/>
                    <w:jc w:val="center"/>
                  </w:pPr>
                  <w:r>
                    <w:rPr>
                      <w:rFonts w:hint="eastAsia"/>
                    </w:rPr>
                    <w:t>50.6</w:t>
                  </w:r>
                </w:p>
              </w:tc>
              <w:tc>
                <w:tcPr>
                  <w:tcW w:w="1110" w:type="pct"/>
                  <w:tcBorders>
                    <w:tl2br w:val="nil"/>
                    <w:tr2bl w:val="nil"/>
                  </w:tcBorders>
                  <w:vAlign w:val="center"/>
                </w:tcPr>
                <w:p>
                  <w:pPr>
                    <w:jc w:val="center"/>
                  </w:pPr>
                  <w:r>
                    <w:rPr>
                      <w:rFonts w:hint="eastAsia"/>
                    </w:rPr>
                    <w:t>65</w:t>
                  </w:r>
                </w:p>
              </w:tc>
              <w:tc>
                <w:tcPr>
                  <w:tcW w:w="865" w:type="pct"/>
                  <w:tcBorders>
                    <w:tl2br w:val="nil"/>
                    <w:tr2bl w:val="nil"/>
                  </w:tcBorders>
                  <w:vAlign w:val="center"/>
                </w:tcPr>
                <w:p>
                  <w:pPr>
                    <w:jc w:val="center"/>
                  </w:pPr>
                  <w:r>
                    <w:rPr>
                      <w:rFonts w:hint="eastAsia"/>
                    </w:rPr>
                    <w:t>达标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770" w:type="pct"/>
                  <w:vMerge w:val="continue"/>
                  <w:tcBorders>
                    <w:tl2br w:val="nil"/>
                    <w:tr2bl w:val="nil"/>
                  </w:tcBorders>
                  <w:vAlign w:val="center"/>
                </w:tcPr>
                <w:p>
                  <w:pPr>
                    <w:jc w:val="center"/>
                  </w:pPr>
                </w:p>
              </w:tc>
              <w:tc>
                <w:tcPr>
                  <w:tcW w:w="865" w:type="pct"/>
                  <w:tcBorders>
                    <w:tl2br w:val="nil"/>
                    <w:tr2bl w:val="nil"/>
                  </w:tcBorders>
                  <w:vAlign w:val="center"/>
                </w:tcPr>
                <w:p>
                  <w:pPr>
                    <w:jc w:val="center"/>
                  </w:pPr>
                  <w:r>
                    <w:rPr>
                      <w:rFonts w:hint="eastAsia"/>
                    </w:rPr>
                    <w:t>西</w:t>
                  </w:r>
                  <w:r>
                    <w:t>厂界</w:t>
                  </w:r>
                </w:p>
              </w:tc>
              <w:tc>
                <w:tcPr>
                  <w:tcW w:w="1390" w:type="pct"/>
                  <w:tcBorders>
                    <w:tl2br w:val="nil"/>
                    <w:tr2bl w:val="nil"/>
                  </w:tcBorders>
                  <w:vAlign w:val="center"/>
                </w:tcPr>
                <w:p>
                  <w:pPr>
                    <w:adjustRightInd w:val="0"/>
                    <w:snapToGrid w:val="0"/>
                    <w:jc w:val="center"/>
                  </w:pPr>
                  <w:r>
                    <w:rPr>
                      <w:rFonts w:hint="eastAsia"/>
                    </w:rPr>
                    <w:t>53.8</w:t>
                  </w:r>
                </w:p>
              </w:tc>
              <w:tc>
                <w:tcPr>
                  <w:tcW w:w="1110" w:type="pct"/>
                  <w:tcBorders>
                    <w:tl2br w:val="nil"/>
                    <w:tr2bl w:val="nil"/>
                  </w:tcBorders>
                  <w:vAlign w:val="center"/>
                </w:tcPr>
                <w:p>
                  <w:pPr>
                    <w:jc w:val="center"/>
                  </w:pPr>
                  <w:r>
                    <w:rPr>
                      <w:rFonts w:hint="eastAsia"/>
                    </w:rPr>
                    <w:t>65</w:t>
                  </w:r>
                </w:p>
              </w:tc>
              <w:tc>
                <w:tcPr>
                  <w:tcW w:w="865" w:type="pct"/>
                  <w:tcBorders>
                    <w:tl2br w:val="nil"/>
                    <w:tr2bl w:val="nil"/>
                  </w:tcBorders>
                  <w:vAlign w:val="center"/>
                </w:tcPr>
                <w:p>
                  <w:pPr>
                    <w:jc w:val="center"/>
                  </w:pPr>
                  <w:r>
                    <w:rPr>
                      <w:rFonts w:hint="eastAsia"/>
                    </w:rPr>
                    <w:t>达标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40" w:hRule="exact"/>
                <w:jc w:val="center"/>
              </w:trPr>
              <w:tc>
                <w:tcPr>
                  <w:tcW w:w="770" w:type="pct"/>
                  <w:vMerge w:val="continue"/>
                  <w:tcBorders>
                    <w:tl2br w:val="nil"/>
                    <w:tr2bl w:val="nil"/>
                  </w:tcBorders>
                  <w:vAlign w:val="center"/>
                </w:tcPr>
                <w:p>
                  <w:pPr>
                    <w:jc w:val="center"/>
                  </w:pPr>
                </w:p>
              </w:tc>
              <w:tc>
                <w:tcPr>
                  <w:tcW w:w="865" w:type="pct"/>
                  <w:tcBorders>
                    <w:tl2br w:val="nil"/>
                    <w:tr2bl w:val="nil"/>
                  </w:tcBorders>
                  <w:vAlign w:val="center"/>
                </w:tcPr>
                <w:p>
                  <w:pPr>
                    <w:jc w:val="center"/>
                  </w:pPr>
                  <w:r>
                    <w:t>北厂界</w:t>
                  </w:r>
                </w:p>
              </w:tc>
              <w:tc>
                <w:tcPr>
                  <w:tcW w:w="1390" w:type="pct"/>
                  <w:tcBorders>
                    <w:tl2br w:val="nil"/>
                    <w:tr2bl w:val="nil"/>
                  </w:tcBorders>
                  <w:vAlign w:val="center"/>
                </w:tcPr>
                <w:p>
                  <w:pPr>
                    <w:adjustRightInd w:val="0"/>
                    <w:snapToGrid w:val="0"/>
                    <w:jc w:val="center"/>
                  </w:pPr>
                  <w:r>
                    <w:rPr>
                      <w:rFonts w:hint="eastAsia"/>
                    </w:rPr>
                    <w:t>60.4</w:t>
                  </w:r>
                </w:p>
              </w:tc>
              <w:tc>
                <w:tcPr>
                  <w:tcW w:w="1110" w:type="pct"/>
                  <w:tcBorders>
                    <w:tl2br w:val="nil"/>
                    <w:tr2bl w:val="nil"/>
                  </w:tcBorders>
                  <w:vAlign w:val="center"/>
                </w:tcPr>
                <w:p>
                  <w:pPr>
                    <w:jc w:val="center"/>
                  </w:pPr>
                  <w:r>
                    <w:rPr>
                      <w:rFonts w:hint="eastAsia"/>
                    </w:rPr>
                    <w:t>65</w:t>
                  </w:r>
                </w:p>
              </w:tc>
              <w:tc>
                <w:tcPr>
                  <w:tcW w:w="865" w:type="pct"/>
                  <w:tcBorders>
                    <w:tl2br w:val="nil"/>
                    <w:tr2bl w:val="nil"/>
                  </w:tcBorders>
                  <w:vAlign w:val="center"/>
                </w:tcPr>
                <w:p>
                  <w:pPr>
                    <w:jc w:val="center"/>
                  </w:pPr>
                  <w:r>
                    <w:rPr>
                      <w:rFonts w:hint="eastAsia"/>
                    </w:rPr>
                    <w:t>达标</w:t>
                  </w:r>
                </w:p>
              </w:tc>
            </w:tr>
          </w:tbl>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（2）噪声污染防治措施</w:t>
            </w:r>
          </w:p>
          <w:p>
            <w:pPr>
              <w:adjustRightInd w:val="0"/>
              <w:snapToGrid w:val="0"/>
              <w:spacing w:line="360" w:lineRule="auto"/>
              <w:ind w:firstLine="480" w:firstLineChars="200"/>
              <w:rPr>
                <w:rFonts w:cs="宋体"/>
                <w:sz w:val="24"/>
                <w:szCs w:val="24"/>
              </w:rPr>
            </w:pPr>
            <w:r>
              <w:rPr>
                <w:rFonts w:hint="eastAsia" w:cs="宋体"/>
                <w:sz w:val="24"/>
                <w:szCs w:val="24"/>
              </w:rPr>
              <w:t>由噪声预测结果可以看出，在采取相应的隔声、减振措施后，项目各厂界昼间噪声预测值均满足《工业企业厂界环境噪声排放标准》（</w:t>
            </w:r>
            <w:r>
              <w:rPr>
                <w:sz w:val="24"/>
                <w:szCs w:val="24"/>
              </w:rPr>
              <w:t>GB12348-2008</w:t>
            </w:r>
            <w:r>
              <w:rPr>
                <w:rFonts w:hint="eastAsia" w:cs="宋体"/>
                <w:sz w:val="24"/>
                <w:szCs w:val="24"/>
              </w:rPr>
              <w:t>）中</w:t>
            </w:r>
            <w:r>
              <w:rPr>
                <w:rFonts w:hint="eastAsia"/>
                <w:sz w:val="24"/>
                <w:szCs w:val="24"/>
              </w:rPr>
              <w:t>3</w:t>
            </w:r>
            <w:r>
              <w:rPr>
                <w:rFonts w:hint="eastAsia" w:cs="宋体"/>
                <w:sz w:val="24"/>
                <w:szCs w:val="24"/>
              </w:rPr>
              <w:t>类区标准限值要求。</w:t>
            </w:r>
          </w:p>
          <w:p>
            <w:pPr>
              <w:adjustRightInd w:val="0"/>
              <w:snapToGrid w:val="0"/>
              <w:spacing w:line="360" w:lineRule="auto"/>
              <w:ind w:firstLine="480" w:firstLineChars="200"/>
              <w:rPr>
                <w:sz w:val="24"/>
                <w:szCs w:val="24"/>
              </w:rPr>
            </w:pPr>
            <w:r>
              <w:rPr>
                <w:rFonts w:hint="eastAsia" w:cs="宋体"/>
                <w:sz w:val="24"/>
                <w:szCs w:val="24"/>
              </w:rPr>
              <w:t>为进一步减小项目运营期噪声对周围环境，要求建设单位采取以下噪声防治措施：</w:t>
            </w:r>
          </w:p>
          <w:p>
            <w:pPr>
              <w:adjustRightInd w:val="0"/>
              <w:snapToGrid w:val="0"/>
              <w:spacing w:line="360" w:lineRule="auto"/>
              <w:ind w:firstLine="480" w:firstLineChars="200"/>
              <w:rPr>
                <w:sz w:val="24"/>
                <w:szCs w:val="24"/>
              </w:rPr>
            </w:pPr>
            <w:r>
              <w:rPr>
                <w:rFonts w:hint="eastAsia" w:cs="宋体"/>
                <w:sz w:val="24"/>
                <w:szCs w:val="24"/>
              </w:rPr>
              <w:t>①从声源上控制，应选择符合国家噪声标准的低噪声、</w:t>
            </w:r>
            <w:r>
              <w:rPr>
                <w:sz w:val="24"/>
                <w:szCs w:val="24"/>
              </w:rPr>
              <w:t>运行平稳可靠</w:t>
            </w:r>
            <w:r>
              <w:rPr>
                <w:rFonts w:hint="eastAsia" w:cs="宋体"/>
                <w:sz w:val="24"/>
                <w:szCs w:val="24"/>
              </w:rPr>
              <w:t>生产设备及设施。</w:t>
            </w:r>
          </w:p>
          <w:p>
            <w:pPr>
              <w:adjustRightInd w:val="0"/>
              <w:snapToGrid w:val="0"/>
              <w:spacing w:line="360" w:lineRule="auto"/>
              <w:ind w:firstLine="480" w:firstLineChars="200"/>
              <w:rPr>
                <w:sz w:val="24"/>
                <w:szCs w:val="24"/>
              </w:rPr>
            </w:pPr>
            <w:r>
              <w:rPr>
                <w:sz w:val="24"/>
                <w:szCs w:val="24"/>
              </w:rPr>
              <w:fldChar w:fldCharType="begin"/>
            </w:r>
            <w:r>
              <w:rPr>
                <w:sz w:val="24"/>
                <w:szCs w:val="24"/>
              </w:rPr>
              <w:instrText xml:space="preserve">= 2 \* GB3</w:instrText>
            </w:r>
            <w:r>
              <w:rPr>
                <w:sz w:val="24"/>
                <w:szCs w:val="24"/>
              </w:rPr>
              <w:fldChar w:fldCharType="separate"/>
            </w:r>
            <w:r>
              <w:rPr>
                <w:rFonts w:hint="eastAsia" w:cs="宋体"/>
                <w:sz w:val="24"/>
                <w:szCs w:val="24"/>
              </w:rPr>
              <w:t>②</w:t>
            </w:r>
            <w:r>
              <w:rPr>
                <w:sz w:val="24"/>
                <w:szCs w:val="24"/>
              </w:rPr>
              <w:fldChar w:fldCharType="end"/>
            </w:r>
            <w:r>
              <w:rPr>
                <w:rFonts w:hint="eastAsia" w:cs="宋体"/>
                <w:sz w:val="24"/>
                <w:szCs w:val="24"/>
              </w:rPr>
              <w:t>加强设备的维护，确保设备处于良好的运转状态，杜绝因设备不正常运转时产生的高噪声现象；同时，规范生产过程中设备操作，避免操作设备不当产生的高噪声现象。</w:t>
            </w:r>
          </w:p>
          <w:p>
            <w:pPr>
              <w:adjustRightInd w:val="0"/>
              <w:snapToGrid w:val="0"/>
              <w:spacing w:line="360" w:lineRule="auto"/>
              <w:ind w:firstLine="480" w:firstLineChars="200"/>
              <w:rPr>
                <w:rFonts w:cs="宋体"/>
                <w:sz w:val="24"/>
                <w:szCs w:val="24"/>
              </w:rPr>
            </w:pPr>
            <w:r>
              <w:rPr>
                <w:rFonts w:hint="eastAsia" w:cs="宋体"/>
                <w:sz w:val="24"/>
                <w:szCs w:val="24"/>
              </w:rPr>
              <w:t>③对高噪声设备废气处理设施风机等设置基础减震垫等降噪措施。</w:t>
            </w:r>
          </w:p>
          <w:p>
            <w:pPr>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4 \* GB3</w:instrText>
            </w:r>
            <w:r>
              <w:rPr>
                <w:rFonts w:cs="宋体"/>
                <w:sz w:val="24"/>
                <w:szCs w:val="24"/>
              </w:rPr>
              <w:fldChar w:fldCharType="separate"/>
            </w:r>
            <w:r>
              <w:rPr>
                <w:rFonts w:hint="eastAsia" w:cs="宋体"/>
                <w:sz w:val="24"/>
                <w:szCs w:val="24"/>
              </w:rPr>
              <w:t>④</w:t>
            </w:r>
            <w:r>
              <w:rPr>
                <w:rFonts w:cs="宋体"/>
                <w:sz w:val="24"/>
                <w:szCs w:val="24"/>
              </w:rPr>
              <w:fldChar w:fldCharType="end"/>
            </w:r>
            <w:r>
              <w:rPr>
                <w:rFonts w:hint="eastAsia" w:cs="宋体"/>
                <w:sz w:val="24"/>
                <w:szCs w:val="24"/>
              </w:rPr>
              <w:t>对</w:t>
            </w:r>
            <w:r>
              <w:rPr>
                <w:rFonts w:cs="宋体"/>
                <w:sz w:val="24"/>
                <w:szCs w:val="24"/>
              </w:rPr>
              <w:t>风管、风机的连接采用柔性连接、支架采用防振动支架，防止因连接、安装不当，产生异常噪声，声响。</w:t>
            </w:r>
          </w:p>
          <w:p>
            <w:pPr>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5 \* GB3</w:instrText>
            </w:r>
            <w:r>
              <w:rPr>
                <w:rFonts w:cs="宋体"/>
                <w:sz w:val="24"/>
                <w:szCs w:val="24"/>
              </w:rPr>
              <w:fldChar w:fldCharType="separate"/>
            </w:r>
            <w:r>
              <w:rPr>
                <w:rFonts w:hint="eastAsia" w:cs="宋体"/>
                <w:sz w:val="24"/>
                <w:szCs w:val="24"/>
              </w:rPr>
              <w:t>⑤</w:t>
            </w:r>
            <w:r>
              <w:rPr>
                <w:rFonts w:cs="宋体"/>
                <w:sz w:val="24"/>
                <w:szCs w:val="24"/>
              </w:rPr>
              <w:fldChar w:fldCharType="end"/>
            </w:r>
            <w:r>
              <w:rPr>
                <w:rFonts w:cs="宋体"/>
                <w:sz w:val="24"/>
                <w:szCs w:val="24"/>
              </w:rPr>
              <w:t>对生产车间内</w:t>
            </w:r>
            <w:r>
              <w:rPr>
                <w:rFonts w:hint="eastAsia" w:cs="宋体"/>
                <w:sz w:val="24"/>
                <w:szCs w:val="24"/>
              </w:rPr>
              <w:t>生产</w:t>
            </w:r>
            <w:r>
              <w:rPr>
                <w:rFonts w:cs="宋体"/>
                <w:sz w:val="24"/>
                <w:szCs w:val="24"/>
              </w:rPr>
              <w:t>设备</w:t>
            </w:r>
            <w:r>
              <w:rPr>
                <w:rFonts w:hint="eastAsia" w:cs="宋体"/>
                <w:sz w:val="24"/>
                <w:szCs w:val="24"/>
              </w:rPr>
              <w:t>及环保设施</w:t>
            </w:r>
            <w:r>
              <w:rPr>
                <w:rFonts w:cs="宋体"/>
                <w:sz w:val="24"/>
                <w:szCs w:val="24"/>
              </w:rPr>
              <w:t>进行合理布局</w:t>
            </w:r>
            <w:r>
              <w:rPr>
                <w:rFonts w:hint="eastAsia" w:cs="宋体"/>
                <w:sz w:val="24"/>
                <w:szCs w:val="24"/>
              </w:rPr>
              <w:t>，减少对周围环境的影响。</w:t>
            </w:r>
          </w:p>
          <w:p>
            <w:pPr>
              <w:adjustRightInd w:val="0"/>
              <w:snapToGrid w:val="0"/>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6 \* GB3</w:instrText>
            </w:r>
            <w:r>
              <w:rPr>
                <w:rFonts w:cs="宋体"/>
                <w:sz w:val="24"/>
                <w:szCs w:val="24"/>
              </w:rPr>
              <w:fldChar w:fldCharType="separate"/>
            </w:r>
            <w:r>
              <w:rPr>
                <w:rFonts w:hint="eastAsia" w:cs="宋体"/>
                <w:sz w:val="24"/>
                <w:szCs w:val="24"/>
              </w:rPr>
              <w:t>⑥</w:t>
            </w:r>
            <w:r>
              <w:rPr>
                <w:rFonts w:cs="宋体"/>
                <w:sz w:val="24"/>
                <w:szCs w:val="24"/>
              </w:rPr>
              <w:fldChar w:fldCharType="end"/>
            </w:r>
            <w:r>
              <w:rPr>
                <w:rFonts w:hint="eastAsia" w:cs="宋体"/>
                <w:sz w:val="24"/>
                <w:szCs w:val="24"/>
              </w:rPr>
              <w:t>合理安排项目生产时间，禁止夜间生产。</w:t>
            </w:r>
          </w:p>
          <w:p>
            <w:pPr>
              <w:adjustRightInd w:val="0"/>
              <w:snapToGrid w:val="0"/>
              <w:spacing w:line="360" w:lineRule="auto"/>
              <w:jc w:val="left"/>
              <w:rPr>
                <w:rFonts w:cs="宋体"/>
                <w:b/>
                <w:sz w:val="24"/>
                <w:szCs w:val="24"/>
              </w:rPr>
            </w:pPr>
            <w:r>
              <w:rPr>
                <w:rFonts w:hint="eastAsia" w:cs="宋体"/>
                <w:b/>
                <w:sz w:val="24"/>
                <w:szCs w:val="24"/>
              </w:rPr>
              <w:t>（3）噪声监测</w:t>
            </w:r>
          </w:p>
          <w:p>
            <w:pPr>
              <w:adjustRightInd w:val="0"/>
              <w:snapToGrid w:val="0"/>
              <w:spacing w:line="360" w:lineRule="auto"/>
              <w:ind w:firstLine="480" w:firstLineChars="200"/>
              <w:rPr>
                <w:sz w:val="24"/>
                <w:szCs w:val="24"/>
              </w:rPr>
            </w:pPr>
            <w:r>
              <w:rPr>
                <w:rFonts w:hint="eastAsia" w:cs="宋体"/>
                <w:sz w:val="24"/>
                <w:szCs w:val="24"/>
              </w:rPr>
              <w:t>根据本项目运营期的环境污染特点，按照</w:t>
            </w:r>
            <w:r>
              <w:rPr>
                <w:sz w:val="24"/>
              </w:rPr>
              <w:t>《排污单位自行监测技术指南 总则》（HJ819-2017）</w:t>
            </w:r>
            <w:r>
              <w:rPr>
                <w:rFonts w:hint="eastAsia"/>
                <w:sz w:val="24"/>
              </w:rPr>
              <w:t>及参照《排污单位自行监测技术指南 橡胶和塑料制品》（HJ1207—2021）</w:t>
            </w:r>
            <w:r>
              <w:rPr>
                <w:rFonts w:hint="eastAsia" w:cs="宋体"/>
                <w:kern w:val="0"/>
                <w:sz w:val="24"/>
                <w:szCs w:val="24"/>
              </w:rPr>
              <w:t>中的相关规定</w:t>
            </w:r>
            <w:r>
              <w:rPr>
                <w:rFonts w:hint="eastAsia" w:cs="宋体"/>
                <w:sz w:val="24"/>
                <w:szCs w:val="24"/>
              </w:rPr>
              <w:t>，制定本项目运营期噪声监测计划下表。</w:t>
            </w:r>
          </w:p>
          <w:p>
            <w:pPr>
              <w:adjustRightInd w:val="0"/>
              <w:snapToGrid w:val="0"/>
              <w:spacing w:line="360" w:lineRule="auto"/>
              <w:jc w:val="center"/>
              <w:rPr>
                <w:b/>
                <w:bCs/>
                <w:szCs w:val="24"/>
              </w:rPr>
            </w:pPr>
            <w:r>
              <w:rPr>
                <w:rFonts w:hint="eastAsia" w:cs="宋体"/>
                <w:b/>
                <w:bCs/>
                <w:szCs w:val="24"/>
              </w:rPr>
              <w:t>表</w:t>
            </w:r>
            <w:r>
              <w:rPr>
                <w:b/>
                <w:bCs/>
                <w:szCs w:val="24"/>
              </w:rPr>
              <w:t>4-</w:t>
            </w:r>
            <w:r>
              <w:rPr>
                <w:rFonts w:hint="eastAsia"/>
                <w:b/>
                <w:bCs/>
                <w:szCs w:val="24"/>
              </w:rPr>
              <w:t xml:space="preserve">12 </w:t>
            </w:r>
            <w:r>
              <w:rPr>
                <w:rFonts w:hint="eastAsia" w:cs="宋体"/>
                <w:b/>
                <w:bCs/>
                <w:szCs w:val="24"/>
              </w:rPr>
              <w:t>运营期噪声环境监测计划</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814"/>
              <w:gridCol w:w="1782"/>
              <w:gridCol w:w="975"/>
              <w:gridCol w:w="971"/>
              <w:gridCol w:w="3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污染源名称</w:t>
                  </w:r>
                </w:p>
              </w:tc>
              <w:tc>
                <w:tcPr>
                  <w:tcW w:w="4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监测项目</w:t>
                  </w:r>
                </w:p>
              </w:tc>
              <w:tc>
                <w:tcPr>
                  <w:tcW w:w="100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监测点位置</w:t>
                  </w:r>
                </w:p>
              </w:tc>
              <w:tc>
                <w:tcPr>
                  <w:tcW w:w="55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w:t>
                  </w:r>
                </w:p>
                <w:p>
                  <w:pPr>
                    <w:adjustRightInd w:val="0"/>
                    <w:snapToGrid w:val="0"/>
                    <w:jc w:val="center"/>
                  </w:pPr>
                  <w:r>
                    <w:rPr>
                      <w:rFonts w:hint="eastAsia" w:cs="宋体"/>
                    </w:rPr>
                    <w:t>点数</w:t>
                  </w:r>
                </w:p>
              </w:tc>
              <w:tc>
                <w:tcPr>
                  <w:tcW w:w="55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监测</w:t>
                  </w:r>
                </w:p>
                <w:p>
                  <w:pPr>
                    <w:adjustRightInd w:val="0"/>
                    <w:snapToGrid w:val="0"/>
                    <w:jc w:val="center"/>
                  </w:pPr>
                  <w:r>
                    <w:rPr>
                      <w:rFonts w:hint="eastAsia" w:cs="宋体"/>
                    </w:rPr>
                    <w:t>频率</w:t>
                  </w:r>
                </w:p>
              </w:tc>
              <w:tc>
                <w:tcPr>
                  <w:tcW w:w="18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6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生产设备</w:t>
                  </w:r>
                </w:p>
              </w:tc>
              <w:tc>
                <w:tcPr>
                  <w:tcW w:w="461"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厂界噪声</w:t>
                  </w:r>
                </w:p>
              </w:tc>
              <w:tc>
                <w:tcPr>
                  <w:tcW w:w="100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厂界四周外</w:t>
                  </w:r>
                  <w:r>
                    <w:t>1m</w:t>
                  </w:r>
                </w:p>
              </w:tc>
              <w:tc>
                <w:tcPr>
                  <w:tcW w:w="55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4</w:t>
                  </w:r>
                  <w:r>
                    <w:rPr>
                      <w:rFonts w:hint="eastAsia" w:cs="宋体"/>
                    </w:rPr>
                    <w:t>个点</w:t>
                  </w:r>
                </w:p>
              </w:tc>
              <w:tc>
                <w:tcPr>
                  <w:tcW w:w="55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1</w:t>
                  </w:r>
                  <w:r>
                    <w:rPr>
                      <w:rFonts w:hint="eastAsia" w:cs="宋体"/>
                    </w:rPr>
                    <w:t>次</w:t>
                  </w:r>
                  <w:r>
                    <w:t>/</w:t>
                  </w:r>
                  <w:r>
                    <w:rPr>
                      <w:rFonts w:hint="eastAsia" w:cs="宋体"/>
                    </w:rPr>
                    <w:t>季度</w:t>
                  </w:r>
                </w:p>
              </w:tc>
              <w:tc>
                <w:tcPr>
                  <w:tcW w:w="186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《工业企业厂界环境噪声排放标准》（</w:t>
                  </w:r>
                  <w:r>
                    <w:t>GB12348-2008</w:t>
                  </w:r>
                  <w:r>
                    <w:rPr>
                      <w:rFonts w:hint="eastAsia" w:cs="宋体"/>
                    </w:rPr>
                    <w:t>）</w:t>
                  </w:r>
                </w:p>
                <w:p>
                  <w:pPr>
                    <w:adjustRightInd w:val="0"/>
                    <w:snapToGrid w:val="0"/>
                    <w:jc w:val="center"/>
                  </w:pPr>
                  <w:r>
                    <w:rPr>
                      <w:rFonts w:hint="eastAsia"/>
                    </w:rPr>
                    <w:t>3</w:t>
                  </w:r>
                  <w:r>
                    <w:rPr>
                      <w:rFonts w:hint="eastAsia" w:cs="宋体"/>
                    </w:rPr>
                    <w:t>类区标准限值</w:t>
                  </w:r>
                </w:p>
              </w:tc>
            </w:tr>
          </w:tbl>
          <w:p>
            <w:pPr>
              <w:adjustRightInd w:val="0"/>
              <w:snapToGrid w:val="0"/>
              <w:spacing w:line="360" w:lineRule="auto"/>
              <w:jc w:val="left"/>
              <w:rPr>
                <w:b/>
                <w:bCs/>
                <w:sz w:val="24"/>
                <w:szCs w:val="24"/>
              </w:rPr>
            </w:pPr>
            <w:r>
              <w:rPr>
                <w:rFonts w:hint="eastAsia"/>
                <w:b/>
                <w:bCs/>
                <w:sz w:val="24"/>
                <w:szCs w:val="24"/>
              </w:rPr>
              <w:t>4、</w:t>
            </w:r>
            <w:r>
              <w:rPr>
                <w:rFonts w:hint="eastAsia" w:cs="宋体"/>
                <w:b/>
                <w:bCs/>
                <w:sz w:val="24"/>
                <w:szCs w:val="24"/>
              </w:rPr>
              <w:t>固体废物</w:t>
            </w:r>
          </w:p>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w:t>
            </w:r>
            <w:r>
              <w:rPr>
                <w:b/>
                <w:bCs/>
                <w:sz w:val="24"/>
                <w:szCs w:val="24"/>
              </w:rPr>
              <w:t>1</w:t>
            </w:r>
            <w:r>
              <w:rPr>
                <w:rFonts w:hint="eastAsia"/>
                <w:b/>
                <w:bCs/>
                <w:sz w:val="24"/>
                <w:szCs w:val="24"/>
              </w:rPr>
              <w:t>）固废产生情况</w:t>
            </w:r>
          </w:p>
          <w:p>
            <w:pPr>
              <w:tabs>
                <w:tab w:val="left" w:pos="624"/>
              </w:tabs>
              <w:spacing w:line="360" w:lineRule="auto"/>
              <w:ind w:firstLine="480" w:firstLineChars="200"/>
              <w:rPr>
                <w:rFonts w:cs="宋体"/>
                <w:sz w:val="24"/>
                <w:szCs w:val="24"/>
              </w:rPr>
            </w:pPr>
            <w:r>
              <w:rPr>
                <w:rFonts w:cs="宋体"/>
                <w:sz w:val="24"/>
                <w:szCs w:val="24"/>
              </w:rPr>
              <w:t>本项目运营期固体废物</w:t>
            </w:r>
            <w:r>
              <w:rPr>
                <w:rFonts w:hint="eastAsia" w:cs="宋体"/>
                <w:sz w:val="24"/>
                <w:szCs w:val="24"/>
              </w:rPr>
              <w:t>包括生产固废和生活固废。生活固废主要为生活垃圾；生产固废主要包括一般固废和危险固废，一般固废包括废聚酯膜、废边角料、废油脂、除尘器收尘；危险固废包括废润滑油、废包装桶及废活性炭等。</w:t>
            </w:r>
          </w:p>
          <w:p>
            <w:pPr>
              <w:tabs>
                <w:tab w:val="left" w:pos="624"/>
              </w:tabs>
              <w:spacing w:line="360" w:lineRule="auto"/>
              <w:ind w:firstLine="480" w:firstLineChars="200"/>
              <w:rPr>
                <w:rFonts w:cs="宋体"/>
                <w:sz w:val="24"/>
                <w:szCs w:val="24"/>
              </w:rPr>
            </w:pPr>
            <w:r>
              <w:rPr>
                <w:rFonts w:hint="eastAsia" w:cs="宋体"/>
                <w:sz w:val="24"/>
                <w:szCs w:val="24"/>
              </w:rPr>
              <w:t>①废包装桶</w:t>
            </w:r>
          </w:p>
          <w:p>
            <w:pPr>
              <w:tabs>
                <w:tab w:val="left" w:pos="624"/>
              </w:tabs>
              <w:spacing w:line="360" w:lineRule="auto"/>
              <w:ind w:firstLine="480" w:firstLineChars="200"/>
              <w:rPr>
                <w:rFonts w:cs="宋体"/>
                <w:sz w:val="24"/>
                <w:szCs w:val="24"/>
              </w:rPr>
            </w:pPr>
            <w:r>
              <w:rPr>
                <w:rFonts w:hint="eastAsia" w:cs="宋体"/>
                <w:sz w:val="24"/>
                <w:szCs w:val="24"/>
              </w:rPr>
              <w:t>项目原料不饱和聚酯树脂、固化剂和促进剂会产生废包装桶。根据《国家危险废物名录》，属于危险废物（HW49）废物代码为 900-041-49。根据建设单位提供的包装规格，废包装桶产生量约1.12</w:t>
            </w:r>
            <w:r>
              <w:rPr>
                <w:rFonts w:cs="宋体"/>
                <w:sz w:val="24"/>
                <w:szCs w:val="24"/>
              </w:rPr>
              <w:t>t/a</w:t>
            </w:r>
            <w:r>
              <w:rPr>
                <w:rFonts w:hint="eastAsia" w:cs="宋体"/>
                <w:sz w:val="24"/>
                <w:szCs w:val="24"/>
              </w:rPr>
              <w:t>，集中收集后暂存于危废暂存间，定期交由有资质单位处置。</w:t>
            </w:r>
          </w:p>
          <w:p>
            <w:pPr>
              <w:tabs>
                <w:tab w:val="left" w:pos="624"/>
              </w:tabs>
              <w:spacing w:line="360" w:lineRule="auto"/>
              <w:ind w:firstLine="480" w:firstLineChars="200"/>
              <w:rPr>
                <w:sz w:val="24"/>
                <w:szCs w:val="24"/>
              </w:rPr>
            </w:pPr>
            <w:r>
              <w:rPr>
                <w:sz w:val="24"/>
                <w:szCs w:val="24"/>
              </w:rPr>
              <w:fldChar w:fldCharType="begin"/>
            </w:r>
            <w:r>
              <w:rPr>
                <w:rFonts w:hint="eastAsia"/>
                <w:sz w:val="24"/>
                <w:szCs w:val="24"/>
              </w:rPr>
              <w:instrText xml:space="preserve">= 2 \* GB3</w:instrText>
            </w:r>
            <w:r>
              <w:rPr>
                <w:sz w:val="24"/>
                <w:szCs w:val="24"/>
              </w:rPr>
              <w:fldChar w:fldCharType="separate"/>
            </w:r>
            <w:r>
              <w:rPr>
                <w:rFonts w:hint="eastAsia"/>
                <w:sz w:val="24"/>
                <w:szCs w:val="24"/>
              </w:rPr>
              <w:t>②</w:t>
            </w:r>
            <w:r>
              <w:rPr>
                <w:sz w:val="24"/>
                <w:szCs w:val="24"/>
              </w:rPr>
              <w:fldChar w:fldCharType="end"/>
            </w:r>
            <w:r>
              <w:rPr>
                <w:rFonts w:hint="eastAsia" w:cs="宋体"/>
                <w:sz w:val="24"/>
                <w:szCs w:val="24"/>
              </w:rPr>
              <w:t>废聚酯膜</w:t>
            </w:r>
          </w:p>
          <w:p>
            <w:pPr>
              <w:tabs>
                <w:tab w:val="left" w:pos="624"/>
              </w:tabs>
              <w:spacing w:line="360" w:lineRule="auto"/>
              <w:ind w:firstLine="480" w:firstLineChars="200"/>
              <w:rPr>
                <w:rFonts w:cs="宋体"/>
                <w:sz w:val="24"/>
                <w:szCs w:val="24"/>
              </w:rPr>
            </w:pPr>
            <w:r>
              <w:rPr>
                <w:rFonts w:hint="eastAsia" w:cs="宋体"/>
                <w:sz w:val="24"/>
                <w:szCs w:val="24"/>
              </w:rPr>
              <w:t>项目在脱模具过程中会产生废聚酯膜，根据建设单位提供资料，废聚酯膜产生量为0.5t/a。集中收集后，定期外售综合利用。</w:t>
            </w:r>
          </w:p>
          <w:p>
            <w:pPr>
              <w:tabs>
                <w:tab w:val="left" w:pos="624"/>
              </w:tabs>
              <w:spacing w:line="360" w:lineRule="auto"/>
              <w:ind w:firstLine="480" w:firstLineChars="200"/>
              <w:rPr>
                <w:rFonts w:cs="宋体"/>
                <w:sz w:val="24"/>
                <w:szCs w:val="24"/>
              </w:rPr>
            </w:pPr>
            <w:r>
              <w:rPr>
                <w:sz w:val="24"/>
                <w:szCs w:val="24"/>
              </w:rPr>
              <w:fldChar w:fldCharType="begin"/>
            </w:r>
            <w:r>
              <w:rPr>
                <w:rFonts w:hint="eastAsia"/>
                <w:sz w:val="24"/>
                <w:szCs w:val="24"/>
              </w:rPr>
              <w:instrText xml:space="preserve">= 3 \* GB3</w:instrText>
            </w:r>
            <w:r>
              <w:rPr>
                <w:sz w:val="24"/>
                <w:szCs w:val="24"/>
              </w:rPr>
              <w:fldChar w:fldCharType="separate"/>
            </w:r>
            <w:r>
              <w:rPr>
                <w:rFonts w:hint="eastAsia"/>
                <w:sz w:val="24"/>
                <w:szCs w:val="24"/>
              </w:rPr>
              <w:t>③</w:t>
            </w:r>
            <w:r>
              <w:rPr>
                <w:sz w:val="24"/>
                <w:szCs w:val="24"/>
              </w:rPr>
              <w:fldChar w:fldCharType="end"/>
            </w:r>
            <w:r>
              <w:rPr>
                <w:rFonts w:hint="eastAsia" w:cs="宋体"/>
                <w:sz w:val="24"/>
                <w:szCs w:val="24"/>
              </w:rPr>
              <w:t>废边角料</w:t>
            </w:r>
          </w:p>
          <w:p>
            <w:pPr>
              <w:tabs>
                <w:tab w:val="left" w:pos="624"/>
              </w:tabs>
              <w:spacing w:line="360" w:lineRule="auto"/>
              <w:ind w:firstLine="480" w:firstLineChars="200"/>
              <w:rPr>
                <w:rFonts w:cs="宋体"/>
                <w:sz w:val="24"/>
                <w:szCs w:val="24"/>
              </w:rPr>
            </w:pPr>
            <w:r>
              <w:rPr>
                <w:rFonts w:hint="eastAsia" w:cs="宋体"/>
                <w:sz w:val="24"/>
                <w:szCs w:val="24"/>
              </w:rPr>
              <w:t>项目在修整过程中会产生边角料，根据建设单位提供资料，废边角料产生量约10.21t/a。集中收集后，定期外售综合利用。</w:t>
            </w:r>
          </w:p>
          <w:p>
            <w:pPr>
              <w:tabs>
                <w:tab w:val="left" w:pos="624"/>
              </w:tabs>
              <w:spacing w:line="360" w:lineRule="auto"/>
              <w:ind w:firstLine="480" w:firstLineChars="200"/>
              <w:rPr>
                <w:sz w:val="24"/>
                <w:szCs w:val="24"/>
              </w:rPr>
            </w:pPr>
            <w:r>
              <w:rPr>
                <w:sz w:val="24"/>
                <w:szCs w:val="24"/>
              </w:rPr>
              <w:fldChar w:fldCharType="begin"/>
            </w:r>
            <w:r>
              <w:rPr>
                <w:rFonts w:hint="eastAsia"/>
                <w:sz w:val="24"/>
                <w:szCs w:val="24"/>
              </w:rPr>
              <w:instrText xml:space="preserve">= 4 \* GB3</w:instrText>
            </w:r>
            <w:r>
              <w:rPr>
                <w:sz w:val="24"/>
                <w:szCs w:val="24"/>
              </w:rPr>
              <w:fldChar w:fldCharType="separate"/>
            </w:r>
            <w:r>
              <w:rPr>
                <w:rFonts w:hint="eastAsia"/>
                <w:sz w:val="24"/>
                <w:szCs w:val="24"/>
              </w:rPr>
              <w:t>④</w:t>
            </w:r>
            <w:r>
              <w:rPr>
                <w:sz w:val="24"/>
                <w:szCs w:val="24"/>
              </w:rPr>
              <w:fldChar w:fldCharType="end"/>
            </w:r>
            <w:r>
              <w:rPr>
                <w:rFonts w:hint="eastAsia" w:cs="宋体"/>
                <w:sz w:val="24"/>
                <w:szCs w:val="24"/>
              </w:rPr>
              <w:t>废润滑油</w:t>
            </w:r>
          </w:p>
          <w:p>
            <w:pPr>
              <w:tabs>
                <w:tab w:val="left" w:pos="624"/>
              </w:tabs>
              <w:spacing w:line="360" w:lineRule="auto"/>
              <w:ind w:firstLine="480" w:firstLineChars="200"/>
              <w:rPr>
                <w:rFonts w:cs="宋体"/>
                <w:sz w:val="24"/>
                <w:szCs w:val="24"/>
              </w:rPr>
            </w:pPr>
            <w:r>
              <w:rPr>
                <w:rFonts w:hint="eastAsia" w:cs="宋体"/>
                <w:sz w:val="24"/>
                <w:szCs w:val="24"/>
              </w:rPr>
              <w:t>项目设备维修保养过程中会产生少量废润滑油，产生量约</w:t>
            </w:r>
            <w:r>
              <w:rPr>
                <w:rFonts w:hint="eastAsia"/>
                <w:sz w:val="24"/>
                <w:szCs w:val="24"/>
              </w:rPr>
              <w:t>0.05</w:t>
            </w:r>
            <w:r>
              <w:rPr>
                <w:sz w:val="24"/>
                <w:szCs w:val="24"/>
              </w:rPr>
              <w:t>t/a</w:t>
            </w:r>
            <w:r>
              <w:rPr>
                <w:rFonts w:hint="eastAsia" w:cs="宋体"/>
                <w:sz w:val="24"/>
                <w:szCs w:val="24"/>
              </w:rPr>
              <w:t>。对照《国家危险废物名录》（</w:t>
            </w:r>
            <w:r>
              <w:rPr>
                <w:sz w:val="24"/>
                <w:szCs w:val="24"/>
              </w:rPr>
              <w:t>2021</w:t>
            </w:r>
            <w:r>
              <w:rPr>
                <w:rFonts w:hint="eastAsia" w:cs="宋体"/>
                <w:sz w:val="24"/>
                <w:szCs w:val="24"/>
              </w:rPr>
              <w:t>版），废润滑油属于危险废物（</w:t>
            </w:r>
            <w:r>
              <w:rPr>
                <w:sz w:val="24"/>
                <w:szCs w:val="24"/>
              </w:rPr>
              <w:t>HW08</w:t>
            </w:r>
            <w:r>
              <w:rPr>
                <w:rFonts w:hint="eastAsia" w:cs="宋体"/>
                <w:sz w:val="24"/>
                <w:szCs w:val="24"/>
              </w:rPr>
              <w:t>，危废代码</w:t>
            </w:r>
            <w:r>
              <w:rPr>
                <w:sz w:val="24"/>
                <w:szCs w:val="24"/>
              </w:rPr>
              <w:t>900-214-08</w:t>
            </w:r>
            <w:r>
              <w:rPr>
                <w:rFonts w:hint="eastAsia" w:cs="宋体"/>
                <w:sz w:val="24"/>
                <w:szCs w:val="24"/>
              </w:rPr>
              <w:t>）。危险废物集中收集，暂存于危废暂存间，定期交由有资质单位处置。</w:t>
            </w:r>
          </w:p>
          <w:p>
            <w:pPr>
              <w:tabs>
                <w:tab w:val="left" w:pos="624"/>
              </w:tabs>
              <w:spacing w:line="360" w:lineRule="auto"/>
              <w:ind w:firstLine="480" w:firstLineChars="200"/>
              <w:rPr>
                <w:sz w:val="24"/>
                <w:szCs w:val="24"/>
              </w:rPr>
            </w:pPr>
            <w:r>
              <w:rPr>
                <w:sz w:val="24"/>
                <w:szCs w:val="24"/>
              </w:rPr>
              <w:fldChar w:fldCharType="begin"/>
            </w:r>
            <w:r>
              <w:rPr>
                <w:rFonts w:hint="eastAsia"/>
                <w:sz w:val="24"/>
                <w:szCs w:val="24"/>
              </w:rPr>
              <w:instrText xml:space="preserve">= 5 \* GB3</w:instrText>
            </w:r>
            <w:r>
              <w:rPr>
                <w:sz w:val="24"/>
                <w:szCs w:val="24"/>
              </w:rPr>
              <w:fldChar w:fldCharType="separate"/>
            </w:r>
            <w:r>
              <w:rPr>
                <w:rFonts w:hint="eastAsia"/>
                <w:sz w:val="24"/>
                <w:szCs w:val="24"/>
              </w:rPr>
              <w:t>⑤</w:t>
            </w:r>
            <w:r>
              <w:rPr>
                <w:sz w:val="24"/>
                <w:szCs w:val="24"/>
              </w:rPr>
              <w:fldChar w:fldCharType="end"/>
            </w:r>
            <w:r>
              <w:rPr>
                <w:rFonts w:hint="eastAsia"/>
                <w:sz w:val="24"/>
                <w:szCs w:val="24"/>
              </w:rPr>
              <w:t>除尘器收尘</w:t>
            </w:r>
          </w:p>
          <w:p>
            <w:pPr>
              <w:tabs>
                <w:tab w:val="left" w:pos="624"/>
              </w:tabs>
              <w:spacing w:line="360" w:lineRule="auto"/>
              <w:ind w:firstLine="480" w:firstLineChars="200"/>
              <w:rPr>
                <w:rFonts w:cs="宋体"/>
                <w:sz w:val="24"/>
                <w:szCs w:val="24"/>
              </w:rPr>
            </w:pPr>
            <w:r>
              <w:rPr>
                <w:rFonts w:hint="eastAsia" w:cs="宋体"/>
                <w:sz w:val="24"/>
                <w:szCs w:val="24"/>
              </w:rPr>
              <w:t>项目在打磨修整过程采用布袋除尘器和滤筒除尘器处理，除尘器收集的粉尘产生量约 3.31t/a。集中收集后，定期外售综合利用。</w:t>
            </w:r>
          </w:p>
          <w:p>
            <w:pPr>
              <w:tabs>
                <w:tab w:val="left" w:pos="624"/>
              </w:tabs>
              <w:spacing w:line="360" w:lineRule="auto"/>
              <w:ind w:firstLine="480" w:firstLineChars="200"/>
              <w:rPr>
                <w:sz w:val="24"/>
                <w:szCs w:val="24"/>
              </w:rPr>
            </w:pPr>
            <w:r>
              <w:rPr>
                <w:rFonts w:cs="宋体"/>
                <w:sz w:val="24"/>
                <w:szCs w:val="24"/>
              </w:rPr>
              <w:fldChar w:fldCharType="begin"/>
            </w:r>
            <w:r>
              <w:rPr>
                <w:rFonts w:hint="eastAsia" w:cs="宋体"/>
                <w:sz w:val="24"/>
                <w:szCs w:val="24"/>
              </w:rPr>
              <w:instrText xml:space="preserve">= 6 \* GB3</w:instrText>
            </w:r>
            <w:r>
              <w:rPr>
                <w:rFonts w:cs="宋体"/>
                <w:sz w:val="24"/>
                <w:szCs w:val="24"/>
              </w:rPr>
              <w:fldChar w:fldCharType="separate"/>
            </w:r>
            <w:r>
              <w:rPr>
                <w:rFonts w:hint="eastAsia" w:cs="宋体"/>
                <w:sz w:val="24"/>
                <w:szCs w:val="24"/>
              </w:rPr>
              <w:t>⑥</w:t>
            </w:r>
            <w:r>
              <w:rPr>
                <w:rFonts w:cs="宋体"/>
                <w:sz w:val="24"/>
                <w:szCs w:val="24"/>
              </w:rPr>
              <w:fldChar w:fldCharType="end"/>
            </w:r>
            <w:r>
              <w:rPr>
                <w:rFonts w:hint="eastAsia" w:cs="宋体"/>
                <w:sz w:val="24"/>
                <w:szCs w:val="24"/>
              </w:rPr>
              <w:t>废活性炭</w:t>
            </w:r>
          </w:p>
          <w:p>
            <w:pPr>
              <w:tabs>
                <w:tab w:val="left" w:pos="624"/>
              </w:tabs>
              <w:spacing w:line="360" w:lineRule="auto"/>
              <w:ind w:firstLine="480" w:firstLineChars="200"/>
              <w:rPr>
                <w:rFonts w:cs="宋体"/>
                <w:sz w:val="24"/>
                <w:szCs w:val="24"/>
              </w:rPr>
            </w:pPr>
            <w:r>
              <w:rPr>
                <w:rFonts w:hint="eastAsia" w:cs="宋体"/>
                <w:sz w:val="24"/>
                <w:szCs w:val="24"/>
              </w:rPr>
              <w:t>本项目生产过程产生的有机废气采用“活性炭吸附/脱附浓缩+催化燃烧装置（RCO）”处理，活性炭吸附、脱附一定程度时会产生废活性炭。活性炭脱附周期根据运行时间自动脱附再生重复利用。在实际运行中，随着脱附次数的增加，VOC在活性炭上因化学吸附作用残留的物质积累得越来越多，活性炭吸附容量会有一定衰减，为确保脱附效率，需在一定脱附周期后更换。参照《活性炭热氮气循环脱附涂装 VOC及其再生特性研究》，活性炭脱附最佳再生次数为10次。评价取活性炭头再生10 次后更换新的活性炭。</w:t>
            </w:r>
          </w:p>
          <w:p>
            <w:pPr>
              <w:tabs>
                <w:tab w:val="left" w:pos="624"/>
              </w:tabs>
              <w:spacing w:line="360" w:lineRule="auto"/>
              <w:ind w:firstLine="480" w:firstLineChars="200"/>
              <w:rPr>
                <w:rFonts w:cs="宋体"/>
                <w:sz w:val="24"/>
                <w:szCs w:val="24"/>
              </w:rPr>
            </w:pPr>
            <w:r>
              <w:rPr>
                <w:rFonts w:hint="eastAsia" w:cs="宋体"/>
                <w:sz w:val="24"/>
                <w:szCs w:val="24"/>
              </w:rPr>
              <w:t>参照江苏省生态环境厅《关于将排污单位活性炭使用更换纳入排污许可管理的通知》（苏环办〔2021〕218号），活性炭动态吸附量取S=0.1kg/kg，废气处理系统活性炭总填充量为1.5m</w:t>
            </w:r>
            <w:r>
              <w:rPr>
                <w:rFonts w:hint="eastAsia" w:cs="宋体"/>
                <w:sz w:val="24"/>
                <w:szCs w:val="24"/>
                <w:vertAlign w:val="superscript"/>
              </w:rPr>
              <w:t>3</w:t>
            </w:r>
            <w:r>
              <w:rPr>
                <w:rFonts w:hint="eastAsia" w:cs="宋体"/>
                <w:sz w:val="24"/>
                <w:szCs w:val="24"/>
              </w:rPr>
              <w:t>（约0.9t），则吸附0.9tVOC时活性炭需要催化燃烧再生，以再生10次后更换活性炭计算，可吸附VOC9t。根据废气处理排放计算得项目废气中每年约3.85t/a 的VOC被活性炭吸附，活性炭更换周期为2.3年，即2.3年需更換活性炭9t/a，換算每年产生的废活性炭约为3.85t/a。对照《国家危险废物名录》（</w:t>
            </w:r>
            <w:r>
              <w:rPr>
                <w:sz w:val="24"/>
                <w:szCs w:val="24"/>
              </w:rPr>
              <w:t>2021</w:t>
            </w:r>
            <w:r>
              <w:rPr>
                <w:rFonts w:hint="eastAsia" w:cs="宋体"/>
                <w:sz w:val="24"/>
                <w:szCs w:val="24"/>
              </w:rPr>
              <w:t>版），废活性炭属于危险废物（</w:t>
            </w:r>
            <w:r>
              <w:rPr>
                <w:sz w:val="24"/>
                <w:szCs w:val="24"/>
              </w:rPr>
              <w:t>HW49</w:t>
            </w:r>
            <w:r>
              <w:rPr>
                <w:rFonts w:hint="eastAsia" w:cs="宋体"/>
                <w:sz w:val="24"/>
                <w:szCs w:val="24"/>
              </w:rPr>
              <w:t>，危废代码</w:t>
            </w:r>
            <w:r>
              <w:rPr>
                <w:sz w:val="24"/>
                <w:szCs w:val="24"/>
              </w:rPr>
              <w:t>900-039-49</w:t>
            </w:r>
            <w:r>
              <w:rPr>
                <w:rFonts w:hint="eastAsia" w:cs="宋体"/>
                <w:sz w:val="24"/>
                <w:szCs w:val="24"/>
              </w:rPr>
              <w:t>）。危险废物集中收集，分类暂存于危废暂存间内，定期交由有资质的单位进行处置。</w:t>
            </w:r>
          </w:p>
          <w:p>
            <w:pPr>
              <w:tabs>
                <w:tab w:val="left" w:pos="624"/>
              </w:tabs>
              <w:spacing w:line="360" w:lineRule="auto"/>
              <w:ind w:firstLine="480" w:firstLineChars="200"/>
              <w:rPr>
                <w:rFonts w:cs="宋体"/>
                <w:sz w:val="24"/>
                <w:szCs w:val="24"/>
              </w:rPr>
            </w:pPr>
            <w:r>
              <w:rPr>
                <w:rFonts w:cs="宋体"/>
                <w:sz w:val="24"/>
                <w:szCs w:val="24"/>
              </w:rPr>
              <w:fldChar w:fldCharType="begin"/>
            </w:r>
            <w:r>
              <w:rPr>
                <w:rFonts w:hint="eastAsia" w:cs="宋体"/>
                <w:sz w:val="24"/>
                <w:szCs w:val="24"/>
              </w:rPr>
              <w:instrText xml:space="preserve">= 7 \* GB3</w:instrText>
            </w:r>
            <w:r>
              <w:rPr>
                <w:rFonts w:cs="宋体"/>
                <w:sz w:val="24"/>
                <w:szCs w:val="24"/>
              </w:rPr>
              <w:fldChar w:fldCharType="separate"/>
            </w:r>
            <w:r>
              <w:rPr>
                <w:rFonts w:hint="eastAsia" w:cs="宋体"/>
                <w:sz w:val="24"/>
                <w:szCs w:val="24"/>
              </w:rPr>
              <w:t>⑦</w:t>
            </w:r>
            <w:r>
              <w:rPr>
                <w:rFonts w:cs="宋体"/>
                <w:sz w:val="24"/>
                <w:szCs w:val="24"/>
              </w:rPr>
              <w:fldChar w:fldCharType="end"/>
            </w:r>
            <w:r>
              <w:rPr>
                <w:rFonts w:hint="eastAsia" w:cs="宋体"/>
                <w:sz w:val="24"/>
                <w:szCs w:val="24"/>
              </w:rPr>
              <w:t>废催化剂</w:t>
            </w:r>
          </w:p>
          <w:p>
            <w:pPr>
              <w:tabs>
                <w:tab w:val="left" w:pos="624"/>
              </w:tabs>
              <w:spacing w:line="360" w:lineRule="auto"/>
              <w:ind w:firstLine="480" w:firstLineChars="200"/>
              <w:rPr>
                <w:rFonts w:cs="宋体"/>
                <w:sz w:val="24"/>
                <w:szCs w:val="24"/>
              </w:rPr>
            </w:pPr>
            <w:r>
              <w:rPr>
                <w:rFonts w:hint="eastAsia" w:cs="宋体"/>
                <w:sz w:val="24"/>
                <w:szCs w:val="24"/>
              </w:rPr>
              <w:t>本项目废气催化燃烧装置使用钯铂催化剂，催化剂失活后需要更换，根据企业提供的废气处理技术设计方案，每4年需对催化剂更换1次，废催化剂产生量约 0.05t/a。废催化剂未列入国家危险废物名录中，且定期由厂家更换回收，废催化剂不在厂内暂存。</w:t>
            </w:r>
          </w:p>
          <w:p>
            <w:pPr>
              <w:tabs>
                <w:tab w:val="left" w:pos="624"/>
              </w:tabs>
              <w:spacing w:line="360" w:lineRule="auto"/>
              <w:ind w:firstLine="480" w:firstLineChars="200"/>
              <w:rPr>
                <w:sz w:val="24"/>
                <w:szCs w:val="24"/>
              </w:rPr>
            </w:pPr>
            <w:r>
              <w:rPr>
                <w:rFonts w:cs="宋体"/>
                <w:sz w:val="24"/>
                <w:szCs w:val="24"/>
              </w:rPr>
              <w:fldChar w:fldCharType="begin"/>
            </w:r>
            <w:r>
              <w:rPr>
                <w:rFonts w:hint="eastAsia" w:cs="宋体"/>
                <w:sz w:val="24"/>
                <w:szCs w:val="24"/>
              </w:rPr>
              <w:instrText xml:space="preserve">= 8 \* GB3</w:instrText>
            </w:r>
            <w:r>
              <w:rPr>
                <w:rFonts w:cs="宋体"/>
                <w:sz w:val="24"/>
                <w:szCs w:val="24"/>
              </w:rPr>
              <w:fldChar w:fldCharType="separate"/>
            </w:r>
            <w:r>
              <w:rPr>
                <w:rFonts w:hint="eastAsia" w:cs="宋体"/>
                <w:sz w:val="24"/>
                <w:szCs w:val="24"/>
              </w:rPr>
              <w:t>⑧</w:t>
            </w:r>
            <w:r>
              <w:rPr>
                <w:rFonts w:cs="宋体"/>
                <w:sz w:val="24"/>
                <w:szCs w:val="24"/>
              </w:rPr>
              <w:fldChar w:fldCharType="end"/>
            </w:r>
            <w:r>
              <w:rPr>
                <w:rFonts w:hint="eastAsia" w:cs="宋体"/>
                <w:sz w:val="24"/>
                <w:szCs w:val="24"/>
              </w:rPr>
              <w:t>生活垃圾</w:t>
            </w:r>
          </w:p>
          <w:p>
            <w:pPr>
              <w:tabs>
                <w:tab w:val="left" w:pos="624"/>
              </w:tabs>
              <w:spacing w:line="360" w:lineRule="auto"/>
              <w:ind w:firstLine="480" w:firstLineChars="200"/>
              <w:rPr>
                <w:rFonts w:cs="宋体"/>
                <w:sz w:val="24"/>
                <w:szCs w:val="24"/>
              </w:rPr>
            </w:pPr>
            <w:r>
              <w:rPr>
                <w:rFonts w:hint="eastAsia" w:cs="宋体"/>
                <w:sz w:val="24"/>
                <w:szCs w:val="24"/>
              </w:rPr>
              <w:t>项目劳动定员</w:t>
            </w:r>
            <w:r>
              <w:rPr>
                <w:rFonts w:hint="eastAsia"/>
                <w:sz w:val="24"/>
                <w:szCs w:val="24"/>
              </w:rPr>
              <w:t>31</w:t>
            </w:r>
            <w:r>
              <w:rPr>
                <w:rFonts w:hint="eastAsia" w:cs="宋体"/>
                <w:sz w:val="24"/>
                <w:szCs w:val="24"/>
              </w:rPr>
              <w:t>人，</w:t>
            </w:r>
            <w:r>
              <w:rPr>
                <w:rFonts w:hint="eastAsia"/>
                <w:bCs/>
                <w:snapToGrid w:val="0"/>
                <w:kern w:val="0"/>
                <w:sz w:val="24"/>
              </w:rPr>
              <w:t>工作300d/a，</w:t>
            </w:r>
            <w:r>
              <w:rPr>
                <w:bCs/>
                <w:snapToGrid w:val="0"/>
                <w:kern w:val="0"/>
                <w:sz w:val="24"/>
              </w:rPr>
              <w:t>每人每天按0.5kg垃圾算，</w:t>
            </w:r>
            <w:r>
              <w:rPr>
                <w:rFonts w:hint="eastAsia"/>
                <w:bCs/>
                <w:snapToGrid w:val="0"/>
                <w:kern w:val="0"/>
                <w:sz w:val="24"/>
              </w:rPr>
              <w:t>则</w:t>
            </w:r>
            <w:r>
              <w:rPr>
                <w:bCs/>
                <w:snapToGrid w:val="0"/>
                <w:kern w:val="0"/>
                <w:sz w:val="24"/>
              </w:rPr>
              <w:t>垃圾</w:t>
            </w:r>
            <w:r>
              <w:rPr>
                <w:rFonts w:hint="eastAsia"/>
                <w:bCs/>
                <w:snapToGrid w:val="0"/>
                <w:kern w:val="0"/>
                <w:sz w:val="24"/>
              </w:rPr>
              <w:t>产生</w:t>
            </w:r>
            <w:r>
              <w:rPr>
                <w:bCs/>
                <w:snapToGrid w:val="0"/>
                <w:kern w:val="0"/>
                <w:sz w:val="24"/>
              </w:rPr>
              <w:t>总量</w:t>
            </w:r>
            <w:r>
              <w:rPr>
                <w:rFonts w:hint="eastAsia"/>
                <w:bCs/>
                <w:snapToGrid w:val="0"/>
                <w:kern w:val="0"/>
                <w:sz w:val="24"/>
              </w:rPr>
              <w:t>为4.65</w:t>
            </w:r>
            <w:r>
              <w:rPr>
                <w:bCs/>
                <w:snapToGrid w:val="0"/>
                <w:kern w:val="0"/>
                <w:sz w:val="24"/>
              </w:rPr>
              <w:t>t/a。</w:t>
            </w:r>
            <w:r>
              <w:rPr>
                <w:rFonts w:hint="eastAsia" w:cs="宋体"/>
                <w:sz w:val="24"/>
                <w:szCs w:val="24"/>
              </w:rPr>
              <w:t>厂区内设垃圾分类收集桶，产生的生活垃圾先分类收集在生活垃圾收集桶，再交由当地环卫部门外运处理。</w:t>
            </w:r>
          </w:p>
          <w:p>
            <w:pPr>
              <w:tabs>
                <w:tab w:val="left" w:pos="624"/>
              </w:tabs>
              <w:spacing w:line="360" w:lineRule="auto"/>
              <w:ind w:firstLine="480" w:firstLineChars="200"/>
              <w:rPr>
                <w:sz w:val="24"/>
                <w:szCs w:val="24"/>
              </w:rPr>
            </w:pPr>
            <w:r>
              <w:rPr>
                <w:rFonts w:cs="宋体"/>
                <w:sz w:val="24"/>
                <w:szCs w:val="24"/>
              </w:rPr>
              <w:fldChar w:fldCharType="begin"/>
            </w:r>
            <w:r>
              <w:rPr>
                <w:rFonts w:cs="宋体"/>
                <w:sz w:val="24"/>
                <w:szCs w:val="24"/>
              </w:rPr>
              <w:instrText xml:space="preserve"> </w:instrText>
            </w:r>
            <w:r>
              <w:rPr>
                <w:rFonts w:hint="eastAsia" w:cs="宋体"/>
                <w:sz w:val="24"/>
                <w:szCs w:val="24"/>
              </w:rPr>
              <w:instrText xml:space="preserve">= 9 \* GB3</w:instrText>
            </w:r>
            <w:r>
              <w:rPr>
                <w:rFonts w:cs="宋体"/>
                <w:sz w:val="24"/>
                <w:szCs w:val="24"/>
              </w:rPr>
              <w:instrText xml:space="preserve"> </w:instrText>
            </w:r>
            <w:r>
              <w:rPr>
                <w:rFonts w:cs="宋体"/>
                <w:sz w:val="24"/>
                <w:szCs w:val="24"/>
              </w:rPr>
              <w:fldChar w:fldCharType="separate"/>
            </w:r>
            <w:r>
              <w:rPr>
                <w:rFonts w:hint="eastAsia" w:cs="宋体"/>
                <w:sz w:val="24"/>
                <w:szCs w:val="24"/>
              </w:rPr>
              <w:t>⑨</w:t>
            </w:r>
            <w:r>
              <w:rPr>
                <w:rFonts w:cs="宋体"/>
                <w:sz w:val="24"/>
                <w:szCs w:val="24"/>
              </w:rPr>
              <w:fldChar w:fldCharType="end"/>
            </w:r>
            <w:r>
              <w:rPr>
                <w:rFonts w:hint="eastAsia"/>
                <w:sz w:val="24"/>
                <w:szCs w:val="24"/>
              </w:rPr>
              <w:t>废油脂</w:t>
            </w:r>
          </w:p>
          <w:p>
            <w:pPr>
              <w:pStyle w:val="2"/>
              <w:spacing w:line="360" w:lineRule="auto"/>
              <w:rPr>
                <w:rFonts w:ascii="Times New Roman" w:hAnsi="Times New Roman" w:cs="宋体"/>
                <w:sz w:val="24"/>
                <w:szCs w:val="24"/>
              </w:rPr>
            </w:pPr>
            <w:r>
              <w:rPr>
                <w:rFonts w:hint="eastAsia" w:ascii="Times New Roman" w:hAnsi="Times New Roman" w:cs="宋体"/>
                <w:sz w:val="24"/>
                <w:szCs w:val="24"/>
              </w:rPr>
              <w:t>项目食堂废水采用油水分离器进行油水分离，油水分离器会产生一定的废油脂，根据建设单位提供的资料，废油脂产生量约0.005t/a，采用专用密闭容器收集后交由有资质单位处置。</w:t>
            </w:r>
          </w:p>
          <w:p>
            <w:pPr>
              <w:adjustRightInd w:val="0"/>
              <w:snapToGrid w:val="0"/>
              <w:spacing w:line="360" w:lineRule="auto"/>
              <w:jc w:val="center"/>
              <w:rPr>
                <w:b/>
                <w:bCs/>
                <w:szCs w:val="24"/>
              </w:rPr>
            </w:pPr>
            <w:r>
              <w:rPr>
                <w:rFonts w:hint="eastAsia" w:cs="宋体"/>
                <w:b/>
                <w:bCs/>
                <w:szCs w:val="24"/>
              </w:rPr>
              <w:t>表</w:t>
            </w:r>
            <w:r>
              <w:rPr>
                <w:b/>
                <w:bCs/>
                <w:szCs w:val="24"/>
              </w:rPr>
              <w:t>4-</w:t>
            </w:r>
            <w:r>
              <w:rPr>
                <w:rFonts w:hint="eastAsia"/>
                <w:b/>
                <w:bCs/>
                <w:szCs w:val="24"/>
              </w:rPr>
              <w:t xml:space="preserve">13 </w:t>
            </w:r>
            <w:r>
              <w:rPr>
                <w:rFonts w:hint="eastAsia" w:cs="宋体"/>
                <w:b/>
                <w:bCs/>
                <w:szCs w:val="24"/>
              </w:rPr>
              <w:t>项目危险废物产生情况一览表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2"/>
              <w:gridCol w:w="1247"/>
              <w:gridCol w:w="977"/>
              <w:gridCol w:w="1461"/>
              <w:gridCol w:w="811"/>
              <w:gridCol w:w="1136"/>
              <w:gridCol w:w="1136"/>
              <w:gridCol w:w="487"/>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序号</w:t>
                  </w:r>
                </w:p>
              </w:tc>
              <w:tc>
                <w:tcPr>
                  <w:tcW w:w="7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危险废物名称</w:t>
                  </w:r>
                </w:p>
              </w:tc>
              <w:tc>
                <w:tcPr>
                  <w:tcW w:w="55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危险废物类别</w:t>
                  </w:r>
                </w:p>
              </w:tc>
              <w:tc>
                <w:tcPr>
                  <w:tcW w:w="8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危险废物代码</w:t>
                  </w:r>
                </w:p>
              </w:tc>
              <w:tc>
                <w:tcPr>
                  <w:tcW w:w="4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危险特性</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产生量</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产生工序及装置</w:t>
                  </w:r>
                </w:p>
              </w:tc>
              <w:tc>
                <w:tcPr>
                  <w:tcW w:w="2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形态</w:t>
                  </w:r>
                </w:p>
              </w:tc>
              <w:tc>
                <w:tcPr>
                  <w:tcW w:w="58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污染防治措施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1</w:t>
                  </w:r>
                </w:p>
              </w:tc>
              <w:tc>
                <w:tcPr>
                  <w:tcW w:w="7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废活性炭</w:t>
                  </w:r>
                </w:p>
              </w:tc>
              <w:tc>
                <w:tcPr>
                  <w:tcW w:w="55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HW49</w:t>
                  </w:r>
                </w:p>
              </w:tc>
              <w:tc>
                <w:tcPr>
                  <w:tcW w:w="8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900-039-49</w:t>
                  </w:r>
                </w:p>
              </w:tc>
              <w:tc>
                <w:tcPr>
                  <w:tcW w:w="4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T</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3.85</w:t>
                  </w:r>
                  <w:r>
                    <w:t>t/a</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有机废气处理</w:t>
                  </w:r>
                </w:p>
              </w:tc>
              <w:tc>
                <w:tcPr>
                  <w:tcW w:w="2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固态</w:t>
                  </w:r>
                </w:p>
              </w:tc>
              <w:tc>
                <w:tcPr>
                  <w:tcW w:w="580"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rPr>
                    <w:t>分类集中收集，定期委托有资质单位处置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31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2</w:t>
                  </w:r>
                </w:p>
              </w:tc>
              <w:tc>
                <w:tcPr>
                  <w:tcW w:w="7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废润滑油</w:t>
                  </w:r>
                </w:p>
              </w:tc>
              <w:tc>
                <w:tcPr>
                  <w:tcW w:w="55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HW08</w:t>
                  </w:r>
                </w:p>
              </w:tc>
              <w:tc>
                <w:tcPr>
                  <w:tcW w:w="8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900-214-08</w:t>
                  </w:r>
                </w:p>
              </w:tc>
              <w:tc>
                <w:tcPr>
                  <w:tcW w:w="4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T，I</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0.05</w:t>
                  </w:r>
                  <w:r>
                    <w:t>t/a</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设备检修</w:t>
                  </w:r>
                </w:p>
              </w:tc>
              <w:tc>
                <w:tcPr>
                  <w:tcW w:w="2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液态</w:t>
                  </w:r>
                </w:p>
              </w:tc>
              <w:tc>
                <w:tcPr>
                  <w:tcW w:w="580" w:type="pct"/>
                  <w:vMerge w:val="continue"/>
                  <w:tcBorders>
                    <w:left w:val="single" w:color="auto" w:sz="4" w:space="0"/>
                    <w:right w:val="single" w:color="auto" w:sz="4" w:space="0"/>
                  </w:tcBorders>
                  <w:vAlign w:val="center"/>
                </w:tcPr>
                <w:p>
                  <w:pPr>
                    <w:adjustRightInd w:val="0"/>
                    <w:snapToGrid w:val="0"/>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31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w:t>
                  </w:r>
                </w:p>
              </w:tc>
              <w:tc>
                <w:tcPr>
                  <w:tcW w:w="70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废包装桶</w:t>
                  </w:r>
                </w:p>
              </w:tc>
              <w:tc>
                <w:tcPr>
                  <w:tcW w:w="55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HW49</w:t>
                  </w:r>
                </w:p>
              </w:tc>
              <w:tc>
                <w:tcPr>
                  <w:tcW w:w="82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900-041-49</w:t>
                  </w:r>
                </w:p>
              </w:tc>
              <w:tc>
                <w:tcPr>
                  <w:tcW w:w="459"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T/In</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1.12</w:t>
                  </w:r>
                  <w:r>
                    <w:t>t/a</w:t>
                  </w:r>
                </w:p>
              </w:tc>
              <w:tc>
                <w:tcPr>
                  <w:tcW w:w="643"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原料包装</w:t>
                  </w:r>
                </w:p>
              </w:tc>
              <w:tc>
                <w:tcPr>
                  <w:tcW w:w="27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固态</w:t>
                  </w:r>
                </w:p>
              </w:tc>
              <w:tc>
                <w:tcPr>
                  <w:tcW w:w="580" w:type="pct"/>
                  <w:vMerge w:val="continue"/>
                  <w:tcBorders>
                    <w:left w:val="single" w:color="auto" w:sz="4" w:space="0"/>
                    <w:right w:val="single" w:color="auto" w:sz="4" w:space="0"/>
                  </w:tcBorders>
                  <w:vAlign w:val="center"/>
                </w:tcPr>
                <w:p>
                  <w:pPr>
                    <w:adjustRightInd w:val="0"/>
                    <w:snapToGrid w:val="0"/>
                    <w:jc w:val="center"/>
                    <w:rPr>
                      <w:rFonts w:cs="宋体"/>
                    </w:rPr>
                  </w:pPr>
                </w:p>
              </w:tc>
            </w:tr>
          </w:tbl>
          <w:p>
            <w:pPr>
              <w:adjustRightInd w:val="0"/>
              <w:snapToGrid w:val="0"/>
              <w:spacing w:line="440" w:lineRule="exact"/>
              <w:jc w:val="center"/>
              <w:rPr>
                <w:b/>
                <w:bCs/>
                <w:szCs w:val="24"/>
              </w:rPr>
            </w:pPr>
            <w:r>
              <w:rPr>
                <w:rFonts w:hint="eastAsia" w:cs="宋体"/>
                <w:b/>
                <w:bCs/>
                <w:szCs w:val="24"/>
              </w:rPr>
              <w:t>表</w:t>
            </w:r>
            <w:r>
              <w:rPr>
                <w:b/>
                <w:bCs/>
                <w:szCs w:val="24"/>
              </w:rPr>
              <w:t>4-</w:t>
            </w:r>
            <w:r>
              <w:rPr>
                <w:rFonts w:hint="eastAsia"/>
                <w:b/>
                <w:bCs/>
                <w:szCs w:val="24"/>
              </w:rPr>
              <w:t xml:space="preserve">14 </w:t>
            </w:r>
            <w:r>
              <w:rPr>
                <w:rFonts w:hint="eastAsia" w:cs="宋体"/>
                <w:b/>
                <w:bCs/>
                <w:szCs w:val="24"/>
              </w:rPr>
              <w:t>项目固体废物产生及处置情况一览表</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734"/>
              <w:gridCol w:w="1413"/>
              <w:gridCol w:w="2040"/>
              <w:gridCol w:w="2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序号</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废物名称</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产生量</w:t>
                  </w:r>
                </w:p>
              </w:tc>
              <w:tc>
                <w:tcPr>
                  <w:tcW w:w="115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性质</w:t>
                  </w:r>
                </w:p>
              </w:tc>
              <w:tc>
                <w:tcPr>
                  <w:tcW w:w="160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防治措施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1</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生活垃圾</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4.65t/a</w:t>
                  </w:r>
                </w:p>
              </w:tc>
              <w:tc>
                <w:tcPr>
                  <w:tcW w:w="1155"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rPr>
                    <w:t>生活固废</w:t>
                  </w:r>
                </w:p>
              </w:tc>
              <w:tc>
                <w:tcPr>
                  <w:tcW w:w="160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分类收集，及时交由当地环卫部门统一清运处理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2</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废油脂</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0.005 t/a</w:t>
                  </w:r>
                </w:p>
              </w:tc>
              <w:tc>
                <w:tcPr>
                  <w:tcW w:w="1155" w:type="pct"/>
                  <w:vMerge w:val="continue"/>
                  <w:tcBorders>
                    <w:left w:val="single" w:color="auto" w:sz="4" w:space="0"/>
                    <w:right w:val="single" w:color="auto" w:sz="4" w:space="0"/>
                  </w:tcBorders>
                  <w:vAlign w:val="center"/>
                </w:tcPr>
                <w:p>
                  <w:pPr>
                    <w:adjustRightInd w:val="0"/>
                    <w:snapToGrid w:val="0"/>
                    <w:jc w:val="center"/>
                  </w:pPr>
                </w:p>
              </w:tc>
              <w:tc>
                <w:tcPr>
                  <w:tcW w:w="160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交由有资质的单位处置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3</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废聚酯膜</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0.5t/a</w:t>
                  </w:r>
                </w:p>
              </w:tc>
              <w:tc>
                <w:tcPr>
                  <w:tcW w:w="1155"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一般固废</w:t>
                  </w:r>
                </w:p>
                <w:p>
                  <w:pPr>
                    <w:adjustRightInd w:val="0"/>
                    <w:snapToGrid w:val="0"/>
                    <w:jc w:val="center"/>
                  </w:pPr>
                  <w:r>
                    <w:rPr>
                      <w:rFonts w:hint="eastAsia"/>
                    </w:rPr>
                    <w:t>306-001-49</w:t>
                  </w:r>
                </w:p>
              </w:tc>
              <w:tc>
                <w:tcPr>
                  <w:tcW w:w="160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集中收集，外售综合利用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t>4</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除尘器收尘</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3.31t/a</w:t>
                  </w:r>
                </w:p>
              </w:tc>
              <w:tc>
                <w:tcPr>
                  <w:tcW w:w="1155" w:type="pct"/>
                  <w:tcBorders>
                    <w:left w:val="single" w:color="auto" w:sz="4" w:space="0"/>
                    <w:right w:val="single" w:color="auto" w:sz="4" w:space="0"/>
                  </w:tcBorders>
                  <w:vAlign w:val="center"/>
                </w:tcPr>
                <w:p>
                  <w:pPr>
                    <w:adjustRightInd w:val="0"/>
                    <w:snapToGrid w:val="0"/>
                    <w:jc w:val="center"/>
                  </w:pPr>
                  <w:r>
                    <w:rPr>
                      <w:rFonts w:hint="eastAsia"/>
                    </w:rPr>
                    <w:t>一般固废</w:t>
                  </w:r>
                </w:p>
                <w:p>
                  <w:pPr>
                    <w:pStyle w:val="2"/>
                  </w:pPr>
                  <w:r>
                    <w:rPr>
                      <w:rFonts w:hint="eastAsia"/>
                    </w:rPr>
                    <w:t>306-001</w:t>
                  </w:r>
                  <w:r>
                    <w:rPr>
                      <w:rFonts w:hint="eastAsia"/>
                      <w:snapToGrid w:val="0"/>
                      <w:kern w:val="0"/>
                    </w:rPr>
                    <w:t>-66</w:t>
                  </w:r>
                </w:p>
              </w:tc>
              <w:tc>
                <w:tcPr>
                  <w:tcW w:w="1607" w:type="pct"/>
                  <w:tcBorders>
                    <w:top w:val="single" w:color="auto" w:sz="4" w:space="0"/>
                    <w:left w:val="single" w:color="auto" w:sz="4" w:space="0"/>
                    <w:bottom w:val="single" w:color="auto" w:sz="4" w:space="0"/>
                    <w:right w:val="single" w:color="auto" w:sz="4" w:space="0"/>
                  </w:tcBorders>
                  <w:vAlign w:val="center"/>
                </w:tcPr>
                <w:p>
                  <w:pPr>
                    <w:jc w:val="center"/>
                  </w:pPr>
                  <w:r>
                    <w:rPr>
                      <w:rFonts w:hint="eastAsia" w:cs="宋体"/>
                    </w:rPr>
                    <w:t>集中收集，外售综合利用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5</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废边角料</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10.21t/a</w:t>
                  </w:r>
                </w:p>
              </w:tc>
              <w:tc>
                <w:tcPr>
                  <w:tcW w:w="1155" w:type="pct"/>
                  <w:tcBorders>
                    <w:left w:val="single" w:color="auto" w:sz="4" w:space="0"/>
                    <w:right w:val="single" w:color="auto" w:sz="4" w:space="0"/>
                  </w:tcBorders>
                  <w:vAlign w:val="center"/>
                </w:tcPr>
                <w:p>
                  <w:pPr>
                    <w:adjustRightInd w:val="0"/>
                    <w:snapToGrid w:val="0"/>
                    <w:jc w:val="center"/>
                  </w:pPr>
                  <w:r>
                    <w:rPr>
                      <w:rFonts w:hint="eastAsia"/>
                    </w:rPr>
                    <w:t>一般固废</w:t>
                  </w:r>
                </w:p>
                <w:p>
                  <w:pPr>
                    <w:adjustRightInd w:val="0"/>
                    <w:snapToGrid w:val="0"/>
                    <w:jc w:val="center"/>
                  </w:pPr>
                  <w:r>
                    <w:rPr>
                      <w:rFonts w:hint="eastAsia"/>
                    </w:rPr>
                    <w:t>306-001</w:t>
                  </w:r>
                  <w:r>
                    <w:rPr>
                      <w:rFonts w:hint="eastAsia"/>
                      <w:snapToGrid w:val="0"/>
                      <w:kern w:val="0"/>
                    </w:rPr>
                    <w:t>-49</w:t>
                  </w:r>
                </w:p>
              </w:tc>
              <w:tc>
                <w:tcPr>
                  <w:tcW w:w="160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集中收集，外售综合利用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6</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废催化剂</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0.05t/4a</w:t>
                  </w:r>
                </w:p>
              </w:tc>
              <w:tc>
                <w:tcPr>
                  <w:tcW w:w="1155" w:type="pct"/>
                  <w:tcBorders>
                    <w:left w:val="single" w:color="auto" w:sz="4" w:space="0"/>
                    <w:right w:val="single" w:color="auto" w:sz="4" w:space="0"/>
                  </w:tcBorders>
                  <w:vAlign w:val="center"/>
                </w:tcPr>
                <w:p>
                  <w:pPr>
                    <w:adjustRightInd w:val="0"/>
                    <w:snapToGrid w:val="0"/>
                    <w:jc w:val="center"/>
                  </w:pPr>
                  <w:r>
                    <w:rPr>
                      <w:rFonts w:hint="eastAsia"/>
                    </w:rPr>
                    <w:t>一般固废</w:t>
                  </w:r>
                </w:p>
                <w:p>
                  <w:pPr>
                    <w:adjustRightInd w:val="0"/>
                    <w:snapToGrid w:val="0"/>
                    <w:jc w:val="center"/>
                  </w:pPr>
                  <w:r>
                    <w:rPr>
                      <w:rFonts w:hint="eastAsia"/>
                    </w:rPr>
                    <w:t>306-001</w:t>
                  </w:r>
                  <w:r>
                    <w:rPr>
                      <w:rFonts w:hint="eastAsia"/>
                      <w:snapToGrid w:val="0"/>
                      <w:kern w:val="0"/>
                    </w:rPr>
                    <w:t>-49</w:t>
                  </w:r>
                </w:p>
              </w:tc>
              <w:tc>
                <w:tcPr>
                  <w:tcW w:w="160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cs="宋体"/>
                    </w:rPr>
                  </w:pPr>
                  <w:r>
                    <w:rPr>
                      <w:rFonts w:hint="eastAsia" w:cs="宋体"/>
                    </w:rPr>
                    <w:t>厂家更换回收，不在厂内暂存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7</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废包装桶</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1.12t/a</w:t>
                  </w:r>
                </w:p>
              </w:tc>
              <w:tc>
                <w:tcPr>
                  <w:tcW w:w="1155" w:type="pct"/>
                  <w:tcBorders>
                    <w:left w:val="single" w:color="auto" w:sz="4" w:space="0"/>
                    <w:right w:val="single" w:color="auto" w:sz="4" w:space="0"/>
                  </w:tcBorders>
                  <w:vAlign w:val="center"/>
                </w:tcPr>
                <w:p>
                  <w:pPr>
                    <w:adjustRightInd w:val="0"/>
                    <w:snapToGrid w:val="0"/>
                    <w:jc w:val="center"/>
                  </w:pPr>
                  <w:r>
                    <w:rPr>
                      <w:rFonts w:hint="eastAsia"/>
                    </w:rPr>
                    <w:t>危险废物HW49</w:t>
                  </w:r>
                </w:p>
                <w:p>
                  <w:pPr>
                    <w:adjustRightInd w:val="0"/>
                    <w:snapToGrid w:val="0"/>
                    <w:jc w:val="center"/>
                  </w:pPr>
                  <w:r>
                    <w:rPr>
                      <w:rFonts w:hint="eastAsia"/>
                    </w:rPr>
                    <w:t>900-041-49</w:t>
                  </w:r>
                </w:p>
              </w:tc>
              <w:tc>
                <w:tcPr>
                  <w:tcW w:w="1607" w:type="pct"/>
                  <w:vMerge w:val="restart"/>
                  <w:tcBorders>
                    <w:top w:val="single" w:color="auto" w:sz="4" w:space="0"/>
                    <w:left w:val="single" w:color="auto" w:sz="4" w:space="0"/>
                    <w:right w:val="single" w:color="auto" w:sz="4" w:space="0"/>
                  </w:tcBorders>
                  <w:vAlign w:val="center"/>
                </w:tcPr>
                <w:p>
                  <w:pPr>
                    <w:adjustRightInd w:val="0"/>
                    <w:snapToGrid w:val="0"/>
                    <w:jc w:val="center"/>
                  </w:pPr>
                  <w:r>
                    <w:rPr>
                      <w:rFonts w:hint="eastAsia" w:cs="宋体"/>
                    </w:rPr>
                    <w:t>分类集中暂存于危废暂存间，定期交由有资质的单位处置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8</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废润滑油</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0.05t/a</w:t>
                  </w:r>
                </w:p>
              </w:tc>
              <w:tc>
                <w:tcPr>
                  <w:tcW w:w="1155"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危险废物</w:t>
                  </w:r>
                  <w:r>
                    <w:t>HW08</w:t>
                  </w:r>
                </w:p>
                <w:p>
                  <w:pPr>
                    <w:adjustRightInd w:val="0"/>
                    <w:snapToGrid w:val="0"/>
                    <w:jc w:val="center"/>
                  </w:pPr>
                  <w:r>
                    <w:t>900-214-08</w:t>
                  </w:r>
                </w:p>
              </w:tc>
              <w:tc>
                <w:tcPr>
                  <w:tcW w:w="1607" w:type="pct"/>
                  <w:vMerge w:val="continue"/>
                  <w:tcBorders>
                    <w:left w:val="single" w:color="auto" w:sz="4" w:space="0"/>
                    <w:right w:val="single" w:color="auto" w:sz="4" w:space="0"/>
                  </w:tcBorders>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9</w:t>
                  </w:r>
                </w:p>
              </w:tc>
              <w:tc>
                <w:tcPr>
                  <w:tcW w:w="982"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cs="宋体"/>
                    </w:rPr>
                    <w:t>废活性炭</w:t>
                  </w:r>
                </w:p>
              </w:tc>
              <w:tc>
                <w:tcPr>
                  <w:tcW w:w="800"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3.85t/a</w:t>
                  </w:r>
                </w:p>
              </w:tc>
              <w:tc>
                <w:tcPr>
                  <w:tcW w:w="1155" w:type="pct"/>
                  <w:tcBorders>
                    <w:top w:val="single" w:color="auto" w:sz="4" w:space="0"/>
                    <w:left w:val="single" w:color="auto" w:sz="4" w:space="0"/>
                    <w:right w:val="single" w:color="auto" w:sz="4" w:space="0"/>
                  </w:tcBorders>
                  <w:vAlign w:val="center"/>
                </w:tcPr>
                <w:p>
                  <w:pPr>
                    <w:adjustRightInd w:val="0"/>
                    <w:snapToGrid w:val="0"/>
                    <w:jc w:val="center"/>
                  </w:pPr>
                  <w:r>
                    <w:rPr>
                      <w:rFonts w:hint="eastAsia"/>
                    </w:rPr>
                    <w:t>危险废物</w:t>
                  </w:r>
                  <w:r>
                    <w:t>HW49</w:t>
                  </w:r>
                </w:p>
                <w:p>
                  <w:pPr>
                    <w:adjustRightInd w:val="0"/>
                    <w:snapToGrid w:val="0"/>
                    <w:jc w:val="center"/>
                  </w:pPr>
                  <w:r>
                    <w:t>900-039-49</w:t>
                  </w:r>
                </w:p>
              </w:tc>
              <w:tc>
                <w:tcPr>
                  <w:tcW w:w="1607" w:type="pct"/>
                  <w:vMerge w:val="continue"/>
                  <w:tcBorders>
                    <w:left w:val="single" w:color="auto" w:sz="4" w:space="0"/>
                    <w:right w:val="single" w:color="auto" w:sz="4" w:space="0"/>
                  </w:tcBorders>
                  <w:vAlign w:val="center"/>
                </w:tcPr>
                <w:p>
                  <w:pPr>
                    <w:adjustRightInd w:val="0"/>
                    <w:snapToGrid w:val="0"/>
                    <w:jc w:val="center"/>
                    <w:rPr>
                      <w:rFonts w:cs="宋体"/>
                    </w:rPr>
                  </w:pPr>
                </w:p>
              </w:tc>
            </w:tr>
          </w:tbl>
          <w:p>
            <w:pPr>
              <w:tabs>
                <w:tab w:val="left" w:pos="851"/>
                <w:tab w:val="left" w:pos="1134"/>
                <w:tab w:val="left" w:pos="1276"/>
              </w:tabs>
              <w:adjustRightInd w:val="0"/>
              <w:snapToGrid w:val="0"/>
              <w:spacing w:line="360" w:lineRule="auto"/>
              <w:jc w:val="left"/>
              <w:rPr>
                <w:b/>
                <w:bCs/>
                <w:sz w:val="24"/>
                <w:szCs w:val="24"/>
              </w:rPr>
            </w:pPr>
            <w:r>
              <w:rPr>
                <w:rFonts w:hint="eastAsia"/>
                <w:b/>
                <w:bCs/>
                <w:sz w:val="24"/>
                <w:szCs w:val="24"/>
              </w:rPr>
              <w:t>（</w:t>
            </w:r>
            <w:r>
              <w:rPr>
                <w:b/>
                <w:bCs/>
                <w:sz w:val="24"/>
                <w:szCs w:val="24"/>
              </w:rPr>
              <w:t>2</w:t>
            </w:r>
            <w:r>
              <w:rPr>
                <w:rFonts w:hint="eastAsia"/>
                <w:b/>
                <w:bCs/>
                <w:sz w:val="24"/>
                <w:szCs w:val="24"/>
              </w:rPr>
              <w:t>）固废污染防治措施</w:t>
            </w:r>
          </w:p>
          <w:p>
            <w:pPr>
              <w:adjustRightInd w:val="0"/>
              <w:snapToGrid w:val="0"/>
              <w:spacing w:line="360" w:lineRule="auto"/>
              <w:ind w:firstLine="482"/>
              <w:rPr>
                <w:sz w:val="24"/>
                <w:szCs w:val="24"/>
              </w:rPr>
            </w:pPr>
            <w:r>
              <w:rPr>
                <w:rFonts w:hint="eastAsia" w:cs="宋体"/>
                <w:sz w:val="24"/>
                <w:szCs w:val="24"/>
              </w:rPr>
              <w:t>①危险废物</w:t>
            </w:r>
          </w:p>
          <w:p>
            <w:pPr>
              <w:adjustRightInd w:val="0"/>
              <w:snapToGrid w:val="0"/>
              <w:spacing w:line="360" w:lineRule="auto"/>
              <w:ind w:firstLine="482"/>
              <w:rPr>
                <w:sz w:val="24"/>
                <w:szCs w:val="24"/>
              </w:rPr>
            </w:pPr>
            <w:r>
              <w:rPr>
                <w:rFonts w:hint="eastAsia" w:cs="宋体"/>
                <w:sz w:val="24"/>
                <w:szCs w:val="24"/>
              </w:rPr>
              <w:t>项目运营期产生的废活性炭、</w:t>
            </w:r>
            <w:r>
              <w:rPr>
                <w:rFonts w:hint="eastAsia" w:cs="宋体"/>
                <w:spacing w:val="4"/>
                <w:sz w:val="24"/>
                <w:szCs w:val="24"/>
              </w:rPr>
              <w:t>废润滑油等</w:t>
            </w:r>
            <w:r>
              <w:rPr>
                <w:rFonts w:hint="eastAsia" w:cs="宋体"/>
                <w:sz w:val="24"/>
                <w:szCs w:val="24"/>
              </w:rPr>
              <w:t>属于危险废物，收集后分类暂存于危废暂存间内，定期交由有资质单位处置。危废严格按照</w:t>
            </w:r>
            <w:r>
              <w:fldChar w:fldCharType="begin"/>
            </w:r>
            <w:r>
              <w:instrText xml:space="preserve"> HYPERLINK "https://www.mee.gov.cn/ywgz/fgbz/bz/bzwb/gthw/wxfwjbffbz/202302/t20230224_1017500.shtml" </w:instrText>
            </w:r>
            <w:r>
              <w:fldChar w:fldCharType="separate"/>
            </w:r>
            <w:r>
              <w:rPr>
                <w:rStyle w:val="42"/>
                <w:rFonts w:hint="eastAsia" w:cs="宋体"/>
                <w:color w:val="auto"/>
                <w:sz w:val="24"/>
                <w:szCs w:val="24"/>
                <w:u w:val="none"/>
              </w:rPr>
              <w:t>《危险废物贮存污染控制标准》（GB 18597-2023）</w:t>
            </w:r>
            <w:r>
              <w:rPr>
                <w:rStyle w:val="42"/>
                <w:rFonts w:hint="eastAsia" w:cs="宋体"/>
                <w:color w:val="auto"/>
                <w:sz w:val="24"/>
                <w:szCs w:val="24"/>
                <w:u w:val="none"/>
              </w:rPr>
              <w:fldChar w:fldCharType="end"/>
            </w:r>
            <w:r>
              <w:rPr>
                <w:rFonts w:hint="eastAsia" w:cs="宋体"/>
                <w:sz w:val="24"/>
                <w:szCs w:val="24"/>
              </w:rPr>
              <w:t>和《危险废物转移管理办法》相关要求进行贮存及转移。项目在生产车间西南角拟建10m</w:t>
            </w:r>
            <w:r>
              <w:rPr>
                <w:rFonts w:hint="eastAsia" w:cs="宋体"/>
                <w:sz w:val="24"/>
                <w:szCs w:val="24"/>
                <w:vertAlign w:val="superscript"/>
              </w:rPr>
              <w:t>2</w:t>
            </w:r>
            <w:r>
              <w:rPr>
                <w:rFonts w:hint="eastAsia" w:cs="宋体"/>
                <w:sz w:val="24"/>
                <w:szCs w:val="24"/>
              </w:rPr>
              <w:t>危废暂存间，用于暂存危险废物。评价要求危险废物暂存及危废暂存间的建设必须满足以下要求：</w:t>
            </w:r>
          </w:p>
          <w:p>
            <w:pPr>
              <w:adjustRightInd w:val="0"/>
              <w:snapToGrid w:val="0"/>
              <w:spacing w:line="360" w:lineRule="auto"/>
              <w:ind w:firstLine="482"/>
              <w:rPr>
                <w:sz w:val="24"/>
                <w:szCs w:val="24"/>
              </w:rPr>
            </w:pPr>
            <w:r>
              <w:rPr>
                <w:rFonts w:hint="eastAsia"/>
                <w:sz w:val="24"/>
                <w:szCs w:val="24"/>
              </w:rPr>
              <w:t>A</w:t>
            </w:r>
            <w:r>
              <w:rPr>
                <w:rFonts w:cs="宋体"/>
                <w:sz w:val="24"/>
                <w:szCs w:val="24"/>
              </w:rPr>
              <w:t>对所有的危险废物应建造专用的危险废物暂存设施，要求建设单位建设暂存设施</w:t>
            </w:r>
            <w:r>
              <w:rPr>
                <w:rFonts w:hint="eastAsia" w:cs="宋体"/>
                <w:sz w:val="24"/>
                <w:szCs w:val="24"/>
              </w:rPr>
              <w:t>。</w:t>
            </w:r>
          </w:p>
          <w:p>
            <w:pPr>
              <w:adjustRightInd w:val="0"/>
              <w:snapToGrid w:val="0"/>
              <w:spacing w:line="360" w:lineRule="auto"/>
              <w:ind w:firstLine="482"/>
              <w:rPr>
                <w:rFonts w:cs="宋体"/>
                <w:sz w:val="24"/>
                <w:szCs w:val="24"/>
              </w:rPr>
            </w:pPr>
            <w:r>
              <w:rPr>
                <w:rFonts w:hint="eastAsia"/>
                <w:sz w:val="24"/>
                <w:szCs w:val="24"/>
              </w:rPr>
              <w:t>B</w:t>
            </w:r>
            <w:r>
              <w:rPr>
                <w:rFonts w:cs="宋体"/>
                <w:sz w:val="24"/>
                <w:szCs w:val="24"/>
              </w:rPr>
              <w:t>危险废物的容器和包装物以及收集、暂存、转移、处置危险废物的设施、场所，必须设置危险废物识别标志，必须按</w:t>
            </w:r>
            <w:r>
              <w:fldChar w:fldCharType="begin"/>
            </w:r>
            <w:r>
              <w:instrText xml:space="preserve"> HYPERLINK "https://www.mee.gov.cn/ywgz/fgbz/bz/bzwb/gthw/wxfwjbffbz/202302/W020230224650971041729.pdf" </w:instrText>
            </w:r>
            <w:r>
              <w:fldChar w:fldCharType="separate"/>
            </w:r>
            <w:r>
              <w:rPr>
                <w:rStyle w:val="42"/>
                <w:rFonts w:hint="eastAsia" w:cs="宋体"/>
                <w:color w:val="auto"/>
                <w:sz w:val="24"/>
                <w:szCs w:val="24"/>
                <w:u w:val="none"/>
              </w:rPr>
              <w:t>HJ 1276—2022</w:t>
            </w:r>
            <w:r>
              <w:rPr>
                <w:rStyle w:val="42"/>
                <w:rFonts w:hint="eastAsia" w:cs="宋体"/>
                <w:color w:val="auto"/>
                <w:sz w:val="24"/>
                <w:szCs w:val="24"/>
                <w:u w:val="none"/>
              </w:rPr>
              <w:fldChar w:fldCharType="end"/>
            </w:r>
            <w:r>
              <w:rPr>
                <w:rFonts w:cs="宋体"/>
                <w:sz w:val="24"/>
                <w:szCs w:val="24"/>
              </w:rPr>
              <w:t>的规定设置警示标志，危险废物贮存设施应配备通讯设备</w:t>
            </w:r>
            <w:r>
              <w:rPr>
                <w:rFonts w:hint="eastAsia" w:cs="宋体"/>
                <w:sz w:val="24"/>
                <w:szCs w:val="24"/>
              </w:rPr>
              <w:t>、</w:t>
            </w:r>
            <w:r>
              <w:rPr>
                <w:rFonts w:cs="宋体"/>
                <w:sz w:val="24"/>
                <w:szCs w:val="24"/>
              </w:rPr>
              <w:t>照明设施、安全防护服装及工具，并设有应急防护设施。危险废物贮存设施内清理出来的泄漏物</w:t>
            </w:r>
            <w:r>
              <w:rPr>
                <w:rFonts w:hint="eastAsia" w:cs="宋体"/>
                <w:sz w:val="24"/>
                <w:szCs w:val="24"/>
              </w:rPr>
              <w:t>，</w:t>
            </w:r>
            <w:r>
              <w:rPr>
                <w:rFonts w:cs="宋体"/>
                <w:sz w:val="24"/>
                <w:szCs w:val="24"/>
              </w:rPr>
              <w:t>一律按危险废物处理</w:t>
            </w:r>
            <w:r>
              <w:rPr>
                <w:rFonts w:hint="eastAsia" w:cs="宋体"/>
                <w:sz w:val="24"/>
                <w:szCs w:val="24"/>
              </w:rPr>
              <w:t>。</w:t>
            </w:r>
          </w:p>
          <w:p>
            <w:pPr>
              <w:adjustRightInd w:val="0"/>
              <w:snapToGrid w:val="0"/>
              <w:spacing w:line="360" w:lineRule="auto"/>
              <w:ind w:firstLine="482"/>
              <w:rPr>
                <w:sz w:val="24"/>
                <w:szCs w:val="24"/>
              </w:rPr>
            </w:pPr>
            <w:r>
              <w:rPr>
                <w:rFonts w:hint="eastAsia"/>
                <w:sz w:val="24"/>
                <w:szCs w:val="24"/>
              </w:rPr>
              <w:t>C</w:t>
            </w:r>
            <w:r>
              <w:rPr>
                <w:rFonts w:cs="宋体"/>
                <w:sz w:val="24"/>
                <w:szCs w:val="24"/>
              </w:rPr>
              <w:t>禁止将危险废物混入非危险废物中收集、暂存、转移、处置，收集</w:t>
            </w:r>
            <w:r>
              <w:rPr>
                <w:rFonts w:hint="eastAsia" w:cs="宋体"/>
                <w:sz w:val="24"/>
                <w:szCs w:val="24"/>
              </w:rPr>
              <w:t>、</w:t>
            </w:r>
            <w:r>
              <w:rPr>
                <w:rFonts w:cs="宋体"/>
                <w:sz w:val="24"/>
                <w:szCs w:val="24"/>
              </w:rPr>
              <w:t>贮存、转移危险废物时，严格按照危险废物特性分类进行，防止混合收集、 贮存、运输、转移性质不相容且未经安全性处置的危险废物。</w:t>
            </w:r>
          </w:p>
          <w:p>
            <w:pPr>
              <w:adjustRightInd w:val="0"/>
              <w:snapToGrid w:val="0"/>
              <w:spacing w:line="360" w:lineRule="auto"/>
              <w:ind w:firstLine="482"/>
              <w:rPr>
                <w:rFonts w:cs="宋体"/>
                <w:sz w:val="24"/>
                <w:szCs w:val="24"/>
              </w:rPr>
            </w:pPr>
            <w:r>
              <w:rPr>
                <w:rFonts w:hint="eastAsia"/>
                <w:sz w:val="24"/>
                <w:szCs w:val="24"/>
              </w:rPr>
              <w:t>D</w:t>
            </w:r>
            <w:r>
              <w:rPr>
                <w:rFonts w:cs="宋体"/>
                <w:sz w:val="24"/>
                <w:szCs w:val="24"/>
              </w:rPr>
              <w:t>企业对产生的危险废物进行详细</w:t>
            </w:r>
            <w:r>
              <w:rPr>
                <w:rFonts w:hint="eastAsia" w:cs="宋体"/>
                <w:sz w:val="24"/>
                <w:szCs w:val="24"/>
              </w:rPr>
              <w:t>地</w:t>
            </w:r>
            <w:r>
              <w:rPr>
                <w:rFonts w:cs="宋体"/>
                <w:sz w:val="24"/>
                <w:szCs w:val="24"/>
              </w:rPr>
              <w:t>登记，填写《危险废物产生贮存台账》，对危险废物暂时贮存场所要加强管理，定期巡检，确保危险废物不扩散、不渗漏、不丢失等</w:t>
            </w:r>
            <w:r>
              <w:rPr>
                <w:rFonts w:hint="eastAsia" w:cs="宋体"/>
                <w:sz w:val="24"/>
                <w:szCs w:val="24"/>
              </w:rPr>
              <w:t>。</w:t>
            </w:r>
          </w:p>
          <w:p>
            <w:pPr>
              <w:adjustRightInd w:val="0"/>
              <w:snapToGrid w:val="0"/>
              <w:spacing w:line="360" w:lineRule="auto"/>
              <w:ind w:firstLine="482"/>
              <w:rPr>
                <w:rFonts w:cs="宋体"/>
                <w:sz w:val="24"/>
                <w:szCs w:val="24"/>
              </w:rPr>
            </w:pPr>
            <w:r>
              <w:rPr>
                <w:rFonts w:hint="eastAsia" w:cs="宋体"/>
                <w:sz w:val="24"/>
                <w:szCs w:val="24"/>
              </w:rPr>
              <w:t>E危废暂存间基础按照《危险废物贮存污染控制标准》（GB 18597-2023）及修改单的要求进行防腐防渗，</w:t>
            </w:r>
            <w:r>
              <w:rPr>
                <w:rFonts w:cs="宋体"/>
                <w:sz w:val="24"/>
                <w:szCs w:val="24"/>
              </w:rPr>
              <w:t>防渗层为至少</w:t>
            </w:r>
            <w:r>
              <w:rPr>
                <w:rFonts w:hint="eastAsia" w:cs="宋体"/>
                <w:sz w:val="24"/>
                <w:szCs w:val="24"/>
              </w:rPr>
              <w:t>1</w:t>
            </w:r>
            <w:r>
              <w:rPr>
                <w:rFonts w:cs="宋体"/>
                <w:sz w:val="24"/>
                <w:szCs w:val="24"/>
              </w:rPr>
              <w:t>m厚黏土层（渗透系数不大于10</w:t>
            </w:r>
            <w:r>
              <w:rPr>
                <w:rFonts w:cs="宋体"/>
                <w:sz w:val="24"/>
                <w:szCs w:val="24"/>
                <w:vertAlign w:val="superscript"/>
              </w:rPr>
              <w:t>-7</w:t>
            </w:r>
            <w:r>
              <w:rPr>
                <w:rFonts w:cs="宋体"/>
                <w:sz w:val="24"/>
                <w:szCs w:val="24"/>
              </w:rPr>
              <w:t>cm/s），或至少2 mm厚高密度聚乙烯膜等人工防渗材料（渗透系数不大于10</w:t>
            </w:r>
            <w:r>
              <w:rPr>
                <w:rFonts w:cs="宋体"/>
                <w:sz w:val="24"/>
                <w:szCs w:val="24"/>
                <w:vertAlign w:val="superscript"/>
              </w:rPr>
              <w:t>-10</w:t>
            </w:r>
            <w:r>
              <w:rPr>
                <w:rFonts w:cs="宋体"/>
                <w:sz w:val="24"/>
                <w:szCs w:val="24"/>
              </w:rPr>
              <w:t>cm/s）</w:t>
            </w:r>
            <w:r>
              <w:rPr>
                <w:rFonts w:hint="eastAsia" w:cs="宋体"/>
                <w:sz w:val="24"/>
                <w:szCs w:val="24"/>
              </w:rPr>
              <w:t>，</w:t>
            </w:r>
            <w:r>
              <w:rPr>
                <w:rFonts w:cs="宋体"/>
                <w:sz w:val="24"/>
                <w:szCs w:val="24"/>
              </w:rPr>
              <w:t>或其他防渗性能等效的材料</w:t>
            </w:r>
            <w:r>
              <w:rPr>
                <w:rFonts w:hint="eastAsia" w:cs="宋体"/>
                <w:sz w:val="24"/>
                <w:szCs w:val="24"/>
              </w:rPr>
              <w:t>。以满足污染防渗区要求。</w:t>
            </w:r>
          </w:p>
          <w:p>
            <w:pPr>
              <w:adjustRightInd w:val="0"/>
              <w:snapToGrid w:val="0"/>
              <w:spacing w:line="360" w:lineRule="auto"/>
              <w:ind w:firstLine="482"/>
              <w:rPr>
                <w:sz w:val="24"/>
                <w:szCs w:val="24"/>
              </w:rPr>
            </w:pPr>
            <w:r>
              <w:rPr>
                <w:rFonts w:hint="eastAsia"/>
                <w:sz w:val="24"/>
                <w:szCs w:val="24"/>
              </w:rPr>
              <w:t>F危险废物的处置与转运：项目产生的危险废物均应委托具有有效资质的危险固废处置单位进行安全处置，并建立危废转移联单制度。设专人管理，根据暂存情况至少每1年委托有资质处置单位清运一次。危险废物的转运应严格按照《危险废物转移联单管理办法》（国家环境保护总局令第5号）的有关规定执行。</w:t>
            </w:r>
          </w:p>
          <w:p>
            <w:pPr>
              <w:adjustRightInd w:val="0"/>
              <w:snapToGrid w:val="0"/>
              <w:spacing w:line="360" w:lineRule="auto"/>
              <w:ind w:firstLine="482"/>
              <w:rPr>
                <w:sz w:val="24"/>
                <w:szCs w:val="24"/>
              </w:rPr>
            </w:pPr>
            <w:r>
              <w:rPr>
                <w:sz w:val="24"/>
                <w:szCs w:val="24"/>
              </w:rPr>
              <w:fldChar w:fldCharType="begin"/>
            </w:r>
            <w:r>
              <w:rPr>
                <w:sz w:val="24"/>
                <w:szCs w:val="24"/>
              </w:rPr>
              <w:instrText xml:space="preserve">= 2 \* GB3</w:instrText>
            </w:r>
            <w:r>
              <w:rPr>
                <w:sz w:val="24"/>
                <w:szCs w:val="24"/>
              </w:rPr>
              <w:fldChar w:fldCharType="separate"/>
            </w:r>
            <w:r>
              <w:rPr>
                <w:rFonts w:hint="eastAsia" w:cs="宋体"/>
                <w:sz w:val="24"/>
                <w:szCs w:val="24"/>
              </w:rPr>
              <w:t>②</w:t>
            </w:r>
            <w:r>
              <w:rPr>
                <w:sz w:val="24"/>
                <w:szCs w:val="24"/>
              </w:rPr>
              <w:fldChar w:fldCharType="end"/>
            </w:r>
            <w:r>
              <w:rPr>
                <w:rFonts w:hint="eastAsia" w:cs="宋体"/>
                <w:sz w:val="24"/>
                <w:szCs w:val="24"/>
              </w:rPr>
              <w:t>一般工业固废</w:t>
            </w:r>
          </w:p>
          <w:p>
            <w:pPr>
              <w:adjustRightInd w:val="0"/>
              <w:snapToGrid w:val="0"/>
              <w:spacing w:line="360" w:lineRule="auto"/>
              <w:ind w:firstLine="482"/>
              <w:rPr>
                <w:rFonts w:cs="宋体"/>
                <w:sz w:val="24"/>
                <w:szCs w:val="24"/>
              </w:rPr>
            </w:pPr>
            <w:r>
              <w:rPr>
                <w:rFonts w:hint="eastAsia" w:cs="宋体"/>
                <w:sz w:val="24"/>
                <w:szCs w:val="24"/>
              </w:rPr>
              <w:t>项目一般工业固体废物暂存场所严格按照《一般工业固体废物贮存和填埋污染控制标准》（</w:t>
            </w:r>
            <w:r>
              <w:rPr>
                <w:sz w:val="24"/>
                <w:szCs w:val="24"/>
              </w:rPr>
              <w:t>GB18599-2020</w:t>
            </w:r>
            <w:r>
              <w:rPr>
                <w:rFonts w:hint="eastAsia" w:cs="宋体"/>
                <w:sz w:val="24"/>
                <w:szCs w:val="24"/>
              </w:rPr>
              <w:t>）相关要求，采取防风、防雨、防晒等相关措施。</w:t>
            </w:r>
          </w:p>
          <w:p>
            <w:pPr>
              <w:adjustRightInd w:val="0"/>
              <w:snapToGrid w:val="0"/>
              <w:spacing w:line="360" w:lineRule="auto"/>
              <w:ind w:firstLine="482"/>
              <w:rPr>
                <w:rFonts w:cs="宋体"/>
                <w:sz w:val="24"/>
                <w:szCs w:val="24"/>
              </w:rPr>
            </w:pPr>
            <w:r>
              <w:rPr>
                <w:rFonts w:hint="eastAsia" w:cs="宋体"/>
                <w:sz w:val="24"/>
                <w:szCs w:val="24"/>
              </w:rPr>
              <w:t>A不相容的一般工业固体废物应设置不同的分区进行贮存；</w:t>
            </w:r>
          </w:p>
          <w:p>
            <w:pPr>
              <w:adjustRightInd w:val="0"/>
              <w:snapToGrid w:val="0"/>
              <w:spacing w:line="360" w:lineRule="auto"/>
              <w:ind w:firstLine="482"/>
              <w:rPr>
                <w:rFonts w:cs="宋体"/>
                <w:sz w:val="24"/>
                <w:szCs w:val="24"/>
              </w:rPr>
            </w:pPr>
            <w:r>
              <w:rPr>
                <w:rFonts w:hint="eastAsia" w:cs="宋体"/>
                <w:sz w:val="24"/>
                <w:szCs w:val="24"/>
              </w:rPr>
              <w:t>B危险废物和生活垃圾不得进入一般固废暂存间；</w:t>
            </w:r>
          </w:p>
          <w:p>
            <w:pPr>
              <w:adjustRightInd w:val="0"/>
              <w:snapToGrid w:val="0"/>
              <w:spacing w:line="360" w:lineRule="auto"/>
              <w:ind w:firstLine="482"/>
              <w:rPr>
                <w:rFonts w:cs="宋体"/>
                <w:sz w:val="24"/>
                <w:szCs w:val="24"/>
              </w:rPr>
            </w:pPr>
            <w:r>
              <w:rPr>
                <w:rFonts w:hint="eastAsia" w:cs="宋体"/>
                <w:sz w:val="24"/>
                <w:szCs w:val="24"/>
              </w:rPr>
              <w:t>C贮存场地环境保护图形标志应符合 GB15562.2 的规定，并应定期检查和维护。</w:t>
            </w:r>
          </w:p>
          <w:p>
            <w:pPr>
              <w:adjustRightInd w:val="0"/>
              <w:snapToGrid w:val="0"/>
              <w:spacing w:line="360" w:lineRule="auto"/>
              <w:ind w:firstLine="482"/>
              <w:rPr>
                <w:sz w:val="24"/>
                <w:szCs w:val="24"/>
              </w:rPr>
            </w:pPr>
            <w:r>
              <w:rPr>
                <w:sz w:val="24"/>
                <w:szCs w:val="24"/>
              </w:rPr>
              <w:fldChar w:fldCharType="begin"/>
            </w:r>
            <w:r>
              <w:rPr>
                <w:sz w:val="24"/>
                <w:szCs w:val="24"/>
              </w:rPr>
              <w:instrText xml:space="preserve">= 3 \* GB3</w:instrText>
            </w:r>
            <w:r>
              <w:rPr>
                <w:sz w:val="24"/>
                <w:szCs w:val="24"/>
              </w:rPr>
              <w:fldChar w:fldCharType="separate"/>
            </w:r>
            <w:r>
              <w:rPr>
                <w:rFonts w:hint="eastAsia" w:cs="宋体"/>
                <w:sz w:val="24"/>
                <w:szCs w:val="24"/>
              </w:rPr>
              <w:t>③</w:t>
            </w:r>
            <w:r>
              <w:rPr>
                <w:sz w:val="24"/>
                <w:szCs w:val="24"/>
              </w:rPr>
              <w:fldChar w:fldCharType="end"/>
            </w:r>
            <w:r>
              <w:rPr>
                <w:rFonts w:hint="eastAsia" w:cs="宋体"/>
                <w:sz w:val="24"/>
                <w:szCs w:val="24"/>
              </w:rPr>
              <w:t>生活垃圾</w:t>
            </w:r>
          </w:p>
          <w:p>
            <w:pPr>
              <w:adjustRightInd w:val="0"/>
              <w:snapToGrid w:val="0"/>
              <w:spacing w:line="360" w:lineRule="auto"/>
              <w:ind w:firstLine="482"/>
              <w:rPr>
                <w:kern w:val="0"/>
                <w:sz w:val="24"/>
                <w:szCs w:val="24"/>
              </w:rPr>
            </w:pPr>
            <w:r>
              <w:rPr>
                <w:rFonts w:hint="eastAsia" w:cs="宋体"/>
                <w:kern w:val="0"/>
                <w:sz w:val="24"/>
              </w:rPr>
              <w:t>项目生活垃圾分为厨余垃圾、可回收物、其他垃圾和有害垃圾，要分类收集、不得混放、标识清楚、专人负责，然后交由园区环卫部门统一处理。</w:t>
            </w:r>
          </w:p>
          <w:p>
            <w:pPr>
              <w:adjustRightInd w:val="0"/>
              <w:snapToGrid w:val="0"/>
              <w:spacing w:line="360" w:lineRule="auto"/>
              <w:jc w:val="left"/>
              <w:rPr>
                <w:b/>
                <w:bCs/>
                <w:sz w:val="24"/>
                <w:szCs w:val="24"/>
              </w:rPr>
            </w:pPr>
            <w:r>
              <w:rPr>
                <w:rFonts w:hint="eastAsia"/>
                <w:b/>
                <w:bCs/>
                <w:sz w:val="24"/>
                <w:szCs w:val="24"/>
              </w:rPr>
              <w:t>5、</w:t>
            </w:r>
            <w:r>
              <w:rPr>
                <w:rFonts w:hint="eastAsia" w:cs="宋体"/>
                <w:b/>
                <w:bCs/>
                <w:sz w:val="24"/>
                <w:szCs w:val="24"/>
              </w:rPr>
              <w:t>地下水</w:t>
            </w:r>
            <w:r>
              <w:rPr>
                <w:rFonts w:hint="eastAsia"/>
                <w:b/>
                <w:bCs/>
                <w:kern w:val="0"/>
                <w:sz w:val="24"/>
              </w:rPr>
              <w:t>及土壤</w:t>
            </w:r>
            <w:r>
              <w:rPr>
                <w:b/>
                <w:bCs/>
                <w:kern w:val="0"/>
                <w:sz w:val="24"/>
              </w:rPr>
              <w:t>环境影响分析及防治对策</w:t>
            </w:r>
          </w:p>
          <w:p>
            <w:pPr>
              <w:adjustRightInd w:val="0"/>
              <w:snapToGrid w:val="0"/>
              <w:spacing w:line="360" w:lineRule="auto"/>
              <w:jc w:val="left"/>
              <w:rPr>
                <w:rFonts w:cs="宋体"/>
                <w:b/>
                <w:bCs/>
                <w:kern w:val="0"/>
                <w:sz w:val="24"/>
                <w:szCs w:val="24"/>
              </w:rPr>
            </w:pPr>
            <w:r>
              <w:rPr>
                <w:rFonts w:hint="eastAsia" w:cs="宋体"/>
                <w:b/>
                <w:bCs/>
                <w:kern w:val="0"/>
                <w:sz w:val="24"/>
                <w:szCs w:val="24"/>
              </w:rPr>
              <w:t>（1）地下水、土壤污染源、污染物类型</w:t>
            </w:r>
          </w:p>
          <w:p>
            <w:pPr>
              <w:spacing w:line="360" w:lineRule="auto"/>
              <w:ind w:firstLine="480" w:firstLineChars="200"/>
              <w:rPr>
                <w:kern w:val="0"/>
                <w:sz w:val="24"/>
              </w:rPr>
            </w:pPr>
            <w:r>
              <w:rPr>
                <w:rFonts w:hint="eastAsia" w:cs="宋体"/>
                <w:kern w:val="0"/>
                <w:sz w:val="24"/>
                <w:szCs w:val="24"/>
              </w:rPr>
              <w:t>①</w:t>
            </w:r>
            <w:r>
              <w:rPr>
                <w:kern w:val="0"/>
                <w:sz w:val="24"/>
              </w:rPr>
              <w:t>项目运营期地下水、土壤污染源主要为</w:t>
            </w:r>
            <w:r>
              <w:rPr>
                <w:rFonts w:hint="eastAsia"/>
                <w:kern w:val="0"/>
                <w:sz w:val="24"/>
              </w:rPr>
              <w:t>原料库房、化粪池及</w:t>
            </w:r>
            <w:r>
              <w:rPr>
                <w:kern w:val="0"/>
                <w:sz w:val="24"/>
              </w:rPr>
              <w:t>危废暂存间。其中：；</w:t>
            </w:r>
            <w:r>
              <w:rPr>
                <w:rFonts w:hint="eastAsia"/>
                <w:kern w:val="0"/>
                <w:sz w:val="24"/>
              </w:rPr>
              <w:t>原料库房按照分区防渗要求做了防渗处理；</w:t>
            </w:r>
            <w:r>
              <w:rPr>
                <w:kern w:val="0"/>
                <w:sz w:val="24"/>
              </w:rPr>
              <w:t>生活污水进入化粪池处理后</w:t>
            </w:r>
            <w:r>
              <w:rPr>
                <w:rFonts w:hint="eastAsia"/>
                <w:kern w:val="0"/>
                <w:sz w:val="24"/>
              </w:rPr>
              <w:t>排入园区管网；</w:t>
            </w:r>
            <w:r>
              <w:rPr>
                <w:kern w:val="0"/>
                <w:sz w:val="24"/>
              </w:rPr>
              <w:t>危废暂存间</w:t>
            </w:r>
            <w:r>
              <w:rPr>
                <w:rFonts w:hint="eastAsia"/>
                <w:kern w:val="0"/>
                <w:sz w:val="24"/>
              </w:rPr>
              <w:t>暂存的危险废物定期</w:t>
            </w:r>
            <w:r>
              <w:rPr>
                <w:kern w:val="0"/>
                <w:sz w:val="24"/>
              </w:rPr>
              <w:t>委托有资质的单位进行</w:t>
            </w:r>
            <w:r>
              <w:rPr>
                <w:rFonts w:hint="eastAsia"/>
                <w:kern w:val="0"/>
                <w:sz w:val="24"/>
              </w:rPr>
              <w:t>处置</w:t>
            </w:r>
            <w:r>
              <w:rPr>
                <w:kern w:val="0"/>
                <w:sz w:val="24"/>
              </w:rPr>
              <w:t>。本项目</w:t>
            </w:r>
            <w:r>
              <w:rPr>
                <w:rFonts w:hint="eastAsia"/>
                <w:kern w:val="0"/>
                <w:sz w:val="24"/>
              </w:rPr>
              <w:t>环评要求</w:t>
            </w:r>
            <w:r>
              <w:rPr>
                <w:kern w:val="0"/>
                <w:sz w:val="24"/>
              </w:rPr>
              <w:t>化粪池做防渗漏处理，危废暂存间按照相关防渗要求</w:t>
            </w:r>
            <w:r>
              <w:rPr>
                <w:rFonts w:hint="eastAsia"/>
                <w:kern w:val="0"/>
                <w:sz w:val="24"/>
              </w:rPr>
              <w:t>规范</w:t>
            </w:r>
            <w:r>
              <w:rPr>
                <w:kern w:val="0"/>
                <w:sz w:val="24"/>
              </w:rPr>
              <w:t>建设。因此，对土壤、地下水环境影响不大。</w:t>
            </w:r>
          </w:p>
          <w:p>
            <w:pPr>
              <w:adjustRightInd w:val="0"/>
              <w:snapToGrid w:val="0"/>
              <w:spacing w:line="360" w:lineRule="auto"/>
              <w:rPr>
                <w:rFonts w:cs="宋体"/>
                <w:b/>
                <w:bCs/>
                <w:kern w:val="0"/>
                <w:sz w:val="24"/>
                <w:szCs w:val="24"/>
              </w:rPr>
            </w:pPr>
            <w:r>
              <w:rPr>
                <w:rFonts w:hint="eastAsia" w:cs="宋体"/>
                <w:b/>
                <w:bCs/>
                <w:kern w:val="0"/>
                <w:sz w:val="24"/>
                <w:szCs w:val="24"/>
              </w:rPr>
              <w:t>（2）</w:t>
            </w:r>
            <w:r>
              <w:rPr>
                <w:b/>
                <w:kern w:val="0"/>
                <w:sz w:val="24"/>
              </w:rPr>
              <w:t>地下水、土壤污染途径</w:t>
            </w:r>
          </w:p>
          <w:p>
            <w:pPr>
              <w:spacing w:line="360" w:lineRule="auto"/>
              <w:ind w:firstLine="480" w:firstLineChars="200"/>
              <w:rPr>
                <w:rFonts w:cs="宋体"/>
                <w:kern w:val="0"/>
                <w:sz w:val="24"/>
              </w:rPr>
            </w:pPr>
            <w:r>
              <w:rPr>
                <w:kern w:val="0"/>
                <w:sz w:val="24"/>
              </w:rPr>
              <w:t>本项目可能对地下水、土壤造成污染的途径主要有：</w:t>
            </w:r>
            <w:r>
              <w:rPr>
                <w:rFonts w:hint="eastAsia" w:cs="宋体"/>
                <w:kern w:val="0"/>
                <w:sz w:val="24"/>
              </w:rPr>
              <w:t>①</w:t>
            </w:r>
            <w:r>
              <w:rPr>
                <w:kern w:val="0"/>
                <w:sz w:val="24"/>
              </w:rPr>
              <w:t>危废暂存间地面防渗层发生破损的情况下会发生渗漏，对土壤、地下水造成污染；</w:t>
            </w:r>
            <w:r>
              <w:rPr>
                <w:rFonts w:hint="eastAsia" w:cs="宋体"/>
                <w:kern w:val="0"/>
                <w:sz w:val="24"/>
              </w:rPr>
              <w:t>②原料库房的不饱和聚酯树脂、固化剂等</w:t>
            </w:r>
            <w:r>
              <w:rPr>
                <w:rFonts w:hint="eastAsia" w:cs="宋体"/>
                <w:sz w:val="24"/>
              </w:rPr>
              <w:t>在储存及使用过程中会因包装桶破裂或操作不当引起泄漏，</w:t>
            </w:r>
            <w:r>
              <w:rPr>
                <w:kern w:val="0"/>
                <w:sz w:val="24"/>
              </w:rPr>
              <w:t>对土壤、地下水造成污染；</w:t>
            </w:r>
            <w:r>
              <w:rPr>
                <w:rFonts w:cs="宋体"/>
                <w:kern w:val="0"/>
                <w:sz w:val="24"/>
              </w:rPr>
              <w:fldChar w:fldCharType="begin"/>
            </w:r>
            <w:r>
              <w:rPr>
                <w:rFonts w:cs="宋体"/>
                <w:kern w:val="0"/>
                <w:sz w:val="24"/>
              </w:rPr>
              <w:instrText xml:space="preserve"> </w:instrText>
            </w:r>
            <w:r>
              <w:rPr>
                <w:rFonts w:hint="eastAsia" w:cs="宋体"/>
                <w:kern w:val="0"/>
                <w:sz w:val="24"/>
              </w:rPr>
              <w:instrText xml:space="preserve">= 3 \* GB3</w:instrText>
            </w:r>
            <w:r>
              <w:rPr>
                <w:rFonts w:cs="宋体"/>
                <w:kern w:val="0"/>
                <w:sz w:val="24"/>
              </w:rPr>
              <w:instrText xml:space="preserve"> </w:instrText>
            </w:r>
            <w:r>
              <w:rPr>
                <w:rFonts w:cs="宋体"/>
                <w:kern w:val="0"/>
                <w:sz w:val="24"/>
              </w:rPr>
              <w:fldChar w:fldCharType="separate"/>
            </w:r>
            <w:r>
              <w:rPr>
                <w:rFonts w:hint="eastAsia" w:cs="宋体"/>
                <w:kern w:val="0"/>
                <w:sz w:val="24"/>
              </w:rPr>
              <w:t>③</w:t>
            </w:r>
            <w:r>
              <w:rPr>
                <w:rFonts w:cs="宋体"/>
                <w:kern w:val="0"/>
                <w:sz w:val="24"/>
              </w:rPr>
              <w:fldChar w:fldCharType="end"/>
            </w:r>
            <w:r>
              <w:rPr>
                <w:rFonts w:hint="eastAsia" w:cs="宋体"/>
                <w:kern w:val="0"/>
                <w:sz w:val="24"/>
              </w:rPr>
              <w:t>化粪池突发情况泄露或厂区突发事故，使</w:t>
            </w:r>
            <w:r>
              <w:rPr>
                <w:kern w:val="0"/>
                <w:sz w:val="24"/>
              </w:rPr>
              <w:t>污水外泄渗入土壤而进入地下水环境</w:t>
            </w:r>
            <w:r>
              <w:rPr>
                <w:rFonts w:hint="eastAsia" w:cs="宋体"/>
                <w:kern w:val="0"/>
                <w:sz w:val="24"/>
              </w:rPr>
              <w:t>。</w:t>
            </w:r>
          </w:p>
          <w:p>
            <w:pPr>
              <w:adjustRightInd w:val="0"/>
              <w:snapToGrid w:val="0"/>
              <w:spacing w:line="360" w:lineRule="auto"/>
              <w:rPr>
                <w:rFonts w:cs="宋体"/>
                <w:b/>
                <w:bCs/>
                <w:kern w:val="0"/>
                <w:sz w:val="24"/>
                <w:szCs w:val="24"/>
              </w:rPr>
            </w:pPr>
            <w:r>
              <w:rPr>
                <w:rFonts w:hint="eastAsia" w:cs="宋体"/>
                <w:b/>
                <w:bCs/>
                <w:kern w:val="0"/>
                <w:sz w:val="24"/>
                <w:szCs w:val="24"/>
              </w:rPr>
              <w:t>（3）防治措施</w:t>
            </w:r>
          </w:p>
          <w:p>
            <w:pPr>
              <w:adjustRightInd w:val="0"/>
              <w:snapToGrid w:val="0"/>
              <w:spacing w:line="360" w:lineRule="auto"/>
              <w:ind w:firstLine="480"/>
              <w:rPr>
                <w:rFonts w:cs="宋体"/>
                <w:kern w:val="0"/>
                <w:sz w:val="24"/>
                <w:szCs w:val="24"/>
              </w:rPr>
            </w:pPr>
            <w:r>
              <w:rPr>
                <w:rFonts w:hint="eastAsia" w:cs="宋体"/>
                <w:kern w:val="0"/>
                <w:sz w:val="24"/>
                <w:szCs w:val="24"/>
              </w:rPr>
              <w:t>①</w:t>
            </w:r>
            <w:r>
              <w:rPr>
                <w:rFonts w:cs="宋体"/>
                <w:kern w:val="0"/>
                <w:sz w:val="24"/>
                <w:szCs w:val="24"/>
              </w:rPr>
              <w:t>源头控制措施</w:t>
            </w:r>
          </w:p>
          <w:p>
            <w:pPr>
              <w:adjustRightInd w:val="0"/>
              <w:snapToGrid w:val="0"/>
              <w:spacing w:line="360" w:lineRule="auto"/>
              <w:ind w:firstLine="480"/>
              <w:rPr>
                <w:rFonts w:cs="宋体"/>
                <w:kern w:val="0"/>
                <w:sz w:val="24"/>
                <w:szCs w:val="24"/>
              </w:rPr>
            </w:pPr>
            <w:r>
              <w:rPr>
                <w:rFonts w:cs="宋体"/>
                <w:kern w:val="0"/>
                <w:sz w:val="24"/>
                <w:szCs w:val="24"/>
              </w:rPr>
              <w:t>本项目将选择先进、成熟、可靠的工艺技术，并且对产生的废物进行合理</w:t>
            </w:r>
            <w:r>
              <w:rPr>
                <w:rFonts w:hint="eastAsia" w:cs="宋体"/>
                <w:kern w:val="0"/>
                <w:sz w:val="24"/>
                <w:szCs w:val="24"/>
              </w:rPr>
              <w:t>地</w:t>
            </w:r>
            <w:r>
              <w:rPr>
                <w:rFonts w:cs="宋体"/>
                <w:kern w:val="0"/>
                <w:sz w:val="24"/>
                <w:szCs w:val="24"/>
              </w:rPr>
              <w:t>回用和治理，尽可能从源头上减少污染物排放；严格按照国家相关规范要求，对工艺、设备</w:t>
            </w:r>
            <w:r>
              <w:rPr>
                <w:rFonts w:hint="eastAsia" w:cs="宋体"/>
                <w:kern w:val="0"/>
                <w:sz w:val="24"/>
                <w:szCs w:val="24"/>
              </w:rPr>
              <w:t>等</w:t>
            </w:r>
            <w:r>
              <w:rPr>
                <w:rFonts w:cs="宋体"/>
                <w:kern w:val="0"/>
                <w:sz w:val="24"/>
                <w:szCs w:val="24"/>
              </w:rPr>
              <w:t>采取相应的措施，以防止和降低污染物的跑、冒、滴、漏</w:t>
            </w:r>
            <w:r>
              <w:rPr>
                <w:rFonts w:hint="eastAsia" w:cs="宋体"/>
                <w:kern w:val="0"/>
                <w:sz w:val="24"/>
                <w:szCs w:val="24"/>
              </w:rPr>
              <w:t>从而影响土壤环境</w:t>
            </w:r>
            <w:r>
              <w:rPr>
                <w:rFonts w:cs="宋体"/>
                <w:kern w:val="0"/>
                <w:sz w:val="24"/>
                <w:szCs w:val="24"/>
              </w:rPr>
              <w:t>。</w:t>
            </w:r>
          </w:p>
          <w:p>
            <w:pPr>
              <w:adjustRightInd w:val="0"/>
              <w:snapToGrid w:val="0"/>
              <w:spacing w:line="360" w:lineRule="auto"/>
              <w:ind w:firstLine="480"/>
              <w:rPr>
                <w:rFonts w:cs="宋体"/>
                <w:kern w:val="0"/>
                <w:sz w:val="24"/>
                <w:szCs w:val="24"/>
              </w:rPr>
            </w:pPr>
            <w:r>
              <w:rPr>
                <w:rFonts w:hint="eastAsia" w:cs="宋体"/>
                <w:kern w:val="0"/>
                <w:sz w:val="24"/>
                <w:szCs w:val="24"/>
              </w:rPr>
              <w:t>②</w:t>
            </w:r>
            <w:r>
              <w:rPr>
                <w:rFonts w:cs="宋体"/>
                <w:kern w:val="0"/>
                <w:sz w:val="24"/>
                <w:szCs w:val="24"/>
              </w:rPr>
              <w:t>分区防渗</w:t>
            </w:r>
          </w:p>
          <w:p>
            <w:pPr>
              <w:spacing w:line="360" w:lineRule="auto"/>
              <w:ind w:firstLine="480" w:firstLineChars="200"/>
              <w:rPr>
                <w:kern w:val="0"/>
                <w:sz w:val="24"/>
              </w:rPr>
            </w:pPr>
            <w:r>
              <w:rPr>
                <w:kern w:val="0"/>
                <w:sz w:val="24"/>
              </w:rPr>
              <w:t>依据原料、产品的生产输送、储存等环节，结合项目总平面布置情况，根据《环境影响评价技术导则地下水环境》（HJ610-2016），项目场地分为重点防渗区、一般防渗区和简单防渗区，具体如下</w:t>
            </w:r>
            <w:r>
              <w:rPr>
                <w:rFonts w:hint="eastAsia"/>
                <w:kern w:val="0"/>
                <w:sz w:val="24"/>
              </w:rPr>
              <w:t>表</w:t>
            </w:r>
            <w:r>
              <w:rPr>
                <w:rFonts w:hint="eastAsia" w:cs="宋体"/>
                <w:kern w:val="0"/>
                <w:sz w:val="24"/>
                <w:szCs w:val="24"/>
              </w:rPr>
              <w:t>。</w:t>
            </w:r>
          </w:p>
          <w:p>
            <w:pPr>
              <w:adjustRightInd w:val="0"/>
              <w:snapToGrid w:val="0"/>
              <w:spacing w:line="360" w:lineRule="auto"/>
              <w:ind w:firstLine="480"/>
              <w:jc w:val="center"/>
              <w:rPr>
                <w:rFonts w:cs="宋体"/>
                <w:b/>
                <w:bCs/>
                <w:kern w:val="0"/>
                <w:szCs w:val="24"/>
              </w:rPr>
            </w:pPr>
            <w:r>
              <w:rPr>
                <w:rFonts w:cs="宋体"/>
                <w:b/>
                <w:bCs/>
                <w:kern w:val="0"/>
                <w:szCs w:val="24"/>
              </w:rPr>
              <w:t>表</w:t>
            </w:r>
            <w:r>
              <w:rPr>
                <w:rFonts w:hint="eastAsia" w:cs="宋体"/>
                <w:b/>
                <w:bCs/>
                <w:kern w:val="0"/>
                <w:szCs w:val="24"/>
              </w:rPr>
              <w:t xml:space="preserve">4-15  </w:t>
            </w:r>
            <w:r>
              <w:rPr>
                <w:rFonts w:cs="宋体"/>
                <w:b/>
                <w:bCs/>
                <w:kern w:val="0"/>
                <w:szCs w:val="24"/>
              </w:rPr>
              <w:t>本项目分区防渗措施</w:t>
            </w:r>
          </w:p>
          <w:tbl>
            <w:tblPr>
              <w:tblStyle w:val="3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5"/>
              <w:gridCol w:w="2052"/>
              <w:gridCol w:w="5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2014" w:type="pct"/>
                  <w:gridSpan w:val="2"/>
                  <w:tcBorders>
                    <w:bottom w:val="single" w:color="auto" w:sz="4" w:space="0"/>
                    <w:right w:val="single" w:color="auto" w:sz="4" w:space="0"/>
                  </w:tcBorders>
                  <w:shd w:val="clear" w:color="auto" w:fill="auto"/>
                  <w:vAlign w:val="center"/>
                </w:tcPr>
                <w:p>
                  <w:pPr>
                    <w:adjustRightInd w:val="0"/>
                    <w:snapToGrid w:val="0"/>
                    <w:jc w:val="center"/>
                    <w:rPr>
                      <w:rFonts w:cs="宋体"/>
                      <w:kern w:val="0"/>
                    </w:rPr>
                  </w:pPr>
                  <w:r>
                    <w:rPr>
                      <w:rFonts w:cs="宋体"/>
                      <w:kern w:val="0"/>
                    </w:rPr>
                    <w:t>防渗分区</w:t>
                  </w:r>
                </w:p>
              </w:tc>
              <w:tc>
                <w:tcPr>
                  <w:tcW w:w="2986" w:type="pct"/>
                  <w:tcBorders>
                    <w:left w:val="single" w:color="auto" w:sz="4" w:space="0"/>
                    <w:bottom w:val="single" w:color="auto" w:sz="4" w:space="0"/>
                  </w:tcBorders>
                  <w:shd w:val="clear" w:color="auto" w:fill="auto"/>
                  <w:vAlign w:val="center"/>
                </w:tcPr>
                <w:p>
                  <w:pPr>
                    <w:adjustRightInd w:val="0"/>
                    <w:snapToGrid w:val="0"/>
                    <w:jc w:val="center"/>
                    <w:rPr>
                      <w:rFonts w:cs="宋体"/>
                      <w:kern w:val="0"/>
                    </w:rPr>
                  </w:pPr>
                  <w:r>
                    <w:rPr>
                      <w:rFonts w:cs="宋体"/>
                      <w:kern w:val="0"/>
                    </w:rPr>
                    <w:t>防渗技术要求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52" w:type="pct"/>
                  <w:tcBorders>
                    <w:top w:val="single" w:color="auto" w:sz="4" w:space="0"/>
                    <w:right w:val="single" w:color="auto" w:sz="4" w:space="0"/>
                  </w:tcBorders>
                  <w:shd w:val="clear" w:color="auto" w:fill="auto"/>
                  <w:vAlign w:val="center"/>
                </w:tcPr>
                <w:p>
                  <w:pPr>
                    <w:adjustRightInd w:val="0"/>
                    <w:snapToGrid w:val="0"/>
                    <w:jc w:val="center"/>
                    <w:rPr>
                      <w:rFonts w:cs="宋体"/>
                      <w:kern w:val="0"/>
                    </w:rPr>
                  </w:pPr>
                  <w:r>
                    <w:rPr>
                      <w:rFonts w:cs="宋体"/>
                      <w:kern w:val="0"/>
                    </w:rPr>
                    <w:t>重点防渗区</w:t>
                  </w:r>
                </w:p>
              </w:tc>
              <w:tc>
                <w:tcPr>
                  <w:tcW w:w="116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cs="宋体"/>
                      <w:kern w:val="0"/>
                    </w:rPr>
                  </w:pPr>
                  <w:r>
                    <w:rPr>
                      <w:rFonts w:cs="宋体"/>
                      <w:kern w:val="0"/>
                    </w:rPr>
                    <w:t>危废暂存间</w:t>
                  </w:r>
                  <w:r>
                    <w:rPr>
                      <w:rFonts w:hint="eastAsia" w:cs="宋体"/>
                      <w:kern w:val="0"/>
                    </w:rPr>
                    <w:t>、原料库房</w:t>
                  </w:r>
                </w:p>
              </w:tc>
              <w:tc>
                <w:tcPr>
                  <w:tcW w:w="2986" w:type="pct"/>
                  <w:tcBorders>
                    <w:top w:val="single" w:color="auto" w:sz="4" w:space="0"/>
                    <w:left w:val="single" w:color="auto" w:sz="4" w:space="0"/>
                    <w:bottom w:val="single" w:color="auto" w:sz="4" w:space="0"/>
                  </w:tcBorders>
                  <w:shd w:val="clear" w:color="auto" w:fill="auto"/>
                  <w:vAlign w:val="center"/>
                </w:tcPr>
                <w:p>
                  <w:pPr>
                    <w:adjustRightInd w:val="0"/>
                    <w:snapToGrid w:val="0"/>
                    <w:jc w:val="center"/>
                    <w:rPr>
                      <w:rFonts w:cs="宋体"/>
                      <w:kern w:val="0"/>
                    </w:rPr>
                  </w:pPr>
                  <w:r>
                    <w:rPr>
                      <w:rFonts w:cs="宋体"/>
                      <w:kern w:val="0"/>
                    </w:rPr>
                    <w:t>等效黏土防渗层Mb≥6.0m，K≤1×10</w:t>
                  </w:r>
                  <w:r>
                    <w:rPr>
                      <w:rFonts w:cs="宋体"/>
                      <w:kern w:val="0"/>
                      <w:vertAlign w:val="superscript"/>
                    </w:rPr>
                    <w:t>-</w:t>
                  </w:r>
                  <w:r>
                    <w:rPr>
                      <w:rFonts w:hint="eastAsia" w:cs="宋体"/>
                      <w:kern w:val="0"/>
                      <w:vertAlign w:val="superscript"/>
                    </w:rPr>
                    <w:t>10</w:t>
                  </w:r>
                  <w:r>
                    <w:rPr>
                      <w:rFonts w:cs="宋体"/>
                      <w:kern w:val="0"/>
                    </w:rPr>
                    <w:t>cm/s或参照GB18598执行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 w:type="pct"/>
                  <w:tcBorders>
                    <w:top w:val="single" w:color="auto" w:sz="4" w:space="0"/>
                    <w:right w:val="single" w:color="auto" w:sz="4" w:space="0"/>
                  </w:tcBorders>
                  <w:shd w:val="clear" w:color="auto" w:fill="auto"/>
                  <w:vAlign w:val="center"/>
                </w:tcPr>
                <w:p>
                  <w:pPr>
                    <w:adjustRightInd w:val="0"/>
                    <w:snapToGrid w:val="0"/>
                    <w:jc w:val="center"/>
                    <w:rPr>
                      <w:rFonts w:cs="宋体"/>
                      <w:kern w:val="0"/>
                    </w:rPr>
                  </w:pPr>
                  <w:r>
                    <w:rPr>
                      <w:rFonts w:hint="eastAsia" w:cs="宋体"/>
                      <w:kern w:val="0"/>
                    </w:rPr>
                    <w:t>一般防渗区</w:t>
                  </w:r>
                </w:p>
              </w:tc>
              <w:tc>
                <w:tcPr>
                  <w:tcW w:w="1162" w:type="pct"/>
                  <w:tcBorders>
                    <w:top w:val="single" w:color="auto" w:sz="4" w:space="0"/>
                    <w:left w:val="single" w:color="auto" w:sz="4" w:space="0"/>
                    <w:bottom w:val="single" w:color="auto" w:sz="4" w:space="0"/>
                    <w:right w:val="single" w:color="auto" w:sz="4" w:space="0"/>
                  </w:tcBorders>
                  <w:shd w:val="clear" w:color="auto" w:fill="auto"/>
                  <w:vAlign w:val="center"/>
                </w:tcPr>
                <w:p>
                  <w:pPr>
                    <w:adjustRightInd w:val="0"/>
                    <w:snapToGrid w:val="0"/>
                    <w:jc w:val="center"/>
                    <w:rPr>
                      <w:rFonts w:cs="宋体"/>
                      <w:kern w:val="0"/>
                    </w:rPr>
                  </w:pPr>
                  <w:r>
                    <w:rPr>
                      <w:rFonts w:hint="eastAsia" w:cs="宋体"/>
                      <w:kern w:val="0"/>
                    </w:rPr>
                    <w:t>化粪池、生产车间</w:t>
                  </w:r>
                </w:p>
              </w:tc>
              <w:tc>
                <w:tcPr>
                  <w:tcW w:w="2986" w:type="pct"/>
                  <w:tcBorders>
                    <w:top w:val="single" w:color="auto" w:sz="4" w:space="0"/>
                    <w:left w:val="single" w:color="auto" w:sz="4" w:space="0"/>
                    <w:bottom w:val="single" w:color="auto" w:sz="4" w:space="0"/>
                  </w:tcBorders>
                  <w:shd w:val="clear" w:color="auto" w:fill="auto"/>
                  <w:vAlign w:val="center"/>
                </w:tcPr>
                <w:p>
                  <w:pPr>
                    <w:adjustRightInd w:val="0"/>
                    <w:snapToGrid w:val="0"/>
                    <w:jc w:val="center"/>
                    <w:rPr>
                      <w:rFonts w:cs="宋体"/>
                      <w:kern w:val="0"/>
                    </w:rPr>
                  </w:pPr>
                  <w:r>
                    <w:rPr>
                      <w:rFonts w:cs="宋体"/>
                      <w:kern w:val="0"/>
                    </w:rPr>
                    <w:t>等效黏土防渗层Mb≥1.5m，K≤1×10</w:t>
                  </w:r>
                  <w:r>
                    <w:rPr>
                      <w:rFonts w:cs="宋体"/>
                      <w:kern w:val="0"/>
                      <w:vertAlign w:val="superscript"/>
                    </w:rPr>
                    <w:t>-</w:t>
                  </w:r>
                  <w:r>
                    <w:rPr>
                      <w:rFonts w:hint="eastAsia" w:cs="宋体"/>
                      <w:kern w:val="0"/>
                      <w:vertAlign w:val="superscript"/>
                    </w:rPr>
                    <w:t>7</w:t>
                  </w:r>
                  <w:r>
                    <w:rPr>
                      <w:rFonts w:cs="宋体"/>
                      <w:kern w:val="0"/>
                    </w:rPr>
                    <w:t>cm/s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2" w:type="pct"/>
                  <w:tcBorders>
                    <w:top w:val="single" w:color="auto" w:sz="4" w:space="0"/>
                    <w:right w:val="single" w:color="auto" w:sz="4" w:space="0"/>
                  </w:tcBorders>
                  <w:shd w:val="clear" w:color="auto" w:fill="auto"/>
                  <w:vAlign w:val="center"/>
                </w:tcPr>
                <w:p>
                  <w:pPr>
                    <w:adjustRightInd w:val="0"/>
                    <w:snapToGrid w:val="0"/>
                    <w:jc w:val="center"/>
                    <w:rPr>
                      <w:rFonts w:cs="宋体"/>
                      <w:kern w:val="0"/>
                    </w:rPr>
                  </w:pPr>
                  <w:r>
                    <w:rPr>
                      <w:rFonts w:hint="eastAsia" w:cs="宋体"/>
                      <w:kern w:val="0"/>
                    </w:rPr>
                    <w:t>简单防渗区</w:t>
                  </w:r>
                </w:p>
              </w:tc>
              <w:tc>
                <w:tcPr>
                  <w:tcW w:w="1162" w:type="pct"/>
                  <w:tcBorders>
                    <w:top w:val="single" w:color="auto" w:sz="4" w:space="0"/>
                    <w:left w:val="single" w:color="auto" w:sz="4" w:space="0"/>
                    <w:right w:val="single" w:color="auto" w:sz="4" w:space="0"/>
                  </w:tcBorders>
                  <w:shd w:val="clear" w:color="auto" w:fill="auto"/>
                  <w:vAlign w:val="center"/>
                </w:tcPr>
                <w:p>
                  <w:pPr>
                    <w:adjustRightInd w:val="0"/>
                    <w:snapToGrid w:val="0"/>
                    <w:jc w:val="center"/>
                    <w:rPr>
                      <w:rFonts w:cs="宋体"/>
                      <w:kern w:val="0"/>
                    </w:rPr>
                  </w:pPr>
                  <w:r>
                    <w:rPr>
                      <w:rFonts w:hint="eastAsia" w:cs="宋体"/>
                      <w:kern w:val="0"/>
                    </w:rPr>
                    <w:t>其他区域</w:t>
                  </w:r>
                </w:p>
              </w:tc>
              <w:tc>
                <w:tcPr>
                  <w:tcW w:w="2986" w:type="pct"/>
                  <w:tcBorders>
                    <w:top w:val="single" w:color="auto" w:sz="4" w:space="0"/>
                    <w:left w:val="single" w:color="auto" w:sz="4" w:space="0"/>
                  </w:tcBorders>
                  <w:shd w:val="clear" w:color="auto" w:fill="auto"/>
                  <w:vAlign w:val="center"/>
                </w:tcPr>
                <w:p>
                  <w:pPr>
                    <w:adjustRightInd w:val="0"/>
                    <w:snapToGrid w:val="0"/>
                    <w:jc w:val="center"/>
                    <w:rPr>
                      <w:rFonts w:cs="宋体"/>
                      <w:kern w:val="0"/>
                    </w:rPr>
                  </w:pPr>
                  <w:r>
                    <w:rPr>
                      <w:rFonts w:hint="eastAsia" w:cs="宋体"/>
                      <w:kern w:val="0"/>
                    </w:rPr>
                    <w:t>一般地面硬化</w:t>
                  </w:r>
                </w:p>
              </w:tc>
            </w:tr>
          </w:tbl>
          <w:p>
            <w:pPr>
              <w:adjustRightInd w:val="0"/>
              <w:snapToGrid w:val="0"/>
              <w:spacing w:line="360" w:lineRule="auto"/>
              <w:ind w:firstLine="480"/>
              <w:rPr>
                <w:rFonts w:cs="宋体"/>
                <w:bCs/>
                <w:kern w:val="0"/>
                <w:sz w:val="24"/>
                <w:szCs w:val="24"/>
              </w:rPr>
            </w:pPr>
            <w:r>
              <w:rPr>
                <w:rFonts w:hint="eastAsia" w:cs="宋体"/>
                <w:bCs/>
                <w:kern w:val="0"/>
                <w:sz w:val="24"/>
                <w:szCs w:val="24"/>
              </w:rPr>
              <w:t>为确保防渗措施的防渗效果，加强防渗措施的日常维护，使防渗措施达到应有的防渗效果。同时应加强生产设施的环保设施的管理，避免跑冒滴漏。</w:t>
            </w:r>
          </w:p>
          <w:p>
            <w:pPr>
              <w:adjustRightInd w:val="0"/>
              <w:snapToGrid w:val="0"/>
              <w:spacing w:line="360" w:lineRule="auto"/>
              <w:ind w:firstLine="480"/>
              <w:rPr>
                <w:rFonts w:cs="宋体"/>
                <w:bCs/>
                <w:kern w:val="0"/>
                <w:sz w:val="24"/>
                <w:szCs w:val="24"/>
              </w:rPr>
            </w:pPr>
            <w:r>
              <w:rPr>
                <w:rFonts w:hint="eastAsia" w:cs="宋体"/>
                <w:bCs/>
                <w:kern w:val="0"/>
                <w:sz w:val="24"/>
                <w:szCs w:val="24"/>
              </w:rPr>
              <w:t>综上所述，企业在加强管理，强化防渗措施的前提下，不会对评价区地下水及土壤产生明显影响。</w:t>
            </w:r>
            <w:r>
              <w:rPr>
                <w:rFonts w:hint="eastAsia" w:cs="宋体"/>
                <w:kern w:val="0"/>
                <w:sz w:val="24"/>
                <w:szCs w:val="24"/>
              </w:rPr>
              <w:t>本项目地下水及对土壤环境影响较小。</w:t>
            </w:r>
          </w:p>
          <w:p>
            <w:pPr>
              <w:adjustRightInd w:val="0"/>
              <w:snapToGrid w:val="0"/>
              <w:spacing w:line="360" w:lineRule="auto"/>
              <w:jc w:val="left"/>
              <w:rPr>
                <w:b/>
                <w:bCs/>
                <w:sz w:val="24"/>
                <w:szCs w:val="24"/>
              </w:rPr>
            </w:pPr>
            <w:r>
              <w:rPr>
                <w:rFonts w:hint="eastAsia"/>
                <w:b/>
                <w:bCs/>
                <w:sz w:val="24"/>
                <w:szCs w:val="24"/>
              </w:rPr>
              <w:t>6、环境风险分析</w:t>
            </w:r>
          </w:p>
          <w:p>
            <w:pPr>
              <w:adjustRightInd w:val="0"/>
              <w:snapToGrid w:val="0"/>
              <w:spacing w:line="360" w:lineRule="auto"/>
              <w:jc w:val="left"/>
              <w:rPr>
                <w:rFonts w:cs="宋体"/>
                <w:b/>
                <w:bCs/>
                <w:kern w:val="0"/>
                <w:sz w:val="24"/>
                <w:szCs w:val="24"/>
              </w:rPr>
            </w:pPr>
            <w:r>
              <w:rPr>
                <w:rFonts w:hint="eastAsia" w:cs="宋体"/>
                <w:b/>
                <w:bCs/>
                <w:kern w:val="0"/>
                <w:sz w:val="24"/>
                <w:szCs w:val="24"/>
              </w:rPr>
              <w:t>（1）</w:t>
            </w:r>
            <w:r>
              <w:rPr>
                <w:rFonts w:cs="宋体"/>
                <w:b/>
                <w:bCs/>
                <w:kern w:val="0"/>
                <w:sz w:val="24"/>
                <w:szCs w:val="24"/>
              </w:rPr>
              <w:t>风险评价等级判定</w:t>
            </w:r>
          </w:p>
          <w:p>
            <w:pPr>
              <w:adjustRightInd w:val="0"/>
              <w:snapToGrid w:val="0"/>
              <w:spacing w:line="360" w:lineRule="auto"/>
              <w:ind w:firstLine="480" w:firstLineChars="200"/>
              <w:rPr>
                <w:rFonts w:cs="宋体"/>
                <w:sz w:val="24"/>
              </w:rPr>
            </w:pPr>
            <w:r>
              <w:rPr>
                <w:rFonts w:hint="eastAsia" w:cs="宋体"/>
                <w:sz w:val="24"/>
              </w:rPr>
              <w:t>根据《建设项目环境风险评价技术导则》</w:t>
            </w:r>
            <w:r>
              <w:rPr>
                <w:rFonts w:hint="eastAsia"/>
                <w:sz w:val="24"/>
              </w:rPr>
              <w:t>（</w:t>
            </w:r>
            <w:r>
              <w:rPr>
                <w:sz w:val="24"/>
              </w:rPr>
              <w:t>HJ169-20</w:t>
            </w:r>
            <w:r>
              <w:rPr>
                <w:rFonts w:hint="eastAsia"/>
                <w:sz w:val="24"/>
              </w:rPr>
              <w:t>18）</w:t>
            </w:r>
            <w:r>
              <w:rPr>
                <w:rFonts w:hint="eastAsia" w:cs="宋体"/>
                <w:sz w:val="24"/>
              </w:rPr>
              <w:t>附录B中重点关注的危险物质及临界量和《重大危险源辨识标准》（GB18218-2018）规定，确定本单位的环境风险物质主要为润滑油及废润滑油、不饱和聚酯树脂（含5%苯乙烯）和固化剂等。项目环境风险评价工作等级划分情况见下表。</w:t>
            </w:r>
          </w:p>
          <w:p>
            <w:pPr>
              <w:pStyle w:val="105"/>
              <w:spacing w:line="360" w:lineRule="auto"/>
              <w:rPr>
                <w:rFonts w:ascii="Times New Roman"/>
                <w:sz w:val="21"/>
                <w:szCs w:val="24"/>
              </w:rPr>
            </w:pPr>
            <w:r>
              <w:rPr>
                <w:rFonts w:hint="eastAsia" w:ascii="Times New Roman"/>
                <w:sz w:val="21"/>
                <w:szCs w:val="24"/>
              </w:rPr>
              <w:t>表4-16 评价工作等级判断表</w:t>
            </w:r>
          </w:p>
          <w:tbl>
            <w:tblPr>
              <w:tblStyle w:val="3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4"/>
              <w:gridCol w:w="1512"/>
              <w:gridCol w:w="1953"/>
              <w:gridCol w:w="1369"/>
              <w:gridCol w:w="1206"/>
              <w:gridCol w:w="19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 w:hRule="atLeast"/>
                <w:tblHeader/>
              </w:trPr>
              <w:tc>
                <w:tcPr>
                  <w:tcW w:w="461" w:type="pct"/>
                  <w:vAlign w:val="center"/>
                </w:tcPr>
                <w:p>
                  <w:pPr>
                    <w:snapToGrid w:val="0"/>
                    <w:jc w:val="center"/>
                  </w:pPr>
                  <w:r>
                    <w:rPr>
                      <w:rFonts w:hint="eastAsia"/>
                    </w:rPr>
                    <w:t>序号</w:t>
                  </w:r>
                </w:p>
              </w:tc>
              <w:tc>
                <w:tcPr>
                  <w:tcW w:w="856" w:type="pct"/>
                  <w:vAlign w:val="center"/>
                </w:tcPr>
                <w:p>
                  <w:pPr>
                    <w:snapToGrid w:val="0"/>
                    <w:jc w:val="center"/>
                  </w:pPr>
                  <w:r>
                    <w:rPr>
                      <w:rFonts w:hint="eastAsia"/>
                    </w:rPr>
                    <w:t>名称</w:t>
                  </w:r>
                </w:p>
              </w:tc>
              <w:tc>
                <w:tcPr>
                  <w:tcW w:w="1106" w:type="pct"/>
                  <w:vAlign w:val="center"/>
                </w:tcPr>
                <w:p>
                  <w:pPr>
                    <w:snapToGrid w:val="0"/>
                    <w:jc w:val="center"/>
                  </w:pPr>
                  <w:r>
                    <w:rPr>
                      <w:rFonts w:hint="eastAsia"/>
                    </w:rPr>
                    <w:t>最大存在总量（管道存在量）/t</w:t>
                  </w:r>
                </w:p>
              </w:tc>
              <w:tc>
                <w:tcPr>
                  <w:tcW w:w="775" w:type="pct"/>
                  <w:vAlign w:val="center"/>
                </w:tcPr>
                <w:p>
                  <w:pPr>
                    <w:snapToGrid w:val="0"/>
                    <w:jc w:val="center"/>
                  </w:pPr>
                  <w:r>
                    <w:rPr>
                      <w:rFonts w:hint="eastAsia"/>
                    </w:rPr>
                    <w:t>临界量</w:t>
                  </w:r>
                  <w:r>
                    <w:t>/t</w:t>
                  </w:r>
                </w:p>
              </w:tc>
              <w:tc>
                <w:tcPr>
                  <w:tcW w:w="683" w:type="pct"/>
                  <w:vAlign w:val="center"/>
                </w:tcPr>
                <w:p>
                  <w:pPr>
                    <w:snapToGrid w:val="0"/>
                    <w:jc w:val="center"/>
                  </w:pPr>
                  <w:r>
                    <w:t>q</w:t>
                  </w:r>
                  <w:r>
                    <w:rPr>
                      <w:vertAlign w:val="subscript"/>
                    </w:rPr>
                    <w:t>n</w:t>
                  </w:r>
                  <w:r>
                    <w:t>/Q</w:t>
                  </w:r>
                  <w:r>
                    <w:rPr>
                      <w:vertAlign w:val="subscript"/>
                    </w:rPr>
                    <w:t>n</w:t>
                  </w:r>
                </w:p>
              </w:tc>
              <w:tc>
                <w:tcPr>
                  <w:tcW w:w="1119" w:type="pct"/>
                  <w:vAlign w:val="center"/>
                </w:tcPr>
                <w:p>
                  <w:pPr>
                    <w:snapToGrid w:val="0"/>
                    <w:jc w:val="cente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461" w:type="pct"/>
                  <w:vAlign w:val="center"/>
                </w:tcPr>
                <w:p>
                  <w:pPr>
                    <w:snapToGrid w:val="0"/>
                    <w:jc w:val="center"/>
                  </w:pPr>
                  <w:r>
                    <w:t>1</w:t>
                  </w:r>
                </w:p>
              </w:tc>
              <w:tc>
                <w:tcPr>
                  <w:tcW w:w="856" w:type="pct"/>
                  <w:vAlign w:val="center"/>
                </w:tcPr>
                <w:p>
                  <w:pPr>
                    <w:snapToGrid w:val="0"/>
                    <w:jc w:val="center"/>
                  </w:pPr>
                  <w:r>
                    <w:rPr>
                      <w:rFonts w:hint="eastAsia"/>
                    </w:rPr>
                    <w:t>润滑油及废润滑油</w:t>
                  </w:r>
                </w:p>
              </w:tc>
              <w:tc>
                <w:tcPr>
                  <w:tcW w:w="1106" w:type="pct"/>
                  <w:vAlign w:val="center"/>
                </w:tcPr>
                <w:p>
                  <w:pPr>
                    <w:snapToGrid w:val="0"/>
                    <w:jc w:val="center"/>
                  </w:pPr>
                  <w:r>
                    <w:rPr>
                      <w:rFonts w:hint="eastAsia"/>
                    </w:rPr>
                    <w:t>0.06</w:t>
                  </w:r>
                </w:p>
              </w:tc>
              <w:tc>
                <w:tcPr>
                  <w:tcW w:w="775" w:type="pct"/>
                  <w:vAlign w:val="center"/>
                </w:tcPr>
                <w:p>
                  <w:pPr>
                    <w:snapToGrid w:val="0"/>
                    <w:jc w:val="center"/>
                  </w:pPr>
                  <w:r>
                    <w:rPr>
                      <w:rFonts w:hint="eastAsia"/>
                    </w:rPr>
                    <w:t>2500</w:t>
                  </w:r>
                </w:p>
              </w:tc>
              <w:tc>
                <w:tcPr>
                  <w:tcW w:w="683" w:type="pct"/>
                  <w:vAlign w:val="center"/>
                </w:tcPr>
                <w:p>
                  <w:pPr>
                    <w:snapToGrid w:val="0"/>
                    <w:jc w:val="center"/>
                  </w:pPr>
                  <w:r>
                    <w:rPr>
                      <w:rFonts w:hint="eastAsia"/>
                    </w:rPr>
                    <w:t>0.000024</w:t>
                  </w:r>
                </w:p>
              </w:tc>
              <w:tc>
                <w:tcPr>
                  <w:tcW w:w="1119" w:type="pct"/>
                  <w:vAlign w:val="center"/>
                </w:tcPr>
                <w:p>
                  <w:pPr>
                    <w:keepNext/>
                    <w:snapToGrid w:val="0"/>
                    <w:jc w:val="center"/>
                    <w:outlineLvl w:val="0"/>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461" w:type="pct"/>
                  <w:vAlign w:val="center"/>
                </w:tcPr>
                <w:p>
                  <w:pPr>
                    <w:snapToGrid w:val="0"/>
                    <w:jc w:val="center"/>
                  </w:pPr>
                  <w:r>
                    <w:rPr>
                      <w:rFonts w:hint="eastAsia"/>
                    </w:rPr>
                    <w:t>2</w:t>
                  </w:r>
                </w:p>
              </w:tc>
              <w:tc>
                <w:tcPr>
                  <w:tcW w:w="856" w:type="pct"/>
                  <w:vAlign w:val="center"/>
                </w:tcPr>
                <w:p>
                  <w:pPr>
                    <w:snapToGrid w:val="0"/>
                    <w:jc w:val="center"/>
                  </w:pPr>
                  <w:r>
                    <w:rPr>
                      <w:rFonts w:hint="eastAsia"/>
                    </w:rPr>
                    <w:t>苯乙烯</w:t>
                  </w:r>
                </w:p>
              </w:tc>
              <w:tc>
                <w:tcPr>
                  <w:tcW w:w="1106" w:type="pct"/>
                  <w:vAlign w:val="center"/>
                </w:tcPr>
                <w:p>
                  <w:pPr>
                    <w:snapToGrid w:val="0"/>
                    <w:jc w:val="center"/>
                  </w:pPr>
                  <w:r>
                    <w:rPr>
                      <w:rFonts w:hint="eastAsia"/>
                    </w:rPr>
                    <w:t>1.265</w:t>
                  </w:r>
                </w:p>
              </w:tc>
              <w:tc>
                <w:tcPr>
                  <w:tcW w:w="775" w:type="pct"/>
                  <w:vAlign w:val="center"/>
                </w:tcPr>
                <w:p>
                  <w:pPr>
                    <w:snapToGrid w:val="0"/>
                    <w:jc w:val="center"/>
                  </w:pPr>
                  <w:r>
                    <w:rPr>
                      <w:rFonts w:hint="eastAsia"/>
                    </w:rPr>
                    <w:t>10</w:t>
                  </w:r>
                </w:p>
              </w:tc>
              <w:tc>
                <w:tcPr>
                  <w:tcW w:w="683" w:type="pct"/>
                  <w:vAlign w:val="center"/>
                </w:tcPr>
                <w:p>
                  <w:pPr>
                    <w:snapToGrid w:val="0"/>
                    <w:jc w:val="center"/>
                  </w:pPr>
                  <w:r>
                    <w:rPr>
                      <w:rFonts w:hint="eastAsia"/>
                    </w:rPr>
                    <w:t>0.1265</w:t>
                  </w:r>
                </w:p>
              </w:tc>
              <w:tc>
                <w:tcPr>
                  <w:tcW w:w="1119" w:type="pct"/>
                  <w:vAlign w:val="center"/>
                </w:tcPr>
                <w:p>
                  <w:pPr>
                    <w:snapToGrid w:val="0"/>
                    <w:jc w:val="center"/>
                  </w:pPr>
                  <w:r>
                    <w:rPr>
                      <w:rFonts w:hint="eastAsia"/>
                    </w:rPr>
                    <w:t>不饱和聚酯树脂中含5%苯乙烯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1317" w:type="pct"/>
                  <w:gridSpan w:val="2"/>
                  <w:vAlign w:val="center"/>
                </w:tcPr>
                <w:p>
                  <w:pPr>
                    <w:snapToGrid w:val="0"/>
                    <w:jc w:val="center"/>
                  </w:pPr>
                  <w:r>
                    <w:rPr>
                      <w:rFonts w:hint="eastAsia"/>
                    </w:rPr>
                    <w:t>合计</w:t>
                  </w:r>
                </w:p>
              </w:tc>
              <w:tc>
                <w:tcPr>
                  <w:tcW w:w="1106" w:type="pct"/>
                  <w:vAlign w:val="center"/>
                </w:tcPr>
                <w:p>
                  <w:pPr>
                    <w:snapToGrid w:val="0"/>
                    <w:jc w:val="center"/>
                  </w:pPr>
                  <w:r>
                    <w:t>/</w:t>
                  </w:r>
                </w:p>
              </w:tc>
              <w:tc>
                <w:tcPr>
                  <w:tcW w:w="775" w:type="pct"/>
                  <w:vAlign w:val="center"/>
                </w:tcPr>
                <w:p>
                  <w:pPr>
                    <w:snapToGrid w:val="0"/>
                    <w:jc w:val="center"/>
                  </w:pPr>
                  <w:r>
                    <w:t>/</w:t>
                  </w:r>
                </w:p>
              </w:tc>
              <w:tc>
                <w:tcPr>
                  <w:tcW w:w="683" w:type="pct"/>
                  <w:vAlign w:val="center"/>
                </w:tcPr>
                <w:p>
                  <w:pPr>
                    <w:snapToGrid w:val="0"/>
                    <w:jc w:val="center"/>
                  </w:pPr>
                  <w:r>
                    <w:fldChar w:fldCharType="begin"/>
                  </w:r>
                  <w:r>
                    <w:instrText xml:space="preserve"> =SUM(ABOVE) </w:instrText>
                  </w:r>
                  <w:r>
                    <w:fldChar w:fldCharType="end"/>
                  </w:r>
                  <w:r>
                    <w:fldChar w:fldCharType="begin"/>
                  </w:r>
                  <w:r>
                    <w:instrText xml:space="preserve"> =SUM(ABOVE) </w:instrText>
                  </w:r>
                  <w:r>
                    <w:fldChar w:fldCharType="separate"/>
                  </w:r>
                  <w:r>
                    <w:t>0.126524</w:t>
                  </w:r>
                  <w:r>
                    <w:fldChar w:fldCharType="end"/>
                  </w:r>
                </w:p>
              </w:tc>
              <w:tc>
                <w:tcPr>
                  <w:tcW w:w="1119" w:type="pct"/>
                  <w:vAlign w:val="center"/>
                </w:tcPr>
                <w:p>
                  <w:pPr>
                    <w:snapToGrid w:val="0"/>
                    <w:jc w:val="center"/>
                  </w:pPr>
                  <w:r>
                    <w:t>Q</w:t>
                  </w:r>
                  <w:r>
                    <w:rPr>
                      <w:rFonts w:hint="eastAsia"/>
                    </w:rPr>
                    <w:t>＜</w:t>
                  </w:r>
                  <w: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1317" w:type="pct"/>
                  <w:gridSpan w:val="2"/>
                  <w:vAlign w:val="center"/>
                </w:tcPr>
                <w:p>
                  <w:pPr>
                    <w:snapToGrid w:val="0"/>
                    <w:jc w:val="center"/>
                  </w:pPr>
                  <w:r>
                    <w:rPr>
                      <w:rFonts w:hint="eastAsia"/>
                    </w:rPr>
                    <w:t>环境风险潜势类别</w:t>
                  </w:r>
                </w:p>
              </w:tc>
              <w:tc>
                <w:tcPr>
                  <w:tcW w:w="3683" w:type="pct"/>
                  <w:gridSpan w:val="4"/>
                  <w:vAlign w:val="center"/>
                </w:tcPr>
                <w:p>
                  <w:pPr>
                    <w:snapToGrid w:val="0"/>
                    <w:jc w:val="center"/>
                  </w:pPr>
                  <w:r>
                    <w:rPr>
                      <w:rFonts w:hint="eastAsia"/>
                    </w:rPr>
                    <w:t>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 w:hRule="atLeast"/>
              </w:trPr>
              <w:tc>
                <w:tcPr>
                  <w:tcW w:w="1317" w:type="pct"/>
                  <w:gridSpan w:val="2"/>
                  <w:vAlign w:val="center"/>
                </w:tcPr>
                <w:p>
                  <w:pPr>
                    <w:snapToGrid w:val="0"/>
                    <w:jc w:val="center"/>
                  </w:pPr>
                  <w:r>
                    <w:rPr>
                      <w:rFonts w:hint="eastAsia"/>
                    </w:rPr>
                    <w:t>评价工作等级</w:t>
                  </w:r>
                </w:p>
              </w:tc>
              <w:tc>
                <w:tcPr>
                  <w:tcW w:w="3683" w:type="pct"/>
                  <w:gridSpan w:val="4"/>
                  <w:vAlign w:val="center"/>
                </w:tcPr>
                <w:p>
                  <w:pPr>
                    <w:snapToGrid w:val="0"/>
                    <w:jc w:val="center"/>
                  </w:pPr>
                  <w:r>
                    <w:rPr>
                      <w:rFonts w:hint="eastAsia"/>
                    </w:rPr>
                    <w:t>简单分析</w:t>
                  </w:r>
                </w:p>
              </w:tc>
            </w:tr>
          </w:tbl>
          <w:p>
            <w:pPr>
              <w:adjustRightInd w:val="0"/>
              <w:snapToGrid w:val="0"/>
              <w:spacing w:line="360" w:lineRule="auto"/>
              <w:ind w:firstLine="480" w:firstLineChars="200"/>
              <w:rPr>
                <w:rFonts w:cs="宋体"/>
                <w:sz w:val="24"/>
              </w:rPr>
            </w:pPr>
            <w:r>
              <w:rPr>
                <w:rFonts w:hint="eastAsia" w:cs="宋体"/>
                <w:sz w:val="24"/>
              </w:rPr>
              <w:t>项目润滑油、废润滑油及苯乙烯暂存量小，Q值小于1，环境风险潜势类别直接判定为Ⅰ类，不需要考虑生产工艺和环境敏感程度。查表可知，相应的评价工作等级为简单分析。</w:t>
            </w:r>
          </w:p>
          <w:p>
            <w:pPr>
              <w:adjustRightInd w:val="0"/>
              <w:snapToGrid w:val="0"/>
              <w:spacing w:line="360" w:lineRule="auto"/>
              <w:jc w:val="left"/>
              <w:rPr>
                <w:rFonts w:cs="宋体"/>
                <w:b/>
                <w:bCs/>
                <w:kern w:val="0"/>
                <w:sz w:val="24"/>
                <w:szCs w:val="24"/>
              </w:rPr>
            </w:pPr>
            <w:r>
              <w:rPr>
                <w:rFonts w:hint="eastAsia" w:cs="宋体"/>
                <w:b/>
                <w:bCs/>
                <w:kern w:val="0"/>
                <w:sz w:val="24"/>
                <w:szCs w:val="24"/>
              </w:rPr>
              <w:t>（2）</w:t>
            </w:r>
            <w:r>
              <w:rPr>
                <w:rFonts w:cs="宋体"/>
                <w:b/>
                <w:bCs/>
                <w:kern w:val="0"/>
                <w:sz w:val="24"/>
                <w:szCs w:val="24"/>
              </w:rPr>
              <w:t>环境风险识别</w:t>
            </w:r>
          </w:p>
          <w:p>
            <w:pPr>
              <w:adjustRightInd w:val="0"/>
              <w:snapToGrid w:val="0"/>
              <w:spacing w:line="360" w:lineRule="auto"/>
              <w:ind w:firstLine="480" w:firstLineChars="200"/>
              <w:rPr>
                <w:rFonts w:cs="宋体"/>
                <w:sz w:val="24"/>
              </w:rPr>
            </w:pPr>
            <w:r>
              <w:rPr>
                <w:rFonts w:cs="宋体"/>
                <w:sz w:val="24"/>
              </w:rPr>
              <w:t>根据《危险化学品重大危险源辨识》（GB18218-2018）及《建设项目环境风险评价技术导则》（HJ169-2018）标准所列物质</w:t>
            </w:r>
            <w:r>
              <w:rPr>
                <w:rFonts w:hint="eastAsia" w:cs="宋体"/>
                <w:sz w:val="24"/>
              </w:rPr>
              <w:t>。</w:t>
            </w:r>
          </w:p>
          <w:p>
            <w:pPr>
              <w:adjustRightInd w:val="0"/>
              <w:snapToGrid w:val="0"/>
              <w:spacing w:line="360" w:lineRule="auto"/>
              <w:ind w:firstLine="480" w:firstLineChars="200"/>
              <w:rPr>
                <w:rFonts w:cs="宋体"/>
                <w:sz w:val="24"/>
              </w:rPr>
            </w:pPr>
            <w:r>
              <w:rPr>
                <w:rFonts w:hint="eastAsia" w:cs="宋体"/>
                <w:sz w:val="24"/>
              </w:rPr>
              <w:t>项目涉及的风险类型主要是润滑油和废润滑油、苯乙烯（原料不饱和聚酯树脂成分中含5%苯乙烯）及固化剂等在储存及使用过程中会因包装桶破裂或操作不当引起泄漏。环境影响主要为不饱和聚酯树脂挥发出苯乙烯、非甲烷总烃对环境空气的污染，润滑油和废润滑油、不饱和聚酯树脂、固化剂泄漏进入土壤对土壤和地下水的影响，润滑油和废润滑油、不饱和聚酯树脂泄漏遇明火引发火灾产生的事故废水对地表水、地下水和土壤的影响。风险源为危废暂存间及原料库。</w:t>
            </w:r>
          </w:p>
          <w:p>
            <w:pPr>
              <w:adjustRightInd w:val="0"/>
              <w:snapToGrid w:val="0"/>
              <w:spacing w:line="360" w:lineRule="auto"/>
              <w:jc w:val="left"/>
              <w:rPr>
                <w:rFonts w:cs="宋体"/>
                <w:b/>
                <w:bCs/>
                <w:kern w:val="0"/>
                <w:sz w:val="24"/>
                <w:szCs w:val="24"/>
              </w:rPr>
            </w:pPr>
            <w:r>
              <w:rPr>
                <w:rFonts w:hint="eastAsia" w:cs="宋体"/>
                <w:b/>
                <w:bCs/>
                <w:kern w:val="0"/>
                <w:sz w:val="24"/>
                <w:szCs w:val="24"/>
              </w:rPr>
              <w:t>（3）环境风险防范措施</w:t>
            </w:r>
            <w:r>
              <w:rPr>
                <w:rFonts w:hint="eastAsia" w:cs="宋体"/>
                <w:b/>
                <w:sz w:val="24"/>
              </w:rPr>
              <w:t>及应急要求</w:t>
            </w:r>
          </w:p>
          <w:p>
            <w:pPr>
              <w:adjustRightInd w:val="0"/>
              <w:snapToGrid w:val="0"/>
              <w:spacing w:line="360" w:lineRule="auto"/>
              <w:ind w:firstLine="480" w:firstLineChars="200"/>
              <w:rPr>
                <w:rFonts w:cs="宋体"/>
                <w:sz w:val="24"/>
              </w:rPr>
            </w:pPr>
            <w:r>
              <w:rPr>
                <w:rFonts w:hint="eastAsia" w:cs="宋体"/>
                <w:sz w:val="24"/>
              </w:rPr>
              <w:t>项目可能发生的环境风险事故为风险物质的泄漏和火灾，且因操作问题，事故最易发生的区域原料库和危废暂存间。因此根据项目特点，项目采取以下风险防范措施：</w:t>
            </w:r>
            <w:r>
              <w:rPr>
                <w:rFonts w:cs="宋体"/>
                <w:sz w:val="24"/>
              </w:rPr>
              <w:t xml:space="preserve"> </w:t>
            </w:r>
          </w:p>
          <w:p>
            <w:pPr>
              <w:adjustRightInd w:val="0"/>
              <w:snapToGrid w:val="0"/>
              <w:spacing w:line="360" w:lineRule="auto"/>
              <w:ind w:firstLine="480" w:firstLineChars="200"/>
              <w:rPr>
                <w:rFonts w:cs="宋体"/>
                <w:sz w:val="24"/>
              </w:rPr>
            </w:pPr>
            <w:r>
              <w:rPr>
                <w:rFonts w:hint="eastAsia" w:cs="宋体"/>
                <w:sz w:val="24"/>
              </w:rPr>
              <w:t>1）原料存储采取的风险预防措施</w:t>
            </w:r>
          </w:p>
          <w:p>
            <w:pPr>
              <w:adjustRightInd w:val="0"/>
              <w:snapToGrid w:val="0"/>
              <w:spacing w:line="360" w:lineRule="auto"/>
              <w:ind w:firstLine="480" w:firstLineChars="200"/>
              <w:rPr>
                <w:rFonts w:cs="宋体"/>
                <w:sz w:val="24"/>
              </w:rPr>
            </w:pPr>
            <w:r>
              <w:rPr>
                <w:rFonts w:hint="eastAsia" w:cs="宋体"/>
                <w:sz w:val="24"/>
              </w:rPr>
              <w:t>①设置专门的原料库，消防灭火设施委托有资质的单位进行设计。在储存时应严格遵守相关规定设计要求，不同原料应分区存储，且不同原料存储区之间的距离和防火等级应满足《建筑设计防火规范》相关规定。</w:t>
            </w:r>
          </w:p>
          <w:p>
            <w:pPr>
              <w:adjustRightInd w:val="0"/>
              <w:snapToGrid w:val="0"/>
              <w:spacing w:line="360" w:lineRule="auto"/>
              <w:ind w:firstLine="480" w:firstLineChars="200"/>
              <w:rPr>
                <w:rFonts w:cs="宋体"/>
                <w:sz w:val="24"/>
              </w:rPr>
            </w:pPr>
            <w:r>
              <w:rPr>
                <w:rFonts w:hint="eastAsia" w:cs="宋体"/>
                <w:sz w:val="24"/>
              </w:rPr>
              <w:t>②尽量减少储存量，做到多批次、少量储存。储存库应当阴凉、干燥、通风良好，且为重点防渗区，地面硬化等。</w:t>
            </w:r>
          </w:p>
          <w:p>
            <w:pPr>
              <w:adjustRightInd w:val="0"/>
              <w:snapToGrid w:val="0"/>
              <w:spacing w:line="360" w:lineRule="auto"/>
              <w:ind w:firstLine="480" w:firstLineChars="200"/>
              <w:rPr>
                <w:rFonts w:cs="宋体"/>
                <w:sz w:val="24"/>
              </w:rPr>
            </w:pPr>
            <w:r>
              <w:rPr>
                <w:rFonts w:hint="eastAsia" w:cs="宋体"/>
                <w:sz w:val="24"/>
              </w:rPr>
              <w:t>③存放时应注意防止碰撞引起包装桶破裂泄漏，库房门口设置围堰，并设置备用物料收集容器，及时收集泄漏物质。</w:t>
            </w:r>
          </w:p>
          <w:p>
            <w:pPr>
              <w:adjustRightInd w:val="0"/>
              <w:snapToGrid w:val="0"/>
              <w:spacing w:line="360" w:lineRule="auto"/>
              <w:ind w:firstLine="480" w:firstLineChars="200"/>
              <w:rPr>
                <w:rFonts w:cs="宋体"/>
                <w:sz w:val="24"/>
              </w:rPr>
            </w:pPr>
            <w:r>
              <w:rPr>
                <w:rFonts w:hint="eastAsia" w:cs="宋体"/>
                <w:sz w:val="24"/>
              </w:rPr>
              <w:t>④进出原料库，尤其是接触易燃液体时，应采取去静电措施。原辅料的使用、归还应建立严格的规章制度和使用登记制度。</w:t>
            </w:r>
          </w:p>
          <w:p>
            <w:pPr>
              <w:adjustRightInd w:val="0"/>
              <w:snapToGrid w:val="0"/>
              <w:spacing w:line="360" w:lineRule="auto"/>
              <w:ind w:firstLine="480" w:firstLineChars="200"/>
              <w:rPr>
                <w:rFonts w:cs="宋体"/>
                <w:sz w:val="24"/>
              </w:rPr>
            </w:pPr>
            <w:r>
              <w:rPr>
                <w:rFonts w:hint="eastAsia" w:cs="宋体"/>
                <w:sz w:val="24"/>
              </w:rPr>
              <w:t>⑤建立健全规章制度，岗位员工进行事故应急培训。非直接操作人员不得擅自进入仓库等，储存仓库必须有专人负责，禁止在仓库内吸烟，远离一切热源和明火。</w:t>
            </w:r>
          </w:p>
          <w:p>
            <w:pPr>
              <w:adjustRightInd w:val="0"/>
              <w:snapToGrid w:val="0"/>
              <w:spacing w:line="360" w:lineRule="auto"/>
              <w:ind w:firstLine="480" w:firstLineChars="200"/>
              <w:jc w:val="left"/>
              <w:rPr>
                <w:rFonts w:cs="宋体"/>
                <w:sz w:val="24"/>
              </w:rPr>
            </w:pPr>
            <w:r>
              <w:rPr>
                <w:rFonts w:hint="eastAsia" w:cs="宋体"/>
                <w:sz w:val="24"/>
              </w:rPr>
              <w:t>2）原料泄漏、火灾风险预防措施</w:t>
            </w:r>
          </w:p>
          <w:p>
            <w:pPr>
              <w:adjustRightInd w:val="0"/>
              <w:snapToGrid w:val="0"/>
              <w:spacing w:line="360" w:lineRule="auto"/>
              <w:ind w:firstLine="480" w:firstLineChars="200"/>
              <w:jc w:val="left"/>
              <w:rPr>
                <w:rFonts w:cs="宋体"/>
                <w:sz w:val="24"/>
              </w:rPr>
            </w:pPr>
            <w:r>
              <w:rPr>
                <w:rFonts w:hint="eastAsia" w:cs="宋体"/>
                <w:sz w:val="24"/>
              </w:rPr>
              <w:t>原料泄漏事故发生后，应严格按照操作规程，针对不同的泄漏原料采取不同的收集处置措施，收集后的原料应按照危险废物进行贮存和处置，禁止混入作为一般固废处置。</w:t>
            </w:r>
          </w:p>
          <w:p>
            <w:pPr>
              <w:adjustRightInd w:val="0"/>
              <w:snapToGrid w:val="0"/>
              <w:spacing w:line="360" w:lineRule="auto"/>
              <w:ind w:firstLine="480" w:firstLineChars="200"/>
              <w:jc w:val="left"/>
              <w:rPr>
                <w:rFonts w:cs="宋体"/>
                <w:sz w:val="24"/>
              </w:rPr>
            </w:pPr>
            <w:r>
              <w:rPr>
                <w:rFonts w:hint="eastAsia" w:cs="宋体"/>
                <w:sz w:val="24"/>
              </w:rPr>
              <w:t>3）危险废物贮存库泄漏风险防范措施</w:t>
            </w:r>
          </w:p>
          <w:p>
            <w:pPr>
              <w:adjustRightInd w:val="0"/>
              <w:snapToGrid w:val="0"/>
              <w:spacing w:line="360" w:lineRule="auto"/>
              <w:ind w:firstLine="480" w:firstLineChars="200"/>
              <w:rPr>
                <w:rFonts w:cs="宋体"/>
                <w:sz w:val="24"/>
              </w:rPr>
            </w:pPr>
            <w:r>
              <w:rPr>
                <w:rFonts w:hint="eastAsia" w:cs="宋体"/>
                <w:sz w:val="24"/>
              </w:rPr>
              <w:t>加强管理，落实危险废物贮存库防渗措施，危险废物及时交资质单位处置，建立危险废物台账及相关管理制度。</w:t>
            </w:r>
          </w:p>
          <w:p>
            <w:pPr>
              <w:adjustRightInd w:val="0"/>
              <w:snapToGrid w:val="0"/>
              <w:spacing w:line="360" w:lineRule="auto"/>
              <w:ind w:firstLine="480" w:firstLineChars="200"/>
              <w:rPr>
                <w:rFonts w:cs="宋体"/>
                <w:sz w:val="24"/>
              </w:rPr>
            </w:pPr>
            <w:r>
              <w:rPr>
                <w:rFonts w:hint="eastAsia" w:cs="宋体"/>
                <w:sz w:val="24"/>
              </w:rPr>
              <w:t>4）环境风险管理措施</w:t>
            </w:r>
          </w:p>
          <w:p>
            <w:pPr>
              <w:adjustRightInd w:val="0"/>
              <w:snapToGrid w:val="0"/>
              <w:spacing w:line="360" w:lineRule="auto"/>
              <w:ind w:firstLine="480" w:firstLineChars="200"/>
              <w:rPr>
                <w:rFonts w:cs="宋体"/>
                <w:sz w:val="24"/>
              </w:rPr>
            </w:pPr>
            <w:r>
              <w:rPr>
                <w:rFonts w:hint="eastAsia" w:cs="宋体"/>
                <w:sz w:val="24"/>
              </w:rPr>
              <w:t>①建立健全安全规程，在原料储存区域设置明显的标识及警示牌。</w:t>
            </w:r>
          </w:p>
          <w:p>
            <w:pPr>
              <w:adjustRightInd w:val="0"/>
              <w:snapToGrid w:val="0"/>
              <w:spacing w:line="360" w:lineRule="auto"/>
              <w:ind w:firstLine="480" w:firstLineChars="200"/>
              <w:rPr>
                <w:rFonts w:cs="宋体"/>
                <w:sz w:val="24"/>
              </w:rPr>
            </w:pPr>
            <w:r>
              <w:rPr>
                <w:rFonts w:hint="eastAsia" w:cs="宋体"/>
                <w:sz w:val="24"/>
              </w:rPr>
              <w:t>②按照相关要求定期组织对原料的使用以及紧急事故发生时处理方法的培训，制定安全操作规程。</w:t>
            </w:r>
          </w:p>
          <w:p>
            <w:pPr>
              <w:adjustRightInd w:val="0"/>
              <w:snapToGrid w:val="0"/>
              <w:spacing w:line="360" w:lineRule="auto"/>
              <w:ind w:firstLine="480" w:firstLineChars="200"/>
              <w:rPr>
                <w:rFonts w:cs="宋体"/>
                <w:sz w:val="24"/>
              </w:rPr>
            </w:pPr>
            <w:r>
              <w:rPr>
                <w:rFonts w:hint="eastAsia" w:cs="宋体"/>
                <w:sz w:val="24"/>
              </w:rPr>
              <w:t>③设置完整的环境风险事故处理程序，一旦发生事故，依照风险事故处理程序进行操作。</w:t>
            </w:r>
          </w:p>
          <w:p>
            <w:pPr>
              <w:adjustRightInd w:val="0"/>
              <w:snapToGrid w:val="0"/>
              <w:spacing w:line="360" w:lineRule="auto"/>
              <w:ind w:firstLine="480" w:firstLineChars="200"/>
              <w:jc w:val="left"/>
              <w:rPr>
                <w:rFonts w:cs="宋体"/>
                <w:sz w:val="24"/>
              </w:rPr>
            </w:pPr>
            <w:r>
              <w:rPr>
                <w:rFonts w:hint="eastAsia" w:cs="宋体"/>
                <w:sz w:val="24"/>
              </w:rPr>
              <w:t>④定时定点安排人员进行隐患排查。定期针对事故进行安全疏散演练，提高工作人员安全意识，提高人员自救能力，提高事故应急处理的能力。</w:t>
            </w:r>
          </w:p>
          <w:p>
            <w:pPr>
              <w:adjustRightInd w:val="0"/>
              <w:snapToGrid w:val="0"/>
              <w:spacing w:line="360" w:lineRule="auto"/>
              <w:ind w:firstLine="480" w:firstLineChars="200"/>
              <w:jc w:val="left"/>
              <w:rPr>
                <w:rFonts w:cs="宋体"/>
                <w:sz w:val="24"/>
              </w:rPr>
            </w:pPr>
            <w:r>
              <w:rPr>
                <w:rFonts w:hint="eastAsia" w:cs="宋体"/>
                <w:sz w:val="24"/>
              </w:rPr>
              <w:t>⑤设置专门的应急组织和人员。储备专门的应急物质和设备。</w:t>
            </w:r>
          </w:p>
          <w:p>
            <w:pPr>
              <w:adjustRightInd w:val="0"/>
              <w:snapToGrid w:val="0"/>
              <w:spacing w:line="360" w:lineRule="auto"/>
              <w:ind w:firstLine="480" w:firstLineChars="200"/>
              <w:jc w:val="left"/>
              <w:rPr>
                <w:rFonts w:cs="宋体"/>
                <w:sz w:val="24"/>
              </w:rPr>
            </w:pPr>
            <w:r>
              <w:rPr>
                <w:rFonts w:hint="eastAsia" w:cs="宋体"/>
                <w:sz w:val="24"/>
              </w:rPr>
              <w:t>⑥企业编制环境风险应急预案并按照相关要求进行备案</w:t>
            </w:r>
            <w:r>
              <w:rPr>
                <w:rFonts w:cs="宋体"/>
                <w:sz w:val="24"/>
              </w:rPr>
              <w:t>。</w:t>
            </w:r>
          </w:p>
          <w:p>
            <w:pPr>
              <w:adjustRightInd w:val="0"/>
              <w:snapToGrid w:val="0"/>
              <w:spacing w:line="360" w:lineRule="auto"/>
              <w:jc w:val="left"/>
              <w:rPr>
                <w:rFonts w:cs="宋体"/>
                <w:b/>
                <w:bCs/>
                <w:kern w:val="0"/>
                <w:sz w:val="24"/>
                <w:szCs w:val="24"/>
              </w:rPr>
            </w:pPr>
            <w:r>
              <w:rPr>
                <w:rFonts w:hint="eastAsia" w:cs="宋体"/>
                <w:b/>
                <w:bCs/>
                <w:kern w:val="0"/>
                <w:sz w:val="24"/>
                <w:szCs w:val="24"/>
              </w:rPr>
              <w:t>（4）环境风险分析结论</w:t>
            </w:r>
          </w:p>
          <w:p>
            <w:pPr>
              <w:autoSpaceDE w:val="0"/>
              <w:autoSpaceDN w:val="0"/>
              <w:adjustRightInd w:val="0"/>
              <w:snapToGrid w:val="0"/>
              <w:spacing w:line="360" w:lineRule="auto"/>
              <w:ind w:firstLine="480" w:firstLineChars="200"/>
              <w:jc w:val="left"/>
              <w:rPr>
                <w:kern w:val="0"/>
                <w:sz w:val="24"/>
              </w:rPr>
            </w:pPr>
            <w:r>
              <w:rPr>
                <w:rFonts w:hint="eastAsia"/>
                <w:kern w:val="0"/>
                <w:sz w:val="24"/>
              </w:rPr>
              <w:t>综上，本项目所涉及的风险物质储存量较小，在各项环境风险防范措施落实到位的情况下，</w:t>
            </w:r>
            <w:r>
              <w:rPr>
                <w:kern w:val="0"/>
                <w:sz w:val="24"/>
              </w:rPr>
              <w:t>风险发生概率及危险可以控制在较低水平。建设单位应编制应急预案并按照《企业事业单位突发环境事件应急预案备案管理办法试行》（环发〔2015〕4号）的相关要求进行备案，备齐应急物资，同时加强应急演练，确保事故发生时能在最短的时间内有效控制事故影响。在做好各项环境风险防范措施和日常管理中严格遵守操作规程、制定完善的环境风险应急预案的情况下，本项目环境风险可接受</w:t>
            </w:r>
            <w:r>
              <w:rPr>
                <w:rFonts w:hint="eastAsia" w:cs="宋体"/>
                <w:sz w:val="24"/>
              </w:rPr>
              <w:t>。</w:t>
            </w:r>
          </w:p>
          <w:p>
            <w:pPr>
              <w:pStyle w:val="105"/>
              <w:spacing w:line="360" w:lineRule="auto"/>
              <w:rPr>
                <w:rFonts w:ascii="Times New Roman"/>
                <w:sz w:val="21"/>
                <w:szCs w:val="24"/>
              </w:rPr>
            </w:pPr>
            <w:r>
              <w:rPr>
                <w:rFonts w:hint="eastAsia" w:ascii="Times New Roman"/>
                <w:sz w:val="21"/>
                <w:szCs w:val="24"/>
              </w:rPr>
              <w:t>表4-17  建设项目环境风险简单分析内容表</w:t>
            </w:r>
          </w:p>
          <w:tbl>
            <w:tblPr>
              <w:tblStyle w:val="35"/>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2450"/>
              <w:gridCol w:w="1402"/>
              <w:gridCol w:w="1816"/>
              <w:gridCol w:w="1104"/>
              <w:gridCol w:w="865"/>
              <w:gridCol w:w="11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jc w:val="center"/>
              </w:trPr>
              <w:tc>
                <w:tcPr>
                  <w:tcW w:w="1387" w:type="pct"/>
                  <w:vAlign w:val="center"/>
                </w:tcPr>
                <w:p>
                  <w:pPr>
                    <w:adjustRightInd w:val="0"/>
                    <w:snapToGrid w:val="0"/>
                    <w:jc w:val="center"/>
                  </w:pPr>
                  <w:r>
                    <w:rPr>
                      <w:rFonts w:hint="eastAsia"/>
                    </w:rPr>
                    <w:t>建设项目名称</w:t>
                  </w:r>
                </w:p>
              </w:tc>
              <w:tc>
                <w:tcPr>
                  <w:tcW w:w="3613" w:type="pct"/>
                  <w:gridSpan w:val="5"/>
                  <w:vAlign w:val="center"/>
                </w:tcPr>
                <w:p>
                  <w:pPr>
                    <w:adjustRightInd w:val="0"/>
                    <w:snapToGrid w:val="0"/>
                    <w:jc w:val="center"/>
                  </w:pPr>
                  <w:r>
                    <w:rPr>
                      <w:rFonts w:hint="eastAsia"/>
                    </w:rPr>
                    <w:t>高强度复合纤维复合塑料生产建设项目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8" w:hRule="atLeast"/>
                <w:jc w:val="center"/>
              </w:trPr>
              <w:tc>
                <w:tcPr>
                  <w:tcW w:w="1387" w:type="pct"/>
                  <w:vAlign w:val="center"/>
                </w:tcPr>
                <w:p>
                  <w:pPr>
                    <w:adjustRightInd w:val="0"/>
                    <w:snapToGrid w:val="0"/>
                    <w:jc w:val="center"/>
                  </w:pPr>
                  <w:r>
                    <w:rPr>
                      <w:rFonts w:hint="eastAsia"/>
                    </w:rPr>
                    <w:t>建设地点</w:t>
                  </w:r>
                </w:p>
              </w:tc>
              <w:tc>
                <w:tcPr>
                  <w:tcW w:w="794" w:type="pct"/>
                  <w:vAlign w:val="center"/>
                </w:tcPr>
                <w:p>
                  <w:pPr>
                    <w:adjustRightInd w:val="0"/>
                    <w:snapToGrid w:val="0"/>
                    <w:jc w:val="center"/>
                  </w:pPr>
                  <w:r>
                    <w:rPr>
                      <w:rFonts w:hint="eastAsia"/>
                    </w:rPr>
                    <w:t>（陕西）省</w:t>
                  </w:r>
                </w:p>
              </w:tc>
              <w:tc>
                <w:tcPr>
                  <w:tcW w:w="1028" w:type="pct"/>
                  <w:vAlign w:val="center"/>
                </w:tcPr>
                <w:p>
                  <w:pPr>
                    <w:adjustRightInd w:val="0"/>
                    <w:snapToGrid w:val="0"/>
                    <w:jc w:val="center"/>
                  </w:pPr>
                  <w:r>
                    <w:rPr>
                      <w:rFonts w:hint="eastAsia"/>
                    </w:rPr>
                    <w:t>（榆林）市</w:t>
                  </w:r>
                </w:p>
              </w:tc>
              <w:tc>
                <w:tcPr>
                  <w:tcW w:w="625" w:type="pct"/>
                  <w:vAlign w:val="center"/>
                </w:tcPr>
                <w:p>
                  <w:pPr>
                    <w:adjustRightInd w:val="0"/>
                    <w:snapToGrid w:val="0"/>
                    <w:jc w:val="center"/>
                  </w:pPr>
                  <w:r>
                    <w:rPr>
                      <w:rFonts w:hint="eastAsia"/>
                    </w:rPr>
                    <w:t>（/）区</w:t>
                  </w:r>
                </w:p>
              </w:tc>
              <w:tc>
                <w:tcPr>
                  <w:tcW w:w="490" w:type="pct"/>
                  <w:vAlign w:val="center"/>
                </w:tcPr>
                <w:p>
                  <w:pPr>
                    <w:adjustRightInd w:val="0"/>
                    <w:snapToGrid w:val="0"/>
                    <w:jc w:val="center"/>
                  </w:pPr>
                  <w:r>
                    <w:rPr>
                      <w:rFonts w:hint="eastAsia"/>
                    </w:rPr>
                    <w:t>（靖边）县</w:t>
                  </w:r>
                </w:p>
              </w:tc>
              <w:tc>
                <w:tcPr>
                  <w:tcW w:w="676" w:type="pct"/>
                  <w:vAlign w:val="center"/>
                </w:tcPr>
                <w:p>
                  <w:pPr>
                    <w:adjustRightInd w:val="0"/>
                    <w:snapToGrid w:val="0"/>
                    <w:jc w:val="center"/>
                  </w:pPr>
                  <w:r>
                    <w:rPr>
                      <w:rFonts w:hint="eastAsia"/>
                    </w:rPr>
                    <w:t>（经济技术开发区）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3" w:hRule="atLeast"/>
                <w:jc w:val="center"/>
              </w:trPr>
              <w:tc>
                <w:tcPr>
                  <w:tcW w:w="1387" w:type="pct"/>
                  <w:vAlign w:val="center"/>
                </w:tcPr>
                <w:p>
                  <w:pPr>
                    <w:adjustRightInd w:val="0"/>
                    <w:snapToGrid w:val="0"/>
                    <w:jc w:val="center"/>
                  </w:pPr>
                  <w:r>
                    <w:rPr>
                      <w:rFonts w:hint="eastAsia"/>
                    </w:rPr>
                    <w:t>地理坐标</w:t>
                  </w:r>
                </w:p>
              </w:tc>
              <w:tc>
                <w:tcPr>
                  <w:tcW w:w="794" w:type="pct"/>
                  <w:vAlign w:val="center"/>
                </w:tcPr>
                <w:p>
                  <w:pPr>
                    <w:adjustRightInd w:val="0"/>
                    <w:snapToGrid w:val="0"/>
                    <w:jc w:val="center"/>
                  </w:pPr>
                  <w:r>
                    <w:rPr>
                      <w:rFonts w:hint="eastAsia"/>
                    </w:rPr>
                    <w:t>经度</w:t>
                  </w:r>
                </w:p>
              </w:tc>
              <w:tc>
                <w:tcPr>
                  <w:tcW w:w="1028" w:type="pct"/>
                  <w:vAlign w:val="center"/>
                </w:tcPr>
                <w:p>
                  <w:pPr>
                    <w:adjustRightInd w:val="0"/>
                    <w:snapToGrid w:val="0"/>
                    <w:jc w:val="center"/>
                  </w:pPr>
                  <w:r>
                    <w:t>108°59′53.303″</w:t>
                  </w:r>
                </w:p>
              </w:tc>
              <w:tc>
                <w:tcPr>
                  <w:tcW w:w="625" w:type="pct"/>
                  <w:vAlign w:val="center"/>
                </w:tcPr>
                <w:p>
                  <w:pPr>
                    <w:adjustRightInd w:val="0"/>
                    <w:snapToGrid w:val="0"/>
                    <w:jc w:val="center"/>
                  </w:pPr>
                  <w:r>
                    <w:rPr>
                      <w:rFonts w:hint="eastAsia"/>
                    </w:rPr>
                    <w:t>纬度</w:t>
                  </w:r>
                </w:p>
              </w:tc>
              <w:tc>
                <w:tcPr>
                  <w:tcW w:w="1166" w:type="pct"/>
                  <w:gridSpan w:val="2"/>
                  <w:vAlign w:val="center"/>
                </w:tcPr>
                <w:p>
                  <w:pPr>
                    <w:adjustRightInd w:val="0"/>
                    <w:snapToGrid w:val="0"/>
                    <w:jc w:val="center"/>
                  </w:pPr>
                  <w:r>
                    <w:t>37°37′26.847″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33" w:hRule="atLeast"/>
                <w:jc w:val="center"/>
              </w:trPr>
              <w:tc>
                <w:tcPr>
                  <w:tcW w:w="1387" w:type="pct"/>
                  <w:vAlign w:val="center"/>
                </w:tcPr>
                <w:p>
                  <w:pPr>
                    <w:adjustRightInd w:val="0"/>
                    <w:snapToGrid w:val="0"/>
                    <w:jc w:val="center"/>
                  </w:pPr>
                  <w:r>
                    <w:rPr>
                      <w:rFonts w:hint="eastAsia"/>
                    </w:rPr>
                    <w:t>主要危险物质及分布</w:t>
                  </w:r>
                </w:p>
              </w:tc>
              <w:tc>
                <w:tcPr>
                  <w:tcW w:w="3613" w:type="pct"/>
                  <w:gridSpan w:val="5"/>
                  <w:vAlign w:val="center"/>
                </w:tcPr>
                <w:p>
                  <w:pPr>
                    <w:adjustRightInd w:val="0"/>
                    <w:snapToGrid w:val="0"/>
                    <w:jc w:val="left"/>
                    <w:rPr>
                      <w:rFonts w:cs="宋体"/>
                    </w:rPr>
                  </w:pPr>
                  <w:r>
                    <w:rPr>
                      <w:rFonts w:hint="eastAsia"/>
                    </w:rPr>
                    <w:t>主要危险物质：</w:t>
                  </w:r>
                  <w:r>
                    <w:rPr>
                      <w:rFonts w:hint="eastAsia" w:cs="宋体"/>
                    </w:rPr>
                    <w:t>润滑油、废润滑油、不饱和聚酯树脂（苯乙烯）及固化剂</w:t>
                  </w:r>
                </w:p>
                <w:p>
                  <w:pPr>
                    <w:adjustRightInd w:val="0"/>
                    <w:snapToGrid w:val="0"/>
                    <w:jc w:val="left"/>
                  </w:pPr>
                  <w:r>
                    <w:rPr>
                      <w:rFonts w:hint="eastAsia"/>
                    </w:rPr>
                    <w:t>主要分布：原料库、危废暂存间。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3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环境影响途径及危害后果（大气、地表水、地下水等）</w:t>
                  </w:r>
                </w:p>
              </w:tc>
              <w:tc>
                <w:tcPr>
                  <w:tcW w:w="3613"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pPr>
                  <w:r>
                    <w:rPr>
                      <w:rFonts w:hint="eastAsia"/>
                    </w:rPr>
                    <w:t>风险物质</w:t>
                  </w:r>
                  <w:r>
                    <w:t>若遇高热，容器内压增大，有开裂和爆炸的危险。如果燃烧可分解出一氧化碳气体，对大气造成污染。储存不好或发生泄漏时，因其理化特性不易分解，如果进入自然环境会污染地下水， 同时造成土壤变质，危害植被，造成环境污染</w:t>
                  </w:r>
                  <w:r>
                    <w:rPr>
                      <w:rFonts w:hint="eastAsi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2" w:hRule="atLeast"/>
                <w:jc w:val="center"/>
              </w:trPr>
              <w:tc>
                <w:tcPr>
                  <w:tcW w:w="138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rPr>
                    <w:t>风险防范措施要求</w:t>
                  </w:r>
                </w:p>
              </w:tc>
              <w:tc>
                <w:tcPr>
                  <w:tcW w:w="3613" w:type="pct"/>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rPr>
                      <w:bCs/>
                    </w:rPr>
                  </w:pPr>
                  <w:r>
                    <w:rPr>
                      <w:rFonts w:hint="eastAsia"/>
                      <w:bCs/>
                    </w:rPr>
                    <w:t>项目原料储存于阴凉、通风的库房，分类存放，切忌混储。储区应备有泄漏应急处理设备和合适的收容材料。远离火种、热源。储区应备有合适的材料收容泄漏物，迅速撤离泄漏污染区人员至安全区，并进行隔离，严格限制出入。建议应急处理人员戴防尘面具（全面罩），穿防毒等工作服。不要直接接触泄漏物。</w:t>
                  </w:r>
                </w:p>
                <w:p>
                  <w:pPr>
                    <w:adjustRightInd w:val="0"/>
                    <w:snapToGrid w:val="0"/>
                    <w:spacing w:line="300" w:lineRule="exact"/>
                    <w:rPr>
                      <w:bCs/>
                    </w:rPr>
                  </w:pPr>
                  <w:r>
                    <w:rPr>
                      <w:rFonts w:hint="eastAsia"/>
                      <w:bCs/>
                    </w:rPr>
                    <w:t>危险废物贮存库地面采取防渗措施，各类危险废物分区存放，液态危废置于托盘内，危险废物贮存库内设有应急收容容器，危险废物贮存库外设置消防沙及灭火器。</w:t>
                  </w:r>
                </w:p>
                <w:p>
                  <w:pPr>
                    <w:adjustRightInd w:val="0"/>
                    <w:snapToGrid w:val="0"/>
                  </w:pPr>
                  <w:r>
                    <w:rPr>
                      <w:rFonts w:hint="eastAsia"/>
                      <w:bCs/>
                    </w:rPr>
                    <w:t>本项目验收运行前应编制突发环境事件应急预案。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jc w:val="center"/>
              </w:trPr>
              <w:tc>
                <w:tcPr>
                  <w:tcW w:w="5000" w:type="pct"/>
                  <w:gridSpan w:val="6"/>
                  <w:tcBorders>
                    <w:top w:val="single" w:color="auto" w:sz="4" w:space="0"/>
                  </w:tcBorders>
                  <w:vAlign w:val="center"/>
                </w:tcPr>
                <w:p>
                  <w:pPr>
                    <w:adjustRightInd w:val="0"/>
                    <w:snapToGrid w:val="0"/>
                    <w:jc w:val="left"/>
                  </w:pPr>
                  <w:r>
                    <w:t>填表说明（列出项目相关信息及评价说明）</w:t>
                  </w:r>
                </w:p>
                <w:p>
                  <w:pPr>
                    <w:adjustRightInd w:val="0"/>
                    <w:snapToGrid w:val="0"/>
                    <w:ind w:firstLine="420" w:firstLineChars="200"/>
                    <w:jc w:val="left"/>
                  </w:pPr>
                  <w:r>
                    <w:t>本项目风险物质在项目</w:t>
                  </w:r>
                  <w:r>
                    <w:rPr>
                      <w:rFonts w:hint="eastAsia"/>
                    </w:rPr>
                    <w:t>厂区内</w:t>
                  </w:r>
                  <w:r>
                    <w:t>储存量较小，根据计算，本项目Q=</w:t>
                  </w:r>
                  <w:r>
                    <w:fldChar w:fldCharType="begin"/>
                  </w:r>
                  <w:r>
                    <w:instrText xml:space="preserve"> =SUM(ABOVE) </w:instrText>
                  </w:r>
                  <w:r>
                    <w:fldChar w:fldCharType="separate"/>
                  </w:r>
                  <w:r>
                    <w:t>0.126524</w:t>
                  </w:r>
                  <w:r>
                    <w:fldChar w:fldCharType="end"/>
                  </w:r>
                  <w:r>
                    <w:t>＜1，环境风险潜势均为I，项目环境风险可防控。</w:t>
                  </w:r>
                </w:p>
              </w:tc>
            </w:tr>
          </w:tbl>
          <w:p>
            <w:pPr>
              <w:rPr>
                <w:sz w:val="24"/>
                <w:szCs w:val="24"/>
              </w:rPr>
            </w:pPr>
          </w:p>
        </w:tc>
      </w:tr>
    </w:tbl>
    <w:p>
      <w:pPr>
        <w:adjustRightInd w:val="0"/>
        <w:snapToGrid w:val="0"/>
        <w:spacing w:line="360" w:lineRule="auto"/>
        <w:rPr>
          <w:b/>
          <w:bCs/>
          <w:kern w:val="0"/>
          <w:sz w:val="28"/>
          <w:szCs w:val="28"/>
        </w:rPr>
        <w:sectPr>
          <w:pgSz w:w="11907" w:h="16840"/>
          <w:pgMar w:top="1440" w:right="1531" w:bottom="1440" w:left="1531" w:header="851" w:footer="851" w:gutter="0"/>
          <w:cols w:space="720" w:num="1"/>
          <w:docGrid w:linePitch="312" w:charSpace="0"/>
        </w:sectPr>
      </w:pPr>
    </w:p>
    <w:p>
      <w:pPr>
        <w:pStyle w:val="30"/>
        <w:spacing w:before="0" w:beforeAutospacing="0" w:after="0" w:afterAutospacing="0" w:line="360" w:lineRule="auto"/>
        <w:jc w:val="center"/>
        <w:outlineLvl w:val="0"/>
        <w:rPr>
          <w:rFonts w:ascii="Times New Roman" w:hAnsi="Times New Roman"/>
          <w:b/>
          <w:snapToGrid w:val="0"/>
          <w:sz w:val="30"/>
          <w:szCs w:val="30"/>
        </w:rPr>
      </w:pPr>
      <w:r>
        <w:rPr>
          <w:rFonts w:hint="eastAsia" w:ascii="Times New Roman" w:hAnsi="Times New Roman"/>
          <w:b/>
          <w:snapToGrid w:val="0"/>
          <w:sz w:val="30"/>
          <w:szCs w:val="30"/>
        </w:rPr>
        <w:t>五、</w:t>
      </w:r>
      <w:bookmarkStart w:id="4" w:name="_Hlk54167917"/>
      <w:r>
        <w:rPr>
          <w:rFonts w:hint="eastAsia" w:ascii="Times New Roman" w:hAnsi="Times New Roman"/>
          <w:b/>
          <w:snapToGrid w:val="0"/>
          <w:sz w:val="30"/>
          <w:szCs w:val="30"/>
        </w:rPr>
        <w:t>环境保护措施监督检查清单</w:t>
      </w:r>
      <w:bookmarkEnd w:id="4"/>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701"/>
        <w:gridCol w:w="1559"/>
        <w:gridCol w:w="425"/>
        <w:gridCol w:w="1701"/>
        <w:gridCol w:w="24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7" w:type="dxa"/>
            <w:tcBorders>
              <w:top w:val="single" w:color="auto" w:sz="8" w:space="0"/>
              <w:tl2br w:val="single" w:color="auto" w:sz="4" w:space="0"/>
            </w:tcBorders>
          </w:tcPr>
          <w:p>
            <w:pPr>
              <w:adjustRightInd w:val="0"/>
              <w:snapToGrid w:val="0"/>
              <w:jc w:val="right"/>
              <w:rPr>
                <w:sz w:val="24"/>
                <w:szCs w:val="24"/>
              </w:rPr>
            </w:pPr>
            <w:r>
              <w:rPr>
                <w:rFonts w:hint="eastAsia" w:cs="宋体"/>
                <w:sz w:val="24"/>
                <w:szCs w:val="24"/>
              </w:rPr>
              <w:t>内容</w:t>
            </w:r>
          </w:p>
          <w:p>
            <w:pPr>
              <w:adjustRightInd w:val="0"/>
              <w:snapToGrid w:val="0"/>
              <w:rPr>
                <w:sz w:val="24"/>
                <w:szCs w:val="24"/>
              </w:rPr>
            </w:pPr>
            <w:r>
              <w:rPr>
                <w:rFonts w:hint="eastAsia" w:cs="宋体"/>
                <w:sz w:val="24"/>
                <w:szCs w:val="24"/>
              </w:rPr>
              <w:t>要素</w:t>
            </w:r>
          </w:p>
        </w:tc>
        <w:tc>
          <w:tcPr>
            <w:tcW w:w="1701" w:type="dxa"/>
            <w:tcBorders>
              <w:top w:val="single" w:color="auto" w:sz="8" w:space="0"/>
            </w:tcBorders>
            <w:vAlign w:val="center"/>
          </w:tcPr>
          <w:p>
            <w:pPr>
              <w:adjustRightInd w:val="0"/>
              <w:snapToGrid w:val="0"/>
              <w:jc w:val="center"/>
              <w:rPr>
                <w:sz w:val="24"/>
                <w:szCs w:val="24"/>
              </w:rPr>
            </w:pPr>
            <w:r>
              <w:rPr>
                <w:rFonts w:hint="eastAsia" w:cs="宋体"/>
                <w:sz w:val="24"/>
                <w:szCs w:val="24"/>
              </w:rPr>
              <w:t>排放口（编号、名称）</w:t>
            </w:r>
            <w:r>
              <w:rPr>
                <w:sz w:val="24"/>
                <w:szCs w:val="24"/>
              </w:rPr>
              <w:t>/</w:t>
            </w:r>
            <w:r>
              <w:rPr>
                <w:rFonts w:hint="eastAsia" w:cs="宋体"/>
                <w:sz w:val="24"/>
                <w:szCs w:val="24"/>
              </w:rPr>
              <w:t>污染源</w:t>
            </w:r>
          </w:p>
        </w:tc>
        <w:tc>
          <w:tcPr>
            <w:tcW w:w="1559" w:type="dxa"/>
            <w:tcBorders>
              <w:top w:val="single" w:color="auto" w:sz="8" w:space="0"/>
            </w:tcBorders>
            <w:vAlign w:val="center"/>
          </w:tcPr>
          <w:p>
            <w:pPr>
              <w:adjustRightInd w:val="0"/>
              <w:snapToGrid w:val="0"/>
              <w:jc w:val="center"/>
              <w:rPr>
                <w:sz w:val="24"/>
                <w:szCs w:val="24"/>
              </w:rPr>
            </w:pPr>
            <w:r>
              <w:rPr>
                <w:rFonts w:hint="eastAsia" w:cs="宋体"/>
                <w:sz w:val="24"/>
                <w:szCs w:val="24"/>
              </w:rPr>
              <w:t>污染物项目</w:t>
            </w:r>
          </w:p>
        </w:tc>
        <w:tc>
          <w:tcPr>
            <w:tcW w:w="2126" w:type="dxa"/>
            <w:gridSpan w:val="2"/>
            <w:tcBorders>
              <w:top w:val="single" w:color="auto" w:sz="8" w:space="0"/>
            </w:tcBorders>
            <w:vAlign w:val="center"/>
          </w:tcPr>
          <w:p>
            <w:pPr>
              <w:adjustRightInd w:val="0"/>
              <w:snapToGrid w:val="0"/>
              <w:jc w:val="center"/>
              <w:rPr>
                <w:sz w:val="24"/>
                <w:szCs w:val="24"/>
              </w:rPr>
            </w:pPr>
            <w:r>
              <w:rPr>
                <w:rFonts w:hint="eastAsia" w:cs="宋体"/>
                <w:sz w:val="24"/>
                <w:szCs w:val="24"/>
              </w:rPr>
              <w:t>环境保护措施</w:t>
            </w:r>
          </w:p>
        </w:tc>
        <w:tc>
          <w:tcPr>
            <w:tcW w:w="2451" w:type="dxa"/>
            <w:tcBorders>
              <w:top w:val="single" w:color="auto" w:sz="8" w:space="0"/>
            </w:tcBorders>
            <w:vAlign w:val="center"/>
          </w:tcPr>
          <w:p>
            <w:pPr>
              <w:adjustRightInd w:val="0"/>
              <w:snapToGrid w:val="0"/>
              <w:jc w:val="center"/>
              <w:rPr>
                <w:sz w:val="24"/>
                <w:szCs w:val="24"/>
              </w:rPr>
            </w:pPr>
            <w:r>
              <w:rPr>
                <w:rFonts w:hint="eastAsia" w:cs="宋体"/>
                <w:sz w:val="24"/>
                <w:szCs w:val="24"/>
              </w:rPr>
              <w:t>执行标准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1277" w:type="dxa"/>
            <w:vMerge w:val="restart"/>
            <w:vAlign w:val="center"/>
          </w:tcPr>
          <w:p>
            <w:pPr>
              <w:adjustRightInd w:val="0"/>
              <w:snapToGrid w:val="0"/>
              <w:jc w:val="center"/>
              <w:rPr>
                <w:sz w:val="24"/>
                <w:szCs w:val="24"/>
              </w:rPr>
            </w:pPr>
            <w:r>
              <w:rPr>
                <w:rFonts w:hint="eastAsia" w:cs="宋体"/>
                <w:sz w:val="24"/>
                <w:szCs w:val="24"/>
              </w:rPr>
              <w:t>大气环境</w:t>
            </w:r>
          </w:p>
        </w:tc>
        <w:tc>
          <w:tcPr>
            <w:tcW w:w="1701" w:type="dxa"/>
            <w:vAlign w:val="center"/>
          </w:tcPr>
          <w:p>
            <w:pPr>
              <w:adjustRightInd w:val="0"/>
              <w:snapToGrid w:val="0"/>
              <w:jc w:val="center"/>
              <w:rPr>
                <w:kern w:val="0"/>
                <w:sz w:val="24"/>
                <w:szCs w:val="24"/>
              </w:rPr>
            </w:pPr>
            <w:r>
              <w:rPr>
                <w:rFonts w:hint="eastAsia" w:cs="宋体"/>
                <w:kern w:val="0"/>
                <w:sz w:val="24"/>
                <w:szCs w:val="24"/>
              </w:rPr>
              <w:t>罐体制作废气排气筒（</w:t>
            </w:r>
            <w:r>
              <w:rPr>
                <w:kern w:val="0"/>
                <w:sz w:val="24"/>
                <w:szCs w:val="24"/>
              </w:rPr>
              <w:t>DA00</w:t>
            </w:r>
            <w:r>
              <w:rPr>
                <w:rFonts w:hint="eastAsia"/>
                <w:kern w:val="0"/>
                <w:sz w:val="24"/>
                <w:szCs w:val="24"/>
              </w:rPr>
              <w:t>1</w:t>
            </w:r>
            <w:r>
              <w:rPr>
                <w:rFonts w:hint="eastAsia" w:cs="宋体"/>
                <w:kern w:val="0"/>
                <w:sz w:val="24"/>
                <w:szCs w:val="24"/>
              </w:rPr>
              <w:t>）</w:t>
            </w:r>
          </w:p>
        </w:tc>
        <w:tc>
          <w:tcPr>
            <w:tcW w:w="1559" w:type="dxa"/>
            <w:vAlign w:val="center"/>
          </w:tcPr>
          <w:p>
            <w:pPr>
              <w:adjustRightInd w:val="0"/>
              <w:snapToGrid w:val="0"/>
              <w:jc w:val="center"/>
              <w:rPr>
                <w:kern w:val="0"/>
                <w:sz w:val="24"/>
                <w:szCs w:val="24"/>
              </w:rPr>
            </w:pPr>
            <w:r>
              <w:rPr>
                <w:rFonts w:hint="eastAsia" w:cs="宋体"/>
                <w:sz w:val="24"/>
                <w:szCs w:val="24"/>
              </w:rPr>
              <w:t>非甲烷总烃、苯乙烯</w:t>
            </w:r>
          </w:p>
        </w:tc>
        <w:tc>
          <w:tcPr>
            <w:tcW w:w="2126" w:type="dxa"/>
            <w:gridSpan w:val="2"/>
            <w:vAlign w:val="center"/>
          </w:tcPr>
          <w:p>
            <w:pPr>
              <w:adjustRightInd w:val="0"/>
              <w:snapToGrid w:val="0"/>
              <w:jc w:val="center"/>
              <w:textAlignment w:val="baseline"/>
              <w:rPr>
                <w:sz w:val="24"/>
                <w:szCs w:val="24"/>
              </w:rPr>
            </w:pPr>
            <w:r>
              <w:rPr>
                <w:rFonts w:hint="eastAsia" w:cs="宋体"/>
                <w:sz w:val="24"/>
                <w:szCs w:val="24"/>
              </w:rPr>
              <w:t>伸缩式密闭房+活性炭吸附/脱附浓缩+催化燃烧装置（RCO）+</w:t>
            </w:r>
            <w:r>
              <w:rPr>
                <w:rFonts w:hint="eastAsia" w:cs="宋体"/>
                <w:kern w:val="0"/>
                <w:sz w:val="24"/>
                <w:szCs w:val="24"/>
              </w:rPr>
              <w:t>18m高排气筒</w:t>
            </w:r>
          </w:p>
        </w:tc>
        <w:tc>
          <w:tcPr>
            <w:tcW w:w="2451" w:type="dxa"/>
            <w:vAlign w:val="center"/>
          </w:tcPr>
          <w:p>
            <w:pPr>
              <w:widowControl/>
              <w:adjustRightInd w:val="0"/>
              <w:snapToGrid w:val="0"/>
              <w:jc w:val="center"/>
              <w:rPr>
                <w:kern w:val="0"/>
                <w:sz w:val="24"/>
                <w:szCs w:val="24"/>
              </w:rPr>
            </w:pPr>
            <w:r>
              <w:rPr>
                <w:rFonts w:hint="eastAsia"/>
                <w:kern w:val="0"/>
                <w:sz w:val="24"/>
                <w:szCs w:val="24"/>
              </w:rPr>
              <w:t>《合成树脂工业污染物排放标准》（GB31572-2015）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77" w:type="dxa"/>
            <w:vMerge w:val="continue"/>
            <w:vAlign w:val="center"/>
          </w:tcPr>
          <w:p>
            <w:pPr>
              <w:adjustRightInd w:val="0"/>
              <w:snapToGrid w:val="0"/>
              <w:jc w:val="center"/>
              <w:rPr>
                <w:sz w:val="24"/>
                <w:szCs w:val="24"/>
              </w:rPr>
            </w:pPr>
          </w:p>
        </w:tc>
        <w:tc>
          <w:tcPr>
            <w:tcW w:w="1701" w:type="dxa"/>
            <w:vAlign w:val="center"/>
          </w:tcPr>
          <w:p>
            <w:pPr>
              <w:adjustRightInd w:val="0"/>
              <w:snapToGrid w:val="0"/>
              <w:jc w:val="center"/>
              <w:rPr>
                <w:kern w:val="0"/>
                <w:sz w:val="24"/>
                <w:szCs w:val="24"/>
              </w:rPr>
            </w:pPr>
            <w:r>
              <w:rPr>
                <w:rFonts w:hint="eastAsia" w:cs="宋体"/>
                <w:kern w:val="0"/>
                <w:sz w:val="24"/>
                <w:szCs w:val="24"/>
              </w:rPr>
              <w:t>封头制作废气排气筒（</w:t>
            </w:r>
            <w:r>
              <w:rPr>
                <w:kern w:val="0"/>
                <w:sz w:val="24"/>
                <w:szCs w:val="24"/>
              </w:rPr>
              <w:t>DA00</w:t>
            </w:r>
            <w:r>
              <w:rPr>
                <w:rFonts w:hint="eastAsia"/>
                <w:kern w:val="0"/>
                <w:sz w:val="24"/>
                <w:szCs w:val="24"/>
              </w:rPr>
              <w:t>2</w:t>
            </w:r>
            <w:r>
              <w:rPr>
                <w:rFonts w:hint="eastAsia" w:cs="宋体"/>
                <w:kern w:val="0"/>
                <w:sz w:val="24"/>
                <w:szCs w:val="24"/>
              </w:rPr>
              <w:t>）</w:t>
            </w:r>
          </w:p>
        </w:tc>
        <w:tc>
          <w:tcPr>
            <w:tcW w:w="1559" w:type="dxa"/>
            <w:vAlign w:val="center"/>
          </w:tcPr>
          <w:p>
            <w:pPr>
              <w:adjustRightInd w:val="0"/>
              <w:snapToGrid w:val="0"/>
              <w:jc w:val="center"/>
              <w:rPr>
                <w:kern w:val="0"/>
                <w:sz w:val="24"/>
                <w:szCs w:val="24"/>
              </w:rPr>
            </w:pPr>
            <w:r>
              <w:rPr>
                <w:rFonts w:hint="eastAsia" w:cs="宋体"/>
                <w:sz w:val="24"/>
                <w:szCs w:val="24"/>
              </w:rPr>
              <w:t>非甲烷总烃、苯乙烯</w:t>
            </w:r>
          </w:p>
        </w:tc>
        <w:tc>
          <w:tcPr>
            <w:tcW w:w="2126" w:type="dxa"/>
            <w:gridSpan w:val="2"/>
            <w:vAlign w:val="center"/>
          </w:tcPr>
          <w:p>
            <w:pPr>
              <w:adjustRightInd w:val="0"/>
              <w:snapToGrid w:val="0"/>
              <w:jc w:val="center"/>
              <w:textAlignment w:val="baseline"/>
              <w:rPr>
                <w:sz w:val="24"/>
                <w:szCs w:val="24"/>
              </w:rPr>
            </w:pPr>
            <w:r>
              <w:rPr>
                <w:rFonts w:hint="eastAsia" w:cs="宋体"/>
                <w:sz w:val="24"/>
                <w:szCs w:val="24"/>
              </w:rPr>
              <w:t>伸缩式密闭房+活性炭吸附/脱附浓缩+催化燃烧装置（RCO）+</w:t>
            </w:r>
            <w:r>
              <w:rPr>
                <w:rFonts w:hint="eastAsia" w:cs="宋体"/>
                <w:kern w:val="0"/>
                <w:sz w:val="24"/>
                <w:szCs w:val="24"/>
              </w:rPr>
              <w:t xml:space="preserve"> 18m高排气筒</w:t>
            </w:r>
          </w:p>
        </w:tc>
        <w:tc>
          <w:tcPr>
            <w:tcW w:w="2451" w:type="dxa"/>
            <w:vAlign w:val="center"/>
          </w:tcPr>
          <w:p>
            <w:pPr>
              <w:widowControl/>
              <w:adjustRightInd w:val="0"/>
              <w:snapToGrid w:val="0"/>
              <w:jc w:val="center"/>
              <w:rPr>
                <w:kern w:val="0"/>
                <w:sz w:val="24"/>
                <w:szCs w:val="24"/>
              </w:rPr>
            </w:pPr>
            <w:r>
              <w:rPr>
                <w:rFonts w:hint="eastAsia"/>
                <w:kern w:val="0"/>
                <w:sz w:val="24"/>
                <w:szCs w:val="24"/>
              </w:rPr>
              <w:t>《合成树脂工业污染物排放标准》（GB31572-2015）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77" w:type="dxa"/>
            <w:vMerge w:val="continue"/>
            <w:vAlign w:val="center"/>
          </w:tcPr>
          <w:p>
            <w:pPr>
              <w:adjustRightInd w:val="0"/>
              <w:snapToGrid w:val="0"/>
              <w:jc w:val="center"/>
              <w:rPr>
                <w:sz w:val="24"/>
                <w:szCs w:val="24"/>
              </w:rPr>
            </w:pPr>
          </w:p>
        </w:tc>
        <w:tc>
          <w:tcPr>
            <w:tcW w:w="1701" w:type="dxa"/>
            <w:vAlign w:val="center"/>
          </w:tcPr>
          <w:p>
            <w:pPr>
              <w:widowControl/>
              <w:adjustRightInd w:val="0"/>
              <w:snapToGrid w:val="0"/>
              <w:jc w:val="center"/>
              <w:rPr>
                <w:sz w:val="24"/>
                <w:szCs w:val="24"/>
              </w:rPr>
            </w:pPr>
            <w:r>
              <w:rPr>
                <w:rFonts w:hint="eastAsia" w:cs="宋体"/>
                <w:kern w:val="0"/>
                <w:sz w:val="24"/>
                <w:szCs w:val="24"/>
              </w:rPr>
              <w:t>打磨室封头排气筒（</w:t>
            </w:r>
            <w:r>
              <w:rPr>
                <w:kern w:val="0"/>
                <w:sz w:val="24"/>
                <w:szCs w:val="24"/>
              </w:rPr>
              <w:t>DA00</w:t>
            </w:r>
            <w:r>
              <w:rPr>
                <w:rFonts w:hint="eastAsia"/>
                <w:kern w:val="0"/>
                <w:sz w:val="24"/>
                <w:szCs w:val="24"/>
              </w:rPr>
              <w:t>3</w:t>
            </w:r>
            <w:r>
              <w:rPr>
                <w:rFonts w:hint="eastAsia" w:cs="宋体"/>
                <w:kern w:val="0"/>
                <w:sz w:val="24"/>
                <w:szCs w:val="24"/>
              </w:rPr>
              <w:t>）</w:t>
            </w:r>
          </w:p>
        </w:tc>
        <w:tc>
          <w:tcPr>
            <w:tcW w:w="1559" w:type="dxa"/>
            <w:vAlign w:val="center"/>
          </w:tcPr>
          <w:p>
            <w:pPr>
              <w:widowControl/>
              <w:adjustRightInd w:val="0"/>
              <w:snapToGrid w:val="0"/>
              <w:jc w:val="center"/>
              <w:rPr>
                <w:sz w:val="24"/>
                <w:szCs w:val="24"/>
              </w:rPr>
            </w:pPr>
            <w:r>
              <w:rPr>
                <w:rFonts w:hint="eastAsia" w:cs="宋体"/>
                <w:kern w:val="0"/>
                <w:sz w:val="24"/>
                <w:szCs w:val="24"/>
              </w:rPr>
              <w:t>粉尘</w:t>
            </w:r>
          </w:p>
        </w:tc>
        <w:tc>
          <w:tcPr>
            <w:tcW w:w="2126" w:type="dxa"/>
            <w:gridSpan w:val="2"/>
            <w:vAlign w:val="center"/>
          </w:tcPr>
          <w:p>
            <w:pPr>
              <w:adjustRightInd w:val="0"/>
              <w:snapToGrid w:val="0"/>
              <w:jc w:val="center"/>
              <w:textAlignment w:val="baseline"/>
              <w:rPr>
                <w:sz w:val="24"/>
                <w:szCs w:val="24"/>
              </w:rPr>
            </w:pPr>
            <w:r>
              <w:rPr>
                <w:rFonts w:hint="eastAsia" w:cs="宋体"/>
                <w:sz w:val="24"/>
                <w:szCs w:val="24"/>
              </w:rPr>
              <w:t>封闭打磨室+布袋除尘器+</w:t>
            </w:r>
            <w:r>
              <w:rPr>
                <w:rFonts w:hint="eastAsia" w:cs="宋体"/>
                <w:kern w:val="0"/>
                <w:sz w:val="24"/>
                <w:szCs w:val="24"/>
              </w:rPr>
              <w:t>18m高排气筒</w:t>
            </w:r>
          </w:p>
        </w:tc>
        <w:tc>
          <w:tcPr>
            <w:tcW w:w="2451" w:type="dxa"/>
            <w:vAlign w:val="center"/>
          </w:tcPr>
          <w:p>
            <w:pPr>
              <w:widowControl/>
              <w:adjustRightInd w:val="0"/>
              <w:snapToGrid w:val="0"/>
              <w:jc w:val="center"/>
              <w:rPr>
                <w:kern w:val="0"/>
                <w:sz w:val="24"/>
                <w:szCs w:val="24"/>
              </w:rPr>
            </w:pPr>
            <w:r>
              <w:rPr>
                <w:rFonts w:hint="eastAsia"/>
                <w:kern w:val="0"/>
                <w:sz w:val="24"/>
                <w:szCs w:val="24"/>
              </w:rPr>
              <w:t>《合成树脂工业污染物排放标准》（GB31572-2015）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77" w:type="dxa"/>
            <w:vMerge w:val="continue"/>
            <w:vAlign w:val="center"/>
          </w:tcPr>
          <w:p>
            <w:pPr>
              <w:adjustRightInd w:val="0"/>
              <w:snapToGrid w:val="0"/>
              <w:jc w:val="center"/>
              <w:rPr>
                <w:sz w:val="24"/>
                <w:szCs w:val="24"/>
              </w:rPr>
            </w:pPr>
          </w:p>
        </w:tc>
        <w:tc>
          <w:tcPr>
            <w:tcW w:w="1701" w:type="dxa"/>
            <w:vAlign w:val="center"/>
          </w:tcPr>
          <w:p>
            <w:pPr>
              <w:widowControl/>
              <w:adjustRightInd w:val="0"/>
              <w:snapToGrid w:val="0"/>
              <w:jc w:val="center"/>
              <w:rPr>
                <w:rFonts w:cs="宋体"/>
                <w:kern w:val="0"/>
                <w:sz w:val="24"/>
                <w:szCs w:val="24"/>
              </w:rPr>
            </w:pPr>
            <w:r>
              <w:rPr>
                <w:rFonts w:hint="eastAsia" w:cs="宋体"/>
                <w:kern w:val="0"/>
                <w:sz w:val="24"/>
                <w:szCs w:val="24"/>
              </w:rPr>
              <w:t>罐体打磨</w:t>
            </w:r>
          </w:p>
        </w:tc>
        <w:tc>
          <w:tcPr>
            <w:tcW w:w="1559" w:type="dxa"/>
            <w:vAlign w:val="center"/>
          </w:tcPr>
          <w:p>
            <w:pPr>
              <w:widowControl/>
              <w:adjustRightInd w:val="0"/>
              <w:snapToGrid w:val="0"/>
              <w:jc w:val="center"/>
              <w:rPr>
                <w:rFonts w:cs="宋体"/>
                <w:kern w:val="0"/>
                <w:sz w:val="24"/>
                <w:szCs w:val="24"/>
              </w:rPr>
            </w:pPr>
            <w:r>
              <w:rPr>
                <w:rFonts w:hint="eastAsia" w:cs="宋体"/>
                <w:kern w:val="0"/>
                <w:sz w:val="24"/>
                <w:szCs w:val="24"/>
              </w:rPr>
              <w:t>粉尘</w:t>
            </w:r>
          </w:p>
        </w:tc>
        <w:tc>
          <w:tcPr>
            <w:tcW w:w="2126" w:type="dxa"/>
            <w:gridSpan w:val="2"/>
            <w:vAlign w:val="center"/>
          </w:tcPr>
          <w:p>
            <w:pPr>
              <w:adjustRightInd w:val="0"/>
              <w:snapToGrid w:val="0"/>
              <w:jc w:val="center"/>
              <w:textAlignment w:val="baseline"/>
              <w:rPr>
                <w:rFonts w:cs="宋体"/>
                <w:sz w:val="24"/>
                <w:szCs w:val="24"/>
              </w:rPr>
            </w:pPr>
            <w:r>
              <w:rPr>
                <w:rFonts w:hint="eastAsia" w:cs="宋体"/>
                <w:sz w:val="24"/>
                <w:szCs w:val="24"/>
              </w:rPr>
              <w:t>移动式滤筒除尘器</w:t>
            </w:r>
          </w:p>
        </w:tc>
        <w:tc>
          <w:tcPr>
            <w:tcW w:w="2451" w:type="dxa"/>
            <w:vAlign w:val="center"/>
          </w:tcPr>
          <w:p>
            <w:pPr>
              <w:widowControl/>
              <w:adjustRightInd w:val="0"/>
              <w:snapToGrid w:val="0"/>
              <w:jc w:val="center"/>
              <w:rPr>
                <w:kern w:val="0"/>
                <w:sz w:val="24"/>
                <w:szCs w:val="24"/>
              </w:rPr>
            </w:pPr>
            <w:r>
              <w:rPr>
                <w:rFonts w:hint="eastAsia"/>
                <w:kern w:val="0"/>
                <w:sz w:val="24"/>
                <w:szCs w:val="24"/>
              </w:rPr>
              <w:t>《合成树脂工业污染物排放标准》（GB31572-2015）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1277" w:type="dxa"/>
            <w:vMerge w:val="continue"/>
            <w:vAlign w:val="center"/>
          </w:tcPr>
          <w:p>
            <w:pPr>
              <w:adjustRightInd w:val="0"/>
              <w:snapToGrid w:val="0"/>
              <w:jc w:val="center"/>
              <w:rPr>
                <w:sz w:val="24"/>
                <w:szCs w:val="24"/>
              </w:rPr>
            </w:pPr>
          </w:p>
        </w:tc>
        <w:tc>
          <w:tcPr>
            <w:tcW w:w="1701" w:type="dxa"/>
            <w:vAlign w:val="center"/>
          </w:tcPr>
          <w:p>
            <w:pPr>
              <w:widowControl/>
              <w:adjustRightInd w:val="0"/>
              <w:snapToGrid w:val="0"/>
              <w:jc w:val="center"/>
              <w:rPr>
                <w:rFonts w:cs="宋体"/>
                <w:kern w:val="0"/>
                <w:sz w:val="24"/>
                <w:szCs w:val="24"/>
              </w:rPr>
            </w:pPr>
            <w:r>
              <w:rPr>
                <w:rFonts w:hint="eastAsia" w:cs="宋体"/>
                <w:kern w:val="0"/>
                <w:sz w:val="24"/>
                <w:szCs w:val="24"/>
              </w:rPr>
              <w:t>食堂油烟排气筒（</w:t>
            </w:r>
            <w:r>
              <w:rPr>
                <w:kern w:val="0"/>
                <w:sz w:val="24"/>
                <w:szCs w:val="24"/>
              </w:rPr>
              <w:t>DA00</w:t>
            </w:r>
            <w:r>
              <w:rPr>
                <w:rFonts w:hint="eastAsia"/>
                <w:kern w:val="0"/>
                <w:sz w:val="24"/>
                <w:szCs w:val="24"/>
              </w:rPr>
              <w:t>4</w:t>
            </w:r>
            <w:r>
              <w:rPr>
                <w:rFonts w:hint="eastAsia" w:cs="宋体"/>
                <w:kern w:val="0"/>
                <w:sz w:val="24"/>
                <w:szCs w:val="24"/>
              </w:rPr>
              <w:t>）</w:t>
            </w:r>
          </w:p>
        </w:tc>
        <w:tc>
          <w:tcPr>
            <w:tcW w:w="1559" w:type="dxa"/>
            <w:vAlign w:val="center"/>
          </w:tcPr>
          <w:p>
            <w:pPr>
              <w:widowControl/>
              <w:adjustRightInd w:val="0"/>
              <w:snapToGrid w:val="0"/>
              <w:jc w:val="center"/>
              <w:rPr>
                <w:sz w:val="24"/>
                <w:szCs w:val="24"/>
              </w:rPr>
            </w:pPr>
            <w:r>
              <w:rPr>
                <w:rFonts w:hint="eastAsia"/>
                <w:sz w:val="24"/>
                <w:szCs w:val="24"/>
              </w:rPr>
              <w:t>油烟</w:t>
            </w:r>
          </w:p>
        </w:tc>
        <w:tc>
          <w:tcPr>
            <w:tcW w:w="2126" w:type="dxa"/>
            <w:gridSpan w:val="2"/>
            <w:vAlign w:val="center"/>
          </w:tcPr>
          <w:p>
            <w:pPr>
              <w:adjustRightInd w:val="0"/>
              <w:snapToGrid w:val="0"/>
              <w:jc w:val="center"/>
              <w:textAlignment w:val="baseline"/>
              <w:rPr>
                <w:rFonts w:cs="宋体"/>
                <w:kern w:val="0"/>
                <w:sz w:val="24"/>
                <w:szCs w:val="24"/>
              </w:rPr>
            </w:pPr>
            <w:r>
              <w:rPr>
                <w:rFonts w:hint="eastAsia" w:cs="宋体"/>
                <w:kern w:val="0"/>
                <w:sz w:val="24"/>
                <w:szCs w:val="24"/>
              </w:rPr>
              <w:t>油烟净化器</w:t>
            </w:r>
          </w:p>
        </w:tc>
        <w:tc>
          <w:tcPr>
            <w:tcW w:w="2451" w:type="dxa"/>
            <w:vAlign w:val="center"/>
          </w:tcPr>
          <w:p>
            <w:pPr>
              <w:widowControl/>
              <w:adjustRightInd w:val="0"/>
              <w:snapToGrid w:val="0"/>
              <w:jc w:val="center"/>
              <w:rPr>
                <w:kern w:val="0"/>
                <w:sz w:val="24"/>
                <w:szCs w:val="24"/>
              </w:rPr>
            </w:pPr>
            <w:r>
              <w:rPr>
                <w:kern w:val="0"/>
                <w:sz w:val="24"/>
                <w:szCs w:val="24"/>
              </w:rPr>
              <w:t>《饮食业油烟排放标准》（</w:t>
            </w:r>
            <w:r>
              <w:rPr>
                <w:rFonts w:hint="eastAsia"/>
                <w:kern w:val="0"/>
                <w:sz w:val="24"/>
                <w:szCs w:val="24"/>
              </w:rPr>
              <w:t>G</w:t>
            </w:r>
            <w:r>
              <w:rPr>
                <w:kern w:val="0"/>
                <w:sz w:val="24"/>
                <w:szCs w:val="24"/>
              </w:rPr>
              <w:t>B18483-2001）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7" w:type="dxa"/>
            <w:vAlign w:val="center"/>
          </w:tcPr>
          <w:p>
            <w:pPr>
              <w:adjustRightInd w:val="0"/>
              <w:snapToGrid w:val="0"/>
              <w:jc w:val="center"/>
              <w:rPr>
                <w:sz w:val="24"/>
                <w:szCs w:val="24"/>
              </w:rPr>
            </w:pPr>
            <w:r>
              <w:rPr>
                <w:rFonts w:hint="eastAsia" w:cs="宋体"/>
                <w:sz w:val="24"/>
                <w:szCs w:val="24"/>
              </w:rPr>
              <w:t>地表水环境</w:t>
            </w:r>
          </w:p>
        </w:tc>
        <w:tc>
          <w:tcPr>
            <w:tcW w:w="1701" w:type="dxa"/>
            <w:vAlign w:val="center"/>
          </w:tcPr>
          <w:p>
            <w:pPr>
              <w:widowControl/>
              <w:adjustRightInd w:val="0"/>
              <w:snapToGrid w:val="0"/>
              <w:jc w:val="center"/>
              <w:rPr>
                <w:kern w:val="0"/>
                <w:sz w:val="24"/>
                <w:szCs w:val="24"/>
              </w:rPr>
            </w:pPr>
            <w:r>
              <w:rPr>
                <w:rFonts w:hint="eastAsia" w:cs="宋体"/>
                <w:kern w:val="0"/>
                <w:sz w:val="24"/>
                <w:szCs w:val="24"/>
              </w:rPr>
              <w:t>生活污水</w:t>
            </w:r>
          </w:p>
          <w:p>
            <w:pPr>
              <w:widowControl/>
              <w:adjustRightInd w:val="0"/>
              <w:snapToGrid w:val="0"/>
              <w:jc w:val="center"/>
              <w:rPr>
                <w:kern w:val="0"/>
                <w:sz w:val="24"/>
                <w:szCs w:val="24"/>
              </w:rPr>
            </w:pPr>
          </w:p>
        </w:tc>
        <w:tc>
          <w:tcPr>
            <w:tcW w:w="1559" w:type="dxa"/>
            <w:vAlign w:val="center"/>
          </w:tcPr>
          <w:p>
            <w:pPr>
              <w:adjustRightInd w:val="0"/>
              <w:snapToGrid w:val="0"/>
              <w:jc w:val="center"/>
              <w:rPr>
                <w:kern w:val="0"/>
                <w:sz w:val="24"/>
                <w:szCs w:val="24"/>
              </w:rPr>
            </w:pPr>
            <w:r>
              <w:rPr>
                <w:kern w:val="0"/>
                <w:sz w:val="24"/>
                <w:szCs w:val="24"/>
              </w:rPr>
              <w:t>COD、</w:t>
            </w:r>
            <w:r>
              <w:rPr>
                <w:sz w:val="24"/>
                <w:szCs w:val="24"/>
              </w:rPr>
              <w:t>BOD</w:t>
            </w:r>
            <w:r>
              <w:rPr>
                <w:sz w:val="24"/>
                <w:szCs w:val="24"/>
                <w:vertAlign w:val="subscript"/>
              </w:rPr>
              <w:t>5、</w:t>
            </w:r>
            <w:r>
              <w:rPr>
                <w:kern w:val="0"/>
                <w:sz w:val="24"/>
                <w:szCs w:val="24"/>
              </w:rPr>
              <w:t>NH</w:t>
            </w:r>
            <w:r>
              <w:rPr>
                <w:kern w:val="0"/>
                <w:sz w:val="24"/>
                <w:szCs w:val="24"/>
                <w:vertAlign w:val="subscript"/>
              </w:rPr>
              <w:t>3</w:t>
            </w:r>
            <w:r>
              <w:rPr>
                <w:kern w:val="0"/>
                <w:sz w:val="24"/>
                <w:szCs w:val="24"/>
              </w:rPr>
              <w:t>-N</w:t>
            </w:r>
            <w:r>
              <w:rPr>
                <w:sz w:val="24"/>
                <w:szCs w:val="24"/>
              </w:rPr>
              <w:t>、SS、</w:t>
            </w:r>
            <w:r>
              <w:rPr>
                <w:rFonts w:hint="eastAsia"/>
                <w:sz w:val="24"/>
                <w:szCs w:val="24"/>
              </w:rPr>
              <w:t>动植物油</w:t>
            </w:r>
          </w:p>
        </w:tc>
        <w:tc>
          <w:tcPr>
            <w:tcW w:w="2126" w:type="dxa"/>
            <w:gridSpan w:val="2"/>
            <w:vAlign w:val="center"/>
          </w:tcPr>
          <w:p>
            <w:pPr>
              <w:adjustRightInd w:val="0"/>
              <w:snapToGrid w:val="0"/>
              <w:jc w:val="center"/>
              <w:rPr>
                <w:kern w:val="0"/>
                <w:sz w:val="24"/>
                <w:szCs w:val="24"/>
              </w:rPr>
            </w:pPr>
            <w:r>
              <w:rPr>
                <w:rFonts w:hint="eastAsia" w:cs="宋体"/>
                <w:sz w:val="24"/>
                <w:szCs w:val="24"/>
              </w:rPr>
              <w:t>食堂废水经油水分离器后与办公生活污水一同排入化粪池处理后，经园区污水管网排入</w:t>
            </w:r>
            <w:r>
              <w:rPr>
                <w:rFonts w:hint="eastAsia" w:cs="宋体"/>
                <w:bCs/>
                <w:sz w:val="24"/>
                <w:szCs w:val="24"/>
              </w:rPr>
              <w:t>靖边</w:t>
            </w:r>
            <w:r>
              <w:rPr>
                <w:rFonts w:cs="宋体"/>
                <w:bCs/>
                <w:sz w:val="24"/>
                <w:szCs w:val="24"/>
              </w:rPr>
              <w:t>县</w:t>
            </w:r>
            <w:r>
              <w:rPr>
                <w:rFonts w:hint="eastAsia" w:cs="宋体"/>
                <w:bCs/>
                <w:sz w:val="24"/>
                <w:szCs w:val="24"/>
              </w:rPr>
              <w:t>经济技术开发区</w:t>
            </w:r>
            <w:r>
              <w:rPr>
                <w:rFonts w:cs="宋体"/>
                <w:bCs/>
                <w:sz w:val="24"/>
                <w:szCs w:val="24"/>
              </w:rPr>
              <w:t>杨桥畔镇污水处理厂</w:t>
            </w:r>
          </w:p>
        </w:tc>
        <w:tc>
          <w:tcPr>
            <w:tcW w:w="2451" w:type="dxa"/>
            <w:vAlign w:val="center"/>
          </w:tcPr>
          <w:p>
            <w:pPr>
              <w:adjustRightInd w:val="0"/>
              <w:snapToGrid w:val="0"/>
              <w:jc w:val="center"/>
              <w:rPr>
                <w:sz w:val="24"/>
                <w:szCs w:val="24"/>
              </w:rPr>
            </w:pPr>
            <w:r>
              <w:rPr>
                <w:rFonts w:hint="eastAsia" w:cs="宋体"/>
                <w:sz w:val="24"/>
                <w:szCs w:val="24"/>
              </w:rPr>
              <w:t>《污水综合排放标准》（</w:t>
            </w:r>
            <w:r>
              <w:rPr>
                <w:sz w:val="24"/>
                <w:szCs w:val="24"/>
              </w:rPr>
              <w:t>GB8978-1996</w:t>
            </w:r>
            <w:r>
              <w:rPr>
                <w:rFonts w:hint="eastAsia" w:cs="宋体"/>
                <w:sz w:val="24"/>
                <w:szCs w:val="24"/>
              </w:rPr>
              <w:t>）中三级标准、《污水排入城镇下水道水质标准》（</w:t>
            </w:r>
            <w:r>
              <w:rPr>
                <w:sz w:val="24"/>
                <w:szCs w:val="24"/>
              </w:rPr>
              <w:t>GB/T31962-2015</w:t>
            </w:r>
            <w:r>
              <w:rPr>
                <w:rFonts w:hint="eastAsia" w:cs="宋体"/>
                <w:sz w:val="24"/>
                <w:szCs w:val="24"/>
              </w:rPr>
              <w:t>）</w:t>
            </w:r>
            <w:r>
              <w:rPr>
                <w:sz w:val="24"/>
                <w:szCs w:val="24"/>
              </w:rPr>
              <w:t>B</w:t>
            </w:r>
            <w:r>
              <w:rPr>
                <w:rFonts w:hint="eastAsia" w:cs="宋体"/>
                <w:sz w:val="24"/>
                <w:szCs w:val="24"/>
              </w:rPr>
              <w:t>级标准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7" w:type="dxa"/>
            <w:vAlign w:val="center"/>
          </w:tcPr>
          <w:p>
            <w:pPr>
              <w:adjustRightInd w:val="0"/>
              <w:snapToGrid w:val="0"/>
              <w:jc w:val="center"/>
              <w:rPr>
                <w:sz w:val="24"/>
                <w:szCs w:val="24"/>
              </w:rPr>
            </w:pPr>
            <w:r>
              <w:rPr>
                <w:rFonts w:hint="eastAsia" w:cs="宋体"/>
                <w:sz w:val="24"/>
                <w:szCs w:val="24"/>
              </w:rPr>
              <w:t>声环境</w:t>
            </w:r>
          </w:p>
        </w:tc>
        <w:tc>
          <w:tcPr>
            <w:tcW w:w="1701" w:type="dxa"/>
            <w:vAlign w:val="center"/>
          </w:tcPr>
          <w:p>
            <w:pPr>
              <w:adjustRightInd w:val="0"/>
              <w:snapToGrid w:val="0"/>
              <w:jc w:val="center"/>
              <w:rPr>
                <w:sz w:val="24"/>
                <w:szCs w:val="24"/>
              </w:rPr>
            </w:pPr>
            <w:r>
              <w:rPr>
                <w:rFonts w:hint="eastAsia" w:cs="宋体"/>
                <w:kern w:val="0"/>
                <w:sz w:val="24"/>
                <w:szCs w:val="24"/>
              </w:rPr>
              <w:t>设备噪声</w:t>
            </w:r>
          </w:p>
        </w:tc>
        <w:tc>
          <w:tcPr>
            <w:tcW w:w="1559" w:type="dxa"/>
            <w:vAlign w:val="center"/>
          </w:tcPr>
          <w:p>
            <w:pPr>
              <w:adjustRightInd w:val="0"/>
              <w:snapToGrid w:val="0"/>
              <w:jc w:val="center"/>
              <w:rPr>
                <w:sz w:val="24"/>
                <w:szCs w:val="24"/>
              </w:rPr>
            </w:pPr>
            <w:r>
              <w:rPr>
                <w:rFonts w:hint="eastAsia" w:cs="宋体"/>
                <w:kern w:val="0"/>
                <w:sz w:val="24"/>
                <w:szCs w:val="24"/>
              </w:rPr>
              <w:t>噪声</w:t>
            </w:r>
          </w:p>
        </w:tc>
        <w:tc>
          <w:tcPr>
            <w:tcW w:w="2126" w:type="dxa"/>
            <w:gridSpan w:val="2"/>
            <w:vAlign w:val="center"/>
          </w:tcPr>
          <w:p>
            <w:pPr>
              <w:adjustRightInd w:val="0"/>
              <w:snapToGrid w:val="0"/>
              <w:jc w:val="center"/>
              <w:rPr>
                <w:sz w:val="24"/>
                <w:szCs w:val="24"/>
              </w:rPr>
            </w:pPr>
            <w:r>
              <w:rPr>
                <w:rFonts w:hint="eastAsia" w:cs="宋体"/>
                <w:kern w:val="0"/>
                <w:sz w:val="24"/>
                <w:szCs w:val="24"/>
              </w:rPr>
              <w:t>低噪声设备、基础减振、设备管道软连接、厂房隔声等</w:t>
            </w:r>
          </w:p>
        </w:tc>
        <w:tc>
          <w:tcPr>
            <w:tcW w:w="2451" w:type="dxa"/>
            <w:vAlign w:val="center"/>
          </w:tcPr>
          <w:p>
            <w:pPr>
              <w:adjustRightInd w:val="0"/>
              <w:snapToGrid w:val="0"/>
              <w:jc w:val="center"/>
              <w:rPr>
                <w:sz w:val="24"/>
                <w:szCs w:val="24"/>
              </w:rPr>
            </w:pPr>
            <w:r>
              <w:rPr>
                <w:rFonts w:hint="eastAsia" w:cs="宋体"/>
                <w:kern w:val="0"/>
                <w:sz w:val="24"/>
                <w:szCs w:val="24"/>
              </w:rPr>
              <w:t>《工业企业厂界环境噪声排放标准》（</w:t>
            </w:r>
            <w:r>
              <w:rPr>
                <w:kern w:val="0"/>
                <w:sz w:val="24"/>
                <w:szCs w:val="24"/>
              </w:rPr>
              <w:t>GB12348-2008</w:t>
            </w:r>
            <w:r>
              <w:rPr>
                <w:rFonts w:hint="eastAsia" w:cs="宋体"/>
                <w:kern w:val="0"/>
                <w:sz w:val="24"/>
                <w:szCs w:val="24"/>
              </w:rPr>
              <w:t>）中</w:t>
            </w:r>
            <w:r>
              <w:rPr>
                <w:rFonts w:hint="eastAsia"/>
                <w:sz w:val="24"/>
                <w:szCs w:val="24"/>
              </w:rPr>
              <w:t>3</w:t>
            </w:r>
            <w:r>
              <w:rPr>
                <w:rFonts w:hint="eastAsia" w:cs="宋体"/>
                <w:sz w:val="24"/>
                <w:szCs w:val="24"/>
              </w:rPr>
              <w:t>类标准限值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277" w:type="dxa"/>
            <w:vAlign w:val="center"/>
          </w:tcPr>
          <w:p>
            <w:pPr>
              <w:adjustRightInd w:val="0"/>
              <w:snapToGrid w:val="0"/>
              <w:jc w:val="center"/>
              <w:rPr>
                <w:sz w:val="24"/>
                <w:szCs w:val="24"/>
              </w:rPr>
            </w:pPr>
            <w:r>
              <w:rPr>
                <w:rFonts w:hint="eastAsia" w:cs="宋体"/>
                <w:sz w:val="24"/>
                <w:szCs w:val="24"/>
              </w:rPr>
              <w:t>电磁辐射</w:t>
            </w:r>
          </w:p>
        </w:tc>
        <w:tc>
          <w:tcPr>
            <w:tcW w:w="7837" w:type="dxa"/>
            <w:gridSpan w:val="5"/>
            <w:vAlign w:val="center"/>
          </w:tcPr>
          <w:p>
            <w:pPr>
              <w:adjustRightInd w:val="0"/>
              <w:snapToGrid w:val="0"/>
              <w:jc w:val="center"/>
              <w:rPr>
                <w:sz w:val="24"/>
                <w:szCs w:val="24"/>
              </w:rPr>
            </w:pPr>
            <w:r>
              <w:rPr>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277" w:type="dxa"/>
            <w:vMerge w:val="restart"/>
            <w:vAlign w:val="center"/>
          </w:tcPr>
          <w:p>
            <w:pPr>
              <w:adjustRightInd w:val="0"/>
              <w:snapToGrid w:val="0"/>
              <w:jc w:val="center"/>
              <w:rPr>
                <w:sz w:val="24"/>
                <w:szCs w:val="24"/>
              </w:rPr>
            </w:pPr>
            <w:r>
              <w:rPr>
                <w:rFonts w:hint="eastAsia" w:cs="宋体"/>
                <w:sz w:val="24"/>
                <w:szCs w:val="24"/>
              </w:rPr>
              <w:t>固体废物</w:t>
            </w:r>
          </w:p>
        </w:tc>
        <w:tc>
          <w:tcPr>
            <w:tcW w:w="1701" w:type="dxa"/>
            <w:vMerge w:val="restart"/>
            <w:vAlign w:val="center"/>
          </w:tcPr>
          <w:p>
            <w:pPr>
              <w:adjustRightInd w:val="0"/>
              <w:snapToGrid w:val="0"/>
              <w:jc w:val="center"/>
              <w:rPr>
                <w:sz w:val="24"/>
                <w:szCs w:val="24"/>
              </w:rPr>
            </w:pPr>
            <w:r>
              <w:rPr>
                <w:rFonts w:hint="eastAsia" w:cs="宋体"/>
                <w:kern w:val="0"/>
                <w:sz w:val="24"/>
                <w:szCs w:val="24"/>
              </w:rPr>
              <w:t>一般固废</w:t>
            </w:r>
          </w:p>
        </w:tc>
        <w:tc>
          <w:tcPr>
            <w:tcW w:w="1984" w:type="dxa"/>
            <w:gridSpan w:val="2"/>
            <w:vAlign w:val="center"/>
          </w:tcPr>
          <w:p>
            <w:pPr>
              <w:adjustRightInd w:val="0"/>
              <w:snapToGrid w:val="0"/>
              <w:jc w:val="center"/>
              <w:rPr>
                <w:sz w:val="24"/>
                <w:szCs w:val="24"/>
              </w:rPr>
            </w:pPr>
            <w:r>
              <w:rPr>
                <w:rFonts w:hint="eastAsia"/>
                <w:sz w:val="24"/>
                <w:szCs w:val="24"/>
              </w:rPr>
              <w:t>除尘器收尘</w:t>
            </w:r>
          </w:p>
        </w:tc>
        <w:tc>
          <w:tcPr>
            <w:tcW w:w="4152" w:type="dxa"/>
            <w:gridSpan w:val="2"/>
            <w:vAlign w:val="center"/>
          </w:tcPr>
          <w:p>
            <w:pPr>
              <w:adjustRightInd w:val="0"/>
              <w:snapToGrid w:val="0"/>
              <w:jc w:val="center"/>
              <w:rPr>
                <w:sz w:val="24"/>
                <w:szCs w:val="24"/>
              </w:rPr>
            </w:pPr>
            <w:r>
              <w:rPr>
                <w:rFonts w:hint="eastAsia" w:cs="宋体"/>
                <w:sz w:val="24"/>
                <w:szCs w:val="24"/>
              </w:rPr>
              <w:t>集中收集，定期外售综合利用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sz w:val="24"/>
                <w:szCs w:val="24"/>
              </w:rPr>
            </w:pPr>
          </w:p>
        </w:tc>
        <w:tc>
          <w:tcPr>
            <w:tcW w:w="1984" w:type="dxa"/>
            <w:gridSpan w:val="2"/>
            <w:vAlign w:val="center"/>
          </w:tcPr>
          <w:p>
            <w:pPr>
              <w:adjustRightInd w:val="0"/>
              <w:snapToGrid w:val="0"/>
              <w:jc w:val="center"/>
              <w:rPr>
                <w:sz w:val="24"/>
                <w:szCs w:val="24"/>
              </w:rPr>
            </w:pPr>
            <w:r>
              <w:rPr>
                <w:rFonts w:hint="eastAsia" w:cs="宋体"/>
                <w:sz w:val="24"/>
                <w:szCs w:val="24"/>
              </w:rPr>
              <w:t>废边角料</w:t>
            </w:r>
          </w:p>
        </w:tc>
        <w:tc>
          <w:tcPr>
            <w:tcW w:w="4152" w:type="dxa"/>
            <w:gridSpan w:val="2"/>
            <w:vAlign w:val="center"/>
          </w:tcPr>
          <w:p>
            <w:pPr>
              <w:adjustRightInd w:val="0"/>
              <w:snapToGrid w:val="0"/>
              <w:jc w:val="center"/>
              <w:rPr>
                <w:sz w:val="24"/>
                <w:szCs w:val="24"/>
              </w:rPr>
            </w:pPr>
            <w:r>
              <w:rPr>
                <w:rFonts w:hint="eastAsia" w:cs="宋体"/>
                <w:sz w:val="24"/>
                <w:szCs w:val="24"/>
              </w:rPr>
              <w:t>集中收集，定期外售综合利用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sz w:val="24"/>
                <w:szCs w:val="24"/>
              </w:rPr>
            </w:pPr>
          </w:p>
        </w:tc>
        <w:tc>
          <w:tcPr>
            <w:tcW w:w="1984" w:type="dxa"/>
            <w:gridSpan w:val="2"/>
            <w:vAlign w:val="center"/>
          </w:tcPr>
          <w:p>
            <w:pPr>
              <w:adjustRightInd w:val="0"/>
              <w:snapToGrid w:val="0"/>
              <w:jc w:val="center"/>
              <w:rPr>
                <w:sz w:val="24"/>
                <w:szCs w:val="24"/>
              </w:rPr>
            </w:pPr>
            <w:r>
              <w:rPr>
                <w:rFonts w:hint="eastAsia"/>
                <w:sz w:val="24"/>
                <w:szCs w:val="24"/>
              </w:rPr>
              <w:t>废聚酯膜</w:t>
            </w:r>
          </w:p>
        </w:tc>
        <w:tc>
          <w:tcPr>
            <w:tcW w:w="4152" w:type="dxa"/>
            <w:gridSpan w:val="2"/>
            <w:vAlign w:val="center"/>
          </w:tcPr>
          <w:p>
            <w:pPr>
              <w:adjustRightInd w:val="0"/>
              <w:snapToGrid w:val="0"/>
              <w:jc w:val="center"/>
              <w:rPr>
                <w:sz w:val="24"/>
                <w:szCs w:val="24"/>
              </w:rPr>
            </w:pPr>
            <w:r>
              <w:rPr>
                <w:rFonts w:hint="eastAsia" w:cs="宋体"/>
                <w:sz w:val="24"/>
                <w:szCs w:val="24"/>
              </w:rPr>
              <w:t>集中收集，定期外售综合利用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sz w:val="24"/>
                <w:szCs w:val="24"/>
              </w:rPr>
            </w:pPr>
          </w:p>
        </w:tc>
        <w:tc>
          <w:tcPr>
            <w:tcW w:w="1984" w:type="dxa"/>
            <w:gridSpan w:val="2"/>
            <w:vAlign w:val="center"/>
          </w:tcPr>
          <w:p>
            <w:pPr>
              <w:adjustRightInd w:val="0"/>
              <w:snapToGrid w:val="0"/>
              <w:jc w:val="center"/>
              <w:rPr>
                <w:sz w:val="24"/>
                <w:szCs w:val="24"/>
              </w:rPr>
            </w:pPr>
            <w:r>
              <w:rPr>
                <w:rFonts w:hint="eastAsia"/>
                <w:sz w:val="24"/>
                <w:szCs w:val="24"/>
              </w:rPr>
              <w:t>废催化剂</w:t>
            </w:r>
          </w:p>
        </w:tc>
        <w:tc>
          <w:tcPr>
            <w:tcW w:w="4152" w:type="dxa"/>
            <w:gridSpan w:val="2"/>
            <w:vAlign w:val="center"/>
          </w:tcPr>
          <w:p>
            <w:pPr>
              <w:adjustRightInd w:val="0"/>
              <w:snapToGrid w:val="0"/>
              <w:jc w:val="center"/>
              <w:rPr>
                <w:rFonts w:cs="宋体"/>
                <w:sz w:val="24"/>
                <w:szCs w:val="24"/>
              </w:rPr>
            </w:pPr>
            <w:r>
              <w:rPr>
                <w:rFonts w:hint="eastAsia" w:cs="宋体"/>
                <w:sz w:val="24"/>
                <w:szCs w:val="24"/>
              </w:rPr>
              <w:t>定期由厂家更换，不在厂区暂存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sz w:val="24"/>
                <w:szCs w:val="24"/>
              </w:rPr>
            </w:pPr>
          </w:p>
        </w:tc>
        <w:tc>
          <w:tcPr>
            <w:tcW w:w="1984" w:type="dxa"/>
            <w:gridSpan w:val="2"/>
            <w:vAlign w:val="center"/>
          </w:tcPr>
          <w:p>
            <w:pPr>
              <w:adjustRightInd w:val="0"/>
              <w:snapToGrid w:val="0"/>
              <w:jc w:val="center"/>
              <w:rPr>
                <w:sz w:val="24"/>
                <w:szCs w:val="24"/>
              </w:rPr>
            </w:pPr>
            <w:r>
              <w:rPr>
                <w:rFonts w:hint="eastAsia" w:cs="宋体"/>
                <w:sz w:val="24"/>
                <w:szCs w:val="24"/>
              </w:rPr>
              <w:t>生活垃圾</w:t>
            </w:r>
          </w:p>
        </w:tc>
        <w:tc>
          <w:tcPr>
            <w:tcW w:w="4152" w:type="dxa"/>
            <w:gridSpan w:val="2"/>
            <w:vAlign w:val="center"/>
          </w:tcPr>
          <w:p>
            <w:pPr>
              <w:adjustRightInd w:val="0"/>
              <w:snapToGrid w:val="0"/>
              <w:jc w:val="center"/>
              <w:rPr>
                <w:sz w:val="24"/>
                <w:szCs w:val="24"/>
              </w:rPr>
            </w:pPr>
            <w:r>
              <w:rPr>
                <w:rFonts w:hint="eastAsia" w:cs="宋体"/>
                <w:sz w:val="24"/>
                <w:szCs w:val="24"/>
              </w:rPr>
              <w:t>交由当地环卫部门统一清运处理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sz w:val="24"/>
                <w:szCs w:val="24"/>
              </w:rPr>
            </w:pPr>
          </w:p>
        </w:tc>
        <w:tc>
          <w:tcPr>
            <w:tcW w:w="1984" w:type="dxa"/>
            <w:gridSpan w:val="2"/>
            <w:vAlign w:val="center"/>
          </w:tcPr>
          <w:p>
            <w:pPr>
              <w:adjustRightInd w:val="0"/>
              <w:snapToGrid w:val="0"/>
              <w:jc w:val="center"/>
              <w:rPr>
                <w:rFonts w:cs="宋体"/>
                <w:sz w:val="24"/>
                <w:szCs w:val="24"/>
              </w:rPr>
            </w:pPr>
            <w:r>
              <w:rPr>
                <w:rFonts w:hint="eastAsia" w:cs="宋体"/>
                <w:sz w:val="24"/>
                <w:szCs w:val="24"/>
              </w:rPr>
              <w:t>废油脂</w:t>
            </w:r>
          </w:p>
        </w:tc>
        <w:tc>
          <w:tcPr>
            <w:tcW w:w="4152" w:type="dxa"/>
            <w:gridSpan w:val="2"/>
            <w:vAlign w:val="center"/>
          </w:tcPr>
          <w:p>
            <w:pPr>
              <w:adjustRightInd w:val="0"/>
              <w:snapToGrid w:val="0"/>
              <w:jc w:val="center"/>
              <w:rPr>
                <w:rFonts w:cs="宋体"/>
                <w:sz w:val="24"/>
                <w:szCs w:val="24"/>
              </w:rPr>
            </w:pPr>
            <w:r>
              <w:rPr>
                <w:rFonts w:hint="eastAsia" w:cs="宋体"/>
                <w:kern w:val="0"/>
                <w:sz w:val="24"/>
                <w:szCs w:val="24"/>
              </w:rPr>
              <w:t>交由有资质单位处置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277" w:type="dxa"/>
            <w:vMerge w:val="continue"/>
            <w:vAlign w:val="center"/>
          </w:tcPr>
          <w:p>
            <w:pPr>
              <w:adjustRightInd w:val="0"/>
              <w:snapToGrid w:val="0"/>
              <w:jc w:val="center"/>
              <w:rPr>
                <w:sz w:val="24"/>
                <w:szCs w:val="24"/>
              </w:rPr>
            </w:pPr>
          </w:p>
        </w:tc>
        <w:tc>
          <w:tcPr>
            <w:tcW w:w="1701" w:type="dxa"/>
            <w:vMerge w:val="restart"/>
            <w:vAlign w:val="center"/>
          </w:tcPr>
          <w:p>
            <w:pPr>
              <w:adjustRightInd w:val="0"/>
              <w:snapToGrid w:val="0"/>
              <w:jc w:val="center"/>
              <w:rPr>
                <w:sz w:val="24"/>
                <w:szCs w:val="24"/>
              </w:rPr>
            </w:pPr>
            <w:r>
              <w:rPr>
                <w:rFonts w:hint="eastAsia" w:cs="宋体"/>
                <w:kern w:val="0"/>
                <w:sz w:val="24"/>
                <w:szCs w:val="24"/>
              </w:rPr>
              <w:t>危险废物</w:t>
            </w:r>
          </w:p>
        </w:tc>
        <w:tc>
          <w:tcPr>
            <w:tcW w:w="1984" w:type="dxa"/>
            <w:gridSpan w:val="2"/>
            <w:vAlign w:val="center"/>
          </w:tcPr>
          <w:p>
            <w:pPr>
              <w:adjustRightInd w:val="0"/>
              <w:snapToGrid w:val="0"/>
              <w:jc w:val="center"/>
              <w:rPr>
                <w:sz w:val="24"/>
                <w:szCs w:val="24"/>
              </w:rPr>
            </w:pPr>
            <w:r>
              <w:rPr>
                <w:rFonts w:hint="eastAsia" w:cs="宋体"/>
                <w:sz w:val="24"/>
                <w:szCs w:val="24"/>
              </w:rPr>
              <w:t>废润滑油</w:t>
            </w:r>
          </w:p>
        </w:tc>
        <w:tc>
          <w:tcPr>
            <w:tcW w:w="4152" w:type="dxa"/>
            <w:gridSpan w:val="2"/>
            <w:vMerge w:val="restart"/>
            <w:vAlign w:val="center"/>
          </w:tcPr>
          <w:p>
            <w:pPr>
              <w:adjustRightInd w:val="0"/>
              <w:snapToGrid w:val="0"/>
              <w:jc w:val="center"/>
              <w:rPr>
                <w:sz w:val="24"/>
                <w:szCs w:val="24"/>
              </w:rPr>
            </w:pPr>
            <w:r>
              <w:rPr>
                <w:rFonts w:hint="eastAsia" w:cs="宋体"/>
                <w:kern w:val="0"/>
                <w:sz w:val="24"/>
                <w:szCs w:val="24"/>
              </w:rPr>
              <w:t>分类集中收集暂存危废暂存间，定期交由有资质单位处置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rFonts w:cs="宋体"/>
                <w:kern w:val="0"/>
                <w:sz w:val="24"/>
                <w:szCs w:val="24"/>
              </w:rPr>
            </w:pPr>
          </w:p>
        </w:tc>
        <w:tc>
          <w:tcPr>
            <w:tcW w:w="1984" w:type="dxa"/>
            <w:gridSpan w:val="2"/>
            <w:vAlign w:val="center"/>
          </w:tcPr>
          <w:p>
            <w:pPr>
              <w:adjustRightInd w:val="0"/>
              <w:snapToGrid w:val="0"/>
              <w:jc w:val="center"/>
              <w:rPr>
                <w:rFonts w:cs="宋体"/>
                <w:sz w:val="24"/>
                <w:szCs w:val="24"/>
              </w:rPr>
            </w:pPr>
            <w:r>
              <w:rPr>
                <w:rFonts w:hint="eastAsia" w:cs="宋体"/>
                <w:sz w:val="24"/>
                <w:szCs w:val="24"/>
              </w:rPr>
              <w:t>废包装桶</w:t>
            </w:r>
          </w:p>
        </w:tc>
        <w:tc>
          <w:tcPr>
            <w:tcW w:w="4152" w:type="dxa"/>
            <w:gridSpan w:val="2"/>
            <w:vMerge w:val="continue"/>
            <w:vAlign w:val="center"/>
          </w:tcPr>
          <w:p>
            <w:pPr>
              <w:adjustRightInd w:val="0"/>
              <w:snapToGrid w:val="0"/>
              <w:jc w:val="center"/>
              <w:rPr>
                <w:rFonts w:cs="宋体"/>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277" w:type="dxa"/>
            <w:vMerge w:val="continue"/>
            <w:vAlign w:val="center"/>
          </w:tcPr>
          <w:p>
            <w:pPr>
              <w:adjustRightInd w:val="0"/>
              <w:snapToGrid w:val="0"/>
              <w:jc w:val="center"/>
              <w:rPr>
                <w:sz w:val="24"/>
                <w:szCs w:val="24"/>
              </w:rPr>
            </w:pPr>
          </w:p>
        </w:tc>
        <w:tc>
          <w:tcPr>
            <w:tcW w:w="1701" w:type="dxa"/>
            <w:vMerge w:val="continue"/>
            <w:vAlign w:val="center"/>
          </w:tcPr>
          <w:p>
            <w:pPr>
              <w:adjustRightInd w:val="0"/>
              <w:snapToGrid w:val="0"/>
              <w:jc w:val="center"/>
              <w:rPr>
                <w:kern w:val="0"/>
                <w:sz w:val="24"/>
                <w:szCs w:val="24"/>
              </w:rPr>
            </w:pPr>
          </w:p>
        </w:tc>
        <w:tc>
          <w:tcPr>
            <w:tcW w:w="1984" w:type="dxa"/>
            <w:gridSpan w:val="2"/>
            <w:vAlign w:val="center"/>
          </w:tcPr>
          <w:p>
            <w:pPr>
              <w:adjustRightInd w:val="0"/>
              <w:snapToGrid w:val="0"/>
              <w:jc w:val="center"/>
              <w:rPr>
                <w:sz w:val="24"/>
                <w:szCs w:val="24"/>
              </w:rPr>
            </w:pPr>
            <w:r>
              <w:rPr>
                <w:rFonts w:hint="eastAsia" w:cs="宋体"/>
                <w:sz w:val="24"/>
                <w:szCs w:val="24"/>
              </w:rPr>
              <w:t>废活性炭</w:t>
            </w:r>
          </w:p>
        </w:tc>
        <w:tc>
          <w:tcPr>
            <w:tcW w:w="4152" w:type="dxa"/>
            <w:gridSpan w:val="2"/>
            <w:vMerge w:val="continue"/>
            <w:vAlign w:val="center"/>
          </w:tcPr>
          <w:p>
            <w:pPr>
              <w:adjustRightInd w:val="0"/>
              <w:snapToGrid w:val="0"/>
              <w:jc w:val="center"/>
              <w:rPr>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277" w:type="dxa"/>
            <w:vAlign w:val="center"/>
          </w:tcPr>
          <w:p>
            <w:pPr>
              <w:adjustRightInd w:val="0"/>
              <w:snapToGrid w:val="0"/>
              <w:jc w:val="center"/>
              <w:rPr>
                <w:sz w:val="24"/>
                <w:szCs w:val="24"/>
              </w:rPr>
            </w:pPr>
            <w:r>
              <w:rPr>
                <w:rFonts w:hint="eastAsia" w:cs="宋体"/>
                <w:sz w:val="24"/>
                <w:szCs w:val="24"/>
              </w:rPr>
              <w:t>土壤及地下水污染防治措施</w:t>
            </w:r>
          </w:p>
        </w:tc>
        <w:tc>
          <w:tcPr>
            <w:tcW w:w="7837" w:type="dxa"/>
            <w:gridSpan w:val="5"/>
          </w:tcPr>
          <w:p>
            <w:pPr>
              <w:adjustRightInd w:val="0"/>
              <w:snapToGrid w:val="0"/>
              <w:jc w:val="left"/>
              <w:rPr>
                <w:sz w:val="24"/>
                <w:szCs w:val="24"/>
              </w:rPr>
            </w:pPr>
            <w:r>
              <w:rPr>
                <w:sz w:val="24"/>
                <w:szCs w:val="24"/>
              </w:rPr>
              <w:t>采取分区防渗措施，建设项目应采取防止和减少污染物跑、冒、滴、漏的措施，防渗设计应依据污染防治区采取相应的防渗方案。污染防治区应采取防止污染物漫流到非污染防治区的措施。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277" w:type="dxa"/>
            <w:vAlign w:val="center"/>
          </w:tcPr>
          <w:p>
            <w:pPr>
              <w:adjustRightInd w:val="0"/>
              <w:snapToGrid w:val="0"/>
              <w:jc w:val="center"/>
              <w:rPr>
                <w:sz w:val="24"/>
                <w:szCs w:val="24"/>
              </w:rPr>
            </w:pPr>
            <w:r>
              <w:rPr>
                <w:rFonts w:hint="eastAsia" w:cs="宋体"/>
                <w:sz w:val="24"/>
                <w:szCs w:val="24"/>
              </w:rPr>
              <w:t>生态保护措施</w:t>
            </w:r>
          </w:p>
        </w:tc>
        <w:tc>
          <w:tcPr>
            <w:tcW w:w="7837" w:type="dxa"/>
            <w:gridSpan w:val="5"/>
            <w:vAlign w:val="center"/>
          </w:tcPr>
          <w:p>
            <w:pPr>
              <w:adjustRightInd w:val="0"/>
              <w:snapToGrid w:val="0"/>
              <w:jc w:val="center"/>
              <w:rPr>
                <w:sz w:val="24"/>
                <w:szCs w:val="24"/>
              </w:rPr>
            </w:pPr>
            <w:r>
              <w:rPr>
                <w:sz w:val="2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1277" w:type="dxa"/>
            <w:vAlign w:val="center"/>
          </w:tcPr>
          <w:p>
            <w:pPr>
              <w:adjustRightInd w:val="0"/>
              <w:snapToGrid w:val="0"/>
              <w:jc w:val="center"/>
              <w:rPr>
                <w:spacing w:val="-8"/>
                <w:sz w:val="24"/>
                <w:szCs w:val="24"/>
              </w:rPr>
            </w:pPr>
            <w:r>
              <w:rPr>
                <w:rFonts w:hint="eastAsia" w:cs="宋体"/>
                <w:spacing w:val="-8"/>
                <w:sz w:val="24"/>
                <w:szCs w:val="24"/>
              </w:rPr>
              <w:t>环境风险防范措施</w:t>
            </w:r>
          </w:p>
        </w:tc>
        <w:tc>
          <w:tcPr>
            <w:tcW w:w="7837" w:type="dxa"/>
            <w:gridSpan w:val="5"/>
            <w:vAlign w:val="center"/>
          </w:tcPr>
          <w:p>
            <w:pPr>
              <w:adjustRightInd w:val="0"/>
              <w:snapToGrid w:val="0"/>
              <w:jc w:val="left"/>
              <w:rPr>
                <w:sz w:val="24"/>
              </w:rPr>
            </w:pPr>
            <w:r>
              <w:rPr>
                <w:rFonts w:hint="eastAsia"/>
                <w:sz w:val="24"/>
              </w:rPr>
              <w:t>①建立健全安全规程，在原料储存区域及危废暂存间设置明显的标识及警示牌；</w:t>
            </w:r>
          </w:p>
          <w:p>
            <w:pPr>
              <w:adjustRightInd w:val="0"/>
              <w:snapToGrid w:val="0"/>
              <w:jc w:val="left"/>
              <w:rPr>
                <w:sz w:val="24"/>
              </w:rPr>
            </w:pPr>
            <w:r>
              <w:rPr>
                <w:rFonts w:hint="eastAsia"/>
                <w:sz w:val="24"/>
              </w:rPr>
              <w:t>②按照相关要求，定期组织对原料的使用以及紧急事故发生时处理方法的培训，制定安全操作规程。</w:t>
            </w:r>
          </w:p>
          <w:p>
            <w:pPr>
              <w:adjustRightInd w:val="0"/>
              <w:snapToGrid w:val="0"/>
              <w:jc w:val="left"/>
              <w:rPr>
                <w:sz w:val="24"/>
              </w:rPr>
            </w:pPr>
            <w:r>
              <w:rPr>
                <w:rFonts w:hint="eastAsia"/>
                <w:sz w:val="24"/>
              </w:rPr>
              <w:t>③设置完整的环境风险事故处理程序，一旦发生事故，依照风险事故处理程序进行操作。</w:t>
            </w:r>
          </w:p>
          <w:p>
            <w:pPr>
              <w:adjustRightInd w:val="0"/>
              <w:snapToGrid w:val="0"/>
              <w:jc w:val="left"/>
              <w:rPr>
                <w:sz w:val="24"/>
              </w:rPr>
            </w:pPr>
            <w:r>
              <w:rPr>
                <w:rFonts w:hint="eastAsia"/>
                <w:sz w:val="24"/>
              </w:rPr>
              <w:t>④定时定点安排人员进行隐患排查。定期针对事故进行安全疏散演练，提高工作人员安全意识，提高人员自救能力，提高事故应急处理的能力。</w:t>
            </w:r>
          </w:p>
          <w:p>
            <w:pPr>
              <w:adjustRightInd w:val="0"/>
              <w:snapToGrid w:val="0"/>
              <w:jc w:val="left"/>
              <w:rPr>
                <w:sz w:val="24"/>
              </w:rPr>
            </w:pPr>
            <w:r>
              <w:rPr>
                <w:rFonts w:hint="eastAsia"/>
                <w:sz w:val="24"/>
              </w:rPr>
              <w:t>⑤设置专门的应急组织和人员。储备专门的应急物质和设备。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277" w:type="dxa"/>
            <w:tcBorders>
              <w:bottom w:val="single" w:color="auto" w:sz="8" w:space="0"/>
            </w:tcBorders>
            <w:vAlign w:val="center"/>
          </w:tcPr>
          <w:p>
            <w:pPr>
              <w:adjustRightInd w:val="0"/>
              <w:snapToGrid w:val="0"/>
              <w:jc w:val="center"/>
              <w:rPr>
                <w:spacing w:val="-8"/>
                <w:sz w:val="24"/>
                <w:szCs w:val="24"/>
              </w:rPr>
            </w:pPr>
            <w:r>
              <w:rPr>
                <w:rFonts w:hint="eastAsia" w:cs="宋体"/>
                <w:spacing w:val="-8"/>
                <w:sz w:val="24"/>
                <w:szCs w:val="24"/>
              </w:rPr>
              <w:t>其他环境管理要求</w:t>
            </w:r>
          </w:p>
        </w:tc>
        <w:tc>
          <w:tcPr>
            <w:tcW w:w="7837" w:type="dxa"/>
            <w:gridSpan w:val="5"/>
            <w:tcBorders>
              <w:bottom w:val="single" w:color="auto" w:sz="8" w:space="0"/>
            </w:tcBorders>
            <w:vAlign w:val="center"/>
          </w:tcPr>
          <w:p>
            <w:pPr>
              <w:widowControl/>
              <w:adjustRightInd w:val="0"/>
              <w:snapToGrid w:val="0"/>
              <w:spacing w:line="360" w:lineRule="auto"/>
              <w:jc w:val="left"/>
              <w:rPr>
                <w:sz w:val="24"/>
              </w:rPr>
            </w:pPr>
            <w:r>
              <w:rPr>
                <w:sz w:val="24"/>
              </w:rPr>
              <w:t>（1）环境管理</w:t>
            </w:r>
            <w:r>
              <w:rPr>
                <w:rFonts w:hint="eastAsia"/>
                <w:sz w:val="24"/>
              </w:rPr>
              <w:t>制度</w:t>
            </w:r>
          </w:p>
          <w:p>
            <w:pPr>
              <w:adjustRightInd w:val="0"/>
              <w:snapToGrid w:val="0"/>
              <w:spacing w:line="360" w:lineRule="auto"/>
              <w:ind w:firstLine="480" w:firstLineChars="200"/>
              <w:rPr>
                <w:sz w:val="24"/>
              </w:rPr>
            </w:pPr>
            <w:r>
              <w:rPr>
                <w:rFonts w:hint="eastAsia"/>
                <w:sz w:val="24"/>
              </w:rPr>
              <w:t>加强环保设施的管理，应建立环境保护管理部门，负责落实废气、固废、噪声等的治理。建立岗位责任制和工作台账制度，对污染防治情况进行定时监测，及时掌握污染治理设施的运行情况，做好各项污染物的达标排放工作。</w:t>
            </w:r>
          </w:p>
          <w:p>
            <w:pPr>
              <w:widowControl/>
              <w:adjustRightInd w:val="0"/>
              <w:snapToGrid w:val="0"/>
              <w:spacing w:line="360" w:lineRule="auto"/>
              <w:jc w:val="left"/>
              <w:rPr>
                <w:sz w:val="24"/>
              </w:rPr>
            </w:pPr>
            <w:r>
              <w:rPr>
                <w:sz w:val="24"/>
              </w:rPr>
              <w:t>（2）</w:t>
            </w:r>
            <w:r>
              <w:rPr>
                <w:rFonts w:hint="eastAsia"/>
                <w:sz w:val="24"/>
              </w:rPr>
              <w:t>竣工环境保护验收要求</w:t>
            </w:r>
          </w:p>
          <w:p>
            <w:pPr>
              <w:adjustRightInd w:val="0"/>
              <w:snapToGrid w:val="0"/>
              <w:spacing w:line="360" w:lineRule="auto"/>
              <w:ind w:firstLine="480" w:firstLineChars="200"/>
              <w:rPr>
                <w:sz w:val="24"/>
              </w:rPr>
            </w:pPr>
            <w:r>
              <w:rPr>
                <w:rFonts w:hint="eastAsia"/>
                <w:sz w:val="24"/>
              </w:rPr>
              <w:t>①建设项目在排污前，</w:t>
            </w:r>
            <w:r>
              <w:rPr>
                <w:rFonts w:hint="eastAsia"/>
                <w:bCs/>
                <w:sz w:val="24"/>
              </w:rPr>
              <w:t>对照《固定污染源排污许可分类管理名录（2019 年版）》</w:t>
            </w:r>
            <w:r>
              <w:rPr>
                <w:rFonts w:hint="eastAsia"/>
                <w:sz w:val="24"/>
              </w:rPr>
              <w:t>，在全国排污许可证管理信息平台登记填报排污许可情况，取得排污许可手续。</w:t>
            </w:r>
          </w:p>
          <w:p>
            <w:pPr>
              <w:adjustRightInd w:val="0"/>
              <w:snapToGrid w:val="0"/>
              <w:spacing w:line="360" w:lineRule="auto"/>
              <w:ind w:firstLine="480" w:firstLineChars="200"/>
              <w:rPr>
                <w:sz w:val="24"/>
              </w:rPr>
            </w:pPr>
            <w:r>
              <w:rPr>
                <w:rFonts w:hint="eastAsia"/>
                <w:sz w:val="24"/>
              </w:rPr>
              <w:t>②</w:t>
            </w:r>
            <w:r>
              <w:rPr>
                <w:sz w:val="24"/>
              </w:rPr>
              <w:t>对建设项目配套建设的环境保护设施进行调试</w:t>
            </w:r>
            <w:r>
              <w:rPr>
                <w:rFonts w:hint="eastAsia"/>
                <w:sz w:val="24"/>
              </w:rPr>
              <w:t>试运行</w:t>
            </w:r>
            <w:r>
              <w:rPr>
                <w:sz w:val="24"/>
              </w:rPr>
              <w:t>前，公开</w:t>
            </w:r>
            <w:r>
              <w:rPr>
                <w:rFonts w:hint="eastAsia"/>
                <w:sz w:val="24"/>
              </w:rPr>
              <w:t>试生产</w:t>
            </w:r>
            <w:r>
              <w:rPr>
                <w:sz w:val="24"/>
              </w:rPr>
              <w:t>调试日期</w:t>
            </w:r>
            <w:r>
              <w:rPr>
                <w:rFonts w:hint="eastAsia"/>
                <w:sz w:val="24"/>
              </w:rPr>
              <w:t>。</w:t>
            </w:r>
          </w:p>
          <w:p>
            <w:pPr>
              <w:adjustRightInd w:val="0"/>
              <w:snapToGrid w:val="0"/>
              <w:spacing w:line="360" w:lineRule="auto"/>
              <w:ind w:firstLine="480" w:firstLineChars="200"/>
              <w:rPr>
                <w:sz w:val="24"/>
              </w:rPr>
            </w:pPr>
            <w:r>
              <w:rPr>
                <w:rFonts w:hint="eastAsia"/>
                <w:sz w:val="24"/>
              </w:rPr>
              <w:t>③根据《建设项目竣工环境保护验收暂行办法》（国环规环评气〔2017〕4 号），建设单位自行验收合格后，方可投入生产或者使用。</w:t>
            </w:r>
          </w:p>
          <w:p>
            <w:pPr>
              <w:adjustRightInd w:val="0"/>
              <w:snapToGrid w:val="0"/>
              <w:spacing w:line="360" w:lineRule="auto"/>
              <w:rPr>
                <w:sz w:val="24"/>
              </w:rPr>
            </w:pPr>
            <w:r>
              <w:rPr>
                <w:rFonts w:hint="eastAsia"/>
                <w:sz w:val="24"/>
              </w:rPr>
              <w:t>（3）环境风险管理措施</w:t>
            </w:r>
          </w:p>
          <w:p>
            <w:pPr>
              <w:adjustRightInd w:val="0"/>
              <w:snapToGrid w:val="0"/>
              <w:spacing w:line="360" w:lineRule="auto"/>
              <w:ind w:firstLine="480" w:firstLineChars="200"/>
              <w:rPr>
                <w:sz w:val="24"/>
              </w:rPr>
            </w:pPr>
            <w:r>
              <w:rPr>
                <w:rFonts w:hint="eastAsia"/>
                <w:sz w:val="24"/>
              </w:rPr>
              <w:t>①建立健全安全规程，在原料储存区域及危废暂存间设置明显的标识及警示牌；</w:t>
            </w:r>
          </w:p>
          <w:p>
            <w:pPr>
              <w:adjustRightInd w:val="0"/>
              <w:snapToGrid w:val="0"/>
              <w:spacing w:line="360" w:lineRule="auto"/>
              <w:ind w:firstLine="480" w:firstLineChars="200"/>
              <w:rPr>
                <w:sz w:val="24"/>
              </w:rPr>
            </w:pPr>
            <w:r>
              <w:rPr>
                <w:rFonts w:hint="eastAsia"/>
                <w:sz w:val="24"/>
              </w:rPr>
              <w:t>②严格按相关要求，定期组织对原料的使用的使用以及紧急事故发生时处理方法的培训，制定安全操作规程。</w:t>
            </w:r>
          </w:p>
          <w:p>
            <w:pPr>
              <w:adjustRightInd w:val="0"/>
              <w:snapToGrid w:val="0"/>
              <w:spacing w:line="360" w:lineRule="auto"/>
              <w:ind w:firstLine="480" w:firstLineChars="200"/>
              <w:rPr>
                <w:sz w:val="24"/>
              </w:rPr>
            </w:pPr>
            <w:r>
              <w:rPr>
                <w:rFonts w:hint="eastAsia"/>
                <w:sz w:val="24"/>
              </w:rPr>
              <w:t>③设置完整的环境风险事故处理程序，一旦发生事故，依照风险事故处理程序进行操作。</w:t>
            </w:r>
          </w:p>
          <w:p>
            <w:pPr>
              <w:adjustRightInd w:val="0"/>
              <w:snapToGrid w:val="0"/>
              <w:spacing w:line="360" w:lineRule="auto"/>
              <w:ind w:firstLine="480" w:firstLineChars="200"/>
              <w:rPr>
                <w:sz w:val="24"/>
              </w:rPr>
            </w:pPr>
            <w:r>
              <w:rPr>
                <w:rFonts w:hint="eastAsia"/>
                <w:sz w:val="24"/>
              </w:rPr>
              <w:t>④定时定点安排人员进行隐患排查。定期针对事故进行安全疏散演练，提高工作人员安全意识，提高人员自救能力，提高事故应急处理的能力。</w:t>
            </w:r>
          </w:p>
          <w:p>
            <w:pPr>
              <w:adjustRightInd w:val="0"/>
              <w:snapToGrid w:val="0"/>
              <w:spacing w:line="360" w:lineRule="auto"/>
              <w:ind w:firstLine="480" w:firstLineChars="200"/>
              <w:rPr>
                <w:sz w:val="24"/>
              </w:rPr>
            </w:pPr>
            <w:r>
              <w:rPr>
                <w:rFonts w:hint="eastAsia"/>
                <w:sz w:val="24"/>
              </w:rPr>
              <w:t>⑤设置专门的应急组织和人员。储备专门的应急物质和设备。</w:t>
            </w:r>
          </w:p>
          <w:p>
            <w:pPr>
              <w:adjustRightInd w:val="0"/>
              <w:snapToGrid w:val="0"/>
              <w:spacing w:line="360" w:lineRule="auto"/>
              <w:ind w:firstLine="480" w:firstLineChars="200"/>
              <w:rPr>
                <w:sz w:val="24"/>
              </w:rPr>
            </w:pPr>
            <w:r>
              <w:rPr>
                <w:sz w:val="24"/>
              </w:rPr>
              <w:fldChar w:fldCharType="begin"/>
            </w:r>
            <w:r>
              <w:rPr>
                <w:sz w:val="24"/>
              </w:rPr>
              <w:instrText xml:space="preserve"> </w:instrText>
            </w:r>
            <w:r>
              <w:rPr>
                <w:rFonts w:hint="eastAsia"/>
                <w:sz w:val="24"/>
              </w:rPr>
              <w:instrText xml:space="preserve">= 6 \* GB3</w:instrText>
            </w:r>
            <w:r>
              <w:rPr>
                <w:sz w:val="24"/>
              </w:rPr>
              <w:instrText xml:space="preserve"> </w:instrText>
            </w:r>
            <w:r>
              <w:rPr>
                <w:sz w:val="24"/>
              </w:rPr>
              <w:fldChar w:fldCharType="separate"/>
            </w:r>
            <w:r>
              <w:rPr>
                <w:rFonts w:hint="eastAsia"/>
                <w:sz w:val="24"/>
              </w:rPr>
              <w:t>⑥</w:t>
            </w:r>
            <w:r>
              <w:rPr>
                <w:sz w:val="24"/>
              </w:rPr>
              <w:fldChar w:fldCharType="end"/>
            </w:r>
            <w:r>
              <w:rPr>
                <w:rFonts w:hint="eastAsia"/>
                <w:sz w:val="24"/>
              </w:rPr>
              <w:t>企业编制环境风险应急预案并按照相关要求进行备案。</w:t>
            </w:r>
          </w:p>
          <w:p>
            <w:pPr>
              <w:adjustRightInd w:val="0"/>
              <w:snapToGrid w:val="0"/>
              <w:spacing w:line="360" w:lineRule="auto"/>
              <w:rPr>
                <w:sz w:val="24"/>
              </w:rPr>
            </w:pPr>
            <w:r>
              <w:rPr>
                <w:rFonts w:hint="eastAsia"/>
                <w:sz w:val="24"/>
              </w:rPr>
              <w:t>（4）自行监测及排污</w:t>
            </w:r>
            <w:r>
              <w:rPr>
                <w:sz w:val="24"/>
              </w:rPr>
              <w:t>口</w:t>
            </w:r>
            <w:r>
              <w:rPr>
                <w:rFonts w:hint="eastAsia"/>
                <w:sz w:val="24"/>
              </w:rPr>
              <w:t>规范</w:t>
            </w:r>
            <w:r>
              <w:rPr>
                <w:sz w:val="24"/>
              </w:rPr>
              <w:t>管理要求</w:t>
            </w:r>
          </w:p>
          <w:p>
            <w:pPr>
              <w:adjustRightInd w:val="0"/>
              <w:snapToGrid w:val="0"/>
              <w:spacing w:line="360" w:lineRule="auto"/>
              <w:ind w:firstLine="480" w:firstLineChars="200"/>
              <w:rPr>
                <w:sz w:val="24"/>
              </w:rPr>
            </w:pPr>
            <w:r>
              <w:rPr>
                <w:rFonts w:hint="eastAsia"/>
                <w:sz w:val="24"/>
              </w:rPr>
              <w:t>①按照</w:t>
            </w:r>
            <w:r>
              <w:rPr>
                <w:sz w:val="24"/>
              </w:rPr>
              <w:t>《排污单位自行监测技术指南 总则》（HJ819-2017）</w:t>
            </w:r>
            <w:r>
              <w:rPr>
                <w:rFonts w:hint="eastAsia"/>
                <w:sz w:val="24"/>
              </w:rPr>
              <w:t>中相关企业，定期进行自行监测，确保污染物稳定达标排放。</w:t>
            </w:r>
          </w:p>
          <w:p>
            <w:pPr>
              <w:adjustRightInd w:val="0"/>
              <w:snapToGrid w:val="0"/>
              <w:spacing w:line="360" w:lineRule="auto"/>
              <w:ind w:firstLine="480" w:firstLineChars="200"/>
              <w:rPr>
                <w:sz w:val="24"/>
              </w:rPr>
            </w:pPr>
            <w:r>
              <w:rPr>
                <w:rFonts w:hint="eastAsia"/>
                <w:sz w:val="24"/>
              </w:rPr>
              <w:t>②设置规范的</w:t>
            </w:r>
            <w:r>
              <w:rPr>
                <w:sz w:val="24"/>
              </w:rPr>
              <w:t>排污口</w:t>
            </w:r>
            <w:r>
              <w:rPr>
                <w:rFonts w:hint="eastAsia"/>
                <w:sz w:val="24"/>
              </w:rPr>
              <w:t>以及监测采样平台，</w:t>
            </w:r>
            <w:r>
              <w:rPr>
                <w:sz w:val="24"/>
              </w:rPr>
              <w:t>排污口应便于采样与计量监测，便于日常现场监督检查。</w:t>
            </w:r>
          </w:p>
          <w:p>
            <w:pPr>
              <w:adjustRightInd w:val="0"/>
              <w:snapToGrid w:val="0"/>
              <w:spacing w:line="360" w:lineRule="auto"/>
              <w:ind w:firstLine="480" w:firstLineChars="200"/>
              <w:rPr>
                <w:sz w:val="24"/>
              </w:rPr>
            </w:pPr>
            <w:r>
              <w:rPr>
                <w:rFonts w:hint="eastAsia"/>
                <w:sz w:val="24"/>
              </w:rPr>
              <w:t>③</w:t>
            </w:r>
            <w:r>
              <w:rPr>
                <w:sz w:val="24"/>
              </w:rPr>
              <w:t>按《排污口规范化整治技术要求》</w:t>
            </w:r>
            <w:r>
              <w:rPr>
                <w:rFonts w:hint="eastAsia"/>
                <w:sz w:val="24"/>
              </w:rPr>
              <w:t>（</w:t>
            </w:r>
            <w:r>
              <w:rPr>
                <w:sz w:val="24"/>
              </w:rPr>
              <w:t>环监（1996）470号</w:t>
            </w:r>
            <w:r>
              <w:rPr>
                <w:rFonts w:hint="eastAsia"/>
                <w:sz w:val="24"/>
              </w:rPr>
              <w:t>）</w:t>
            </w:r>
            <w:r>
              <w:rPr>
                <w:sz w:val="24"/>
              </w:rPr>
              <w:t>的要求进行规范化管理。</w:t>
            </w:r>
          </w:p>
          <w:p>
            <w:pPr>
              <w:adjustRightInd w:val="0"/>
              <w:snapToGrid w:val="0"/>
              <w:spacing w:line="360" w:lineRule="auto"/>
              <w:ind w:firstLine="480" w:firstLineChars="200"/>
              <w:rPr>
                <w:bCs/>
                <w:sz w:val="24"/>
              </w:rPr>
            </w:pPr>
            <w:r>
              <w:rPr>
                <w:rFonts w:hint="eastAsia"/>
                <w:sz w:val="24"/>
              </w:rPr>
              <w:t>④</w:t>
            </w:r>
            <w:r>
              <w:rPr>
                <w:sz w:val="24"/>
              </w:rPr>
              <w:t>按国家《</w:t>
            </w:r>
            <w:r>
              <w:rPr>
                <w:rFonts w:hint="eastAsia"/>
                <w:sz w:val="24"/>
              </w:rPr>
              <w:t>环境保护</w:t>
            </w:r>
            <w:r>
              <w:rPr>
                <w:sz w:val="24"/>
              </w:rPr>
              <w:t>图形标志》</w:t>
            </w:r>
            <w:r>
              <w:rPr>
                <w:rFonts w:hint="eastAsia"/>
                <w:sz w:val="24"/>
              </w:rPr>
              <w:t>（GB 15562.2-1995）</w:t>
            </w:r>
            <w:r>
              <w:rPr>
                <w:sz w:val="24"/>
              </w:rPr>
              <w:t>与</w:t>
            </w:r>
            <w:r>
              <w:rPr>
                <w:rFonts w:hint="eastAsia"/>
                <w:bCs/>
                <w:sz w:val="24"/>
              </w:rPr>
              <w:t>危险废物识别标志设置技术规范 （HJ 1276—2022）</w:t>
            </w:r>
            <w:r>
              <w:rPr>
                <w:sz w:val="24"/>
              </w:rPr>
              <w:t>的规定，</w:t>
            </w:r>
            <w:r>
              <w:rPr>
                <w:rFonts w:hint="eastAsia"/>
                <w:sz w:val="24"/>
              </w:rPr>
              <w:t>张贴及设立规范的标识。</w:t>
            </w:r>
          </w:p>
          <w:p>
            <w:pPr>
              <w:adjustRightInd w:val="0"/>
              <w:snapToGrid w:val="0"/>
              <w:spacing w:line="360" w:lineRule="auto"/>
              <w:rPr>
                <w:bCs/>
                <w:sz w:val="24"/>
              </w:rPr>
            </w:pPr>
            <w:r>
              <w:rPr>
                <w:sz w:val="24"/>
              </w:rPr>
              <w:t>（</w:t>
            </w:r>
            <w:r>
              <w:rPr>
                <w:rFonts w:hint="eastAsia"/>
                <w:sz w:val="24"/>
              </w:rPr>
              <w:t>5</w:t>
            </w:r>
            <w:r>
              <w:rPr>
                <w:sz w:val="24"/>
              </w:rPr>
              <w:t>）</w:t>
            </w:r>
            <w:r>
              <w:rPr>
                <w:bCs/>
                <w:sz w:val="24"/>
              </w:rPr>
              <w:t>环保投资</w:t>
            </w:r>
            <w:r>
              <w:rPr>
                <w:rFonts w:hint="eastAsia"/>
                <w:bCs/>
                <w:sz w:val="24"/>
              </w:rPr>
              <w:t>估算</w:t>
            </w:r>
          </w:p>
          <w:p>
            <w:pPr>
              <w:adjustRightInd w:val="0"/>
              <w:snapToGrid w:val="0"/>
              <w:spacing w:line="360" w:lineRule="auto"/>
              <w:ind w:firstLine="480" w:firstLineChars="200"/>
              <w:rPr>
                <w:sz w:val="24"/>
              </w:rPr>
            </w:pPr>
            <w:r>
              <w:rPr>
                <w:sz w:val="24"/>
              </w:rPr>
              <w:t>本项目总投资</w:t>
            </w:r>
            <w:r>
              <w:rPr>
                <w:rFonts w:hint="eastAsia"/>
                <w:sz w:val="24"/>
              </w:rPr>
              <w:t>2000</w:t>
            </w:r>
            <w:r>
              <w:rPr>
                <w:sz w:val="24"/>
              </w:rPr>
              <w:t>万元，其中环保投资</w:t>
            </w:r>
            <w:r>
              <w:rPr>
                <w:rFonts w:hint="eastAsia"/>
                <w:sz w:val="24"/>
              </w:rPr>
              <w:t>152</w:t>
            </w:r>
            <w:r>
              <w:rPr>
                <w:sz w:val="24"/>
              </w:rPr>
              <w:t>万元，占总投资的</w:t>
            </w:r>
            <w:r>
              <w:rPr>
                <w:rFonts w:hint="eastAsia"/>
                <w:sz w:val="24"/>
              </w:rPr>
              <w:t>7.6</w:t>
            </w:r>
            <w:r>
              <w:rPr>
                <w:sz w:val="24"/>
              </w:rPr>
              <w:t>%，环保投资估算见下表。</w:t>
            </w:r>
          </w:p>
          <w:p>
            <w:pPr>
              <w:pStyle w:val="2"/>
              <w:jc w:val="center"/>
              <w:rPr>
                <w:b/>
              </w:rPr>
            </w:pPr>
            <w:r>
              <w:rPr>
                <w:rFonts w:hint="eastAsia"/>
                <w:b/>
              </w:rPr>
              <w:t>表5-1  项目环保投资估算一览表</w:t>
            </w:r>
          </w:p>
          <w:tbl>
            <w:tblPr>
              <w:tblStyle w:val="3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1559"/>
              <w:gridCol w:w="3119"/>
              <w:gridCol w:w="850"/>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Align w:val="center"/>
                </w:tcPr>
                <w:p>
                  <w:pPr>
                    <w:adjustRightInd w:val="0"/>
                    <w:snapToGrid w:val="0"/>
                    <w:jc w:val="center"/>
                  </w:pPr>
                  <w:r>
                    <w:rPr>
                      <w:rFonts w:hint="eastAsia"/>
                    </w:rPr>
                    <w:t>类别</w:t>
                  </w:r>
                </w:p>
              </w:tc>
              <w:tc>
                <w:tcPr>
                  <w:tcW w:w="1559" w:type="dxa"/>
                  <w:vAlign w:val="center"/>
                </w:tcPr>
                <w:p>
                  <w:pPr>
                    <w:adjustRightInd w:val="0"/>
                    <w:snapToGrid w:val="0"/>
                    <w:jc w:val="center"/>
                  </w:pPr>
                  <w:r>
                    <w:rPr>
                      <w:rFonts w:hint="eastAsia"/>
                    </w:rPr>
                    <w:t>污染源</w:t>
                  </w:r>
                </w:p>
              </w:tc>
              <w:tc>
                <w:tcPr>
                  <w:tcW w:w="3119" w:type="dxa"/>
                  <w:vAlign w:val="center"/>
                </w:tcPr>
                <w:p>
                  <w:pPr>
                    <w:adjustRightInd w:val="0"/>
                    <w:snapToGrid w:val="0"/>
                    <w:jc w:val="center"/>
                  </w:pPr>
                  <w:r>
                    <w:rPr>
                      <w:rFonts w:hint="eastAsia"/>
                    </w:rPr>
                    <w:t>环保设施、措施</w:t>
                  </w:r>
                </w:p>
              </w:tc>
              <w:tc>
                <w:tcPr>
                  <w:tcW w:w="850" w:type="dxa"/>
                  <w:vAlign w:val="center"/>
                </w:tcPr>
                <w:p>
                  <w:pPr>
                    <w:adjustRightInd w:val="0"/>
                    <w:snapToGrid w:val="0"/>
                    <w:jc w:val="center"/>
                  </w:pPr>
                  <w:r>
                    <w:rPr>
                      <w:rFonts w:hint="eastAsia"/>
                    </w:rPr>
                    <w:t>数量</w:t>
                  </w:r>
                </w:p>
              </w:tc>
              <w:tc>
                <w:tcPr>
                  <w:tcW w:w="1348" w:type="dxa"/>
                  <w:vAlign w:val="center"/>
                </w:tcPr>
                <w:p>
                  <w:pPr>
                    <w:adjustRightInd w:val="0"/>
                    <w:snapToGrid w:val="0"/>
                    <w:jc w:val="center"/>
                  </w:pPr>
                  <w:r>
                    <w:rPr>
                      <w:rFonts w:hint="eastAsia"/>
                    </w:rPr>
                    <w:t>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Align w:val="center"/>
                </w:tcPr>
                <w:p>
                  <w:pPr>
                    <w:adjustRightInd w:val="0"/>
                    <w:snapToGrid w:val="0"/>
                    <w:jc w:val="center"/>
                  </w:pPr>
                  <w:r>
                    <w:rPr>
                      <w:rFonts w:hint="eastAsia"/>
                    </w:rPr>
                    <w:t>废水</w:t>
                  </w:r>
                </w:p>
              </w:tc>
              <w:tc>
                <w:tcPr>
                  <w:tcW w:w="1559" w:type="dxa"/>
                  <w:vAlign w:val="center"/>
                </w:tcPr>
                <w:p>
                  <w:pPr>
                    <w:adjustRightInd w:val="0"/>
                    <w:snapToGrid w:val="0"/>
                    <w:jc w:val="center"/>
                  </w:pPr>
                  <w:r>
                    <w:rPr>
                      <w:rFonts w:hint="eastAsia"/>
                    </w:rPr>
                    <w:t>生活污水</w:t>
                  </w:r>
                </w:p>
              </w:tc>
              <w:tc>
                <w:tcPr>
                  <w:tcW w:w="3119" w:type="dxa"/>
                  <w:vAlign w:val="center"/>
                </w:tcPr>
                <w:p>
                  <w:pPr>
                    <w:adjustRightInd w:val="0"/>
                    <w:snapToGrid w:val="0"/>
                    <w:jc w:val="center"/>
                  </w:pPr>
                  <w:r>
                    <w:rPr>
                      <w:rFonts w:hint="eastAsia"/>
                    </w:rPr>
                    <w:t>油水分离器、化粪池</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restart"/>
                  <w:vAlign w:val="center"/>
                </w:tcPr>
                <w:p>
                  <w:pPr>
                    <w:adjustRightInd w:val="0"/>
                    <w:snapToGrid w:val="0"/>
                    <w:jc w:val="center"/>
                  </w:pPr>
                  <w:r>
                    <w:rPr>
                      <w:rFonts w:hint="eastAsia"/>
                    </w:rPr>
                    <w:t>废气</w:t>
                  </w:r>
                </w:p>
              </w:tc>
              <w:tc>
                <w:tcPr>
                  <w:tcW w:w="1559" w:type="dxa"/>
                  <w:vAlign w:val="center"/>
                </w:tcPr>
                <w:p>
                  <w:pPr>
                    <w:adjustRightInd w:val="0"/>
                    <w:snapToGrid w:val="0"/>
                    <w:jc w:val="center"/>
                  </w:pPr>
                  <w:r>
                    <w:rPr>
                      <w:rFonts w:hint="eastAsia"/>
                    </w:rPr>
                    <w:t>罐体制作区</w:t>
                  </w:r>
                </w:p>
              </w:tc>
              <w:tc>
                <w:tcPr>
                  <w:tcW w:w="3119" w:type="dxa"/>
                  <w:vAlign w:val="center"/>
                </w:tcPr>
                <w:p>
                  <w:pPr>
                    <w:adjustRightInd w:val="0"/>
                    <w:snapToGrid w:val="0"/>
                    <w:jc w:val="center"/>
                  </w:pPr>
                  <w:r>
                    <w:rPr>
                      <w:rFonts w:hint="eastAsia"/>
                    </w:rPr>
                    <w:t>伸缩式密闭房+活性炭吸附/脱附浓缩+催化燃烧装置（RCO）+</w:t>
                  </w:r>
                  <w:r>
                    <w:t>1</w:t>
                  </w:r>
                  <w:r>
                    <w:rPr>
                      <w:rFonts w:hint="eastAsia"/>
                    </w:rPr>
                    <w:t>8</w:t>
                  </w:r>
                  <w:r>
                    <w:t>m排气筒</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封头制作区</w:t>
                  </w:r>
                </w:p>
              </w:tc>
              <w:tc>
                <w:tcPr>
                  <w:tcW w:w="3119" w:type="dxa"/>
                  <w:vAlign w:val="center"/>
                </w:tcPr>
                <w:p>
                  <w:pPr>
                    <w:adjustRightInd w:val="0"/>
                    <w:snapToGrid w:val="0"/>
                    <w:jc w:val="center"/>
                  </w:pPr>
                  <w:r>
                    <w:rPr>
                      <w:rFonts w:hint="eastAsia"/>
                    </w:rPr>
                    <w:t>伸缩式密闭房+活性炭吸附/脱附浓缩+催化燃烧装置（RCO）+</w:t>
                  </w:r>
                  <w:r>
                    <w:t>1</w:t>
                  </w:r>
                  <w:r>
                    <w:rPr>
                      <w:rFonts w:hint="eastAsia"/>
                    </w:rPr>
                    <w:t>8</w:t>
                  </w:r>
                  <w:r>
                    <w:t>m排气筒</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封头打磨修整</w:t>
                  </w:r>
                </w:p>
              </w:tc>
              <w:tc>
                <w:tcPr>
                  <w:tcW w:w="3119" w:type="dxa"/>
                  <w:vAlign w:val="center"/>
                </w:tcPr>
                <w:p>
                  <w:pPr>
                    <w:adjustRightInd w:val="0"/>
                    <w:snapToGrid w:val="0"/>
                    <w:jc w:val="center"/>
                  </w:pPr>
                  <w:r>
                    <w:rPr>
                      <w:rFonts w:hint="eastAsia"/>
                    </w:rPr>
                    <w:t>封闭打磨室+布袋除尘器+18m高排气筒</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罐体打磨修整</w:t>
                  </w:r>
                </w:p>
              </w:tc>
              <w:tc>
                <w:tcPr>
                  <w:tcW w:w="3119" w:type="dxa"/>
                  <w:vAlign w:val="center"/>
                </w:tcPr>
                <w:p>
                  <w:pPr>
                    <w:adjustRightInd w:val="0"/>
                    <w:snapToGrid w:val="0"/>
                    <w:jc w:val="center"/>
                  </w:pPr>
                  <w:r>
                    <w:rPr>
                      <w:rFonts w:hint="eastAsia"/>
                    </w:rPr>
                    <w:t>移动式滤筒除尘器</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食堂油烟</w:t>
                  </w:r>
                </w:p>
              </w:tc>
              <w:tc>
                <w:tcPr>
                  <w:tcW w:w="3119" w:type="dxa"/>
                  <w:vAlign w:val="center"/>
                </w:tcPr>
                <w:p>
                  <w:pPr>
                    <w:adjustRightInd w:val="0"/>
                    <w:snapToGrid w:val="0"/>
                    <w:jc w:val="center"/>
                  </w:pPr>
                  <w:r>
                    <w:rPr>
                      <w:rFonts w:hint="eastAsia"/>
                    </w:rPr>
                    <w:t>油烟净化器</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Align w:val="center"/>
                </w:tcPr>
                <w:p>
                  <w:pPr>
                    <w:adjustRightInd w:val="0"/>
                    <w:snapToGrid w:val="0"/>
                    <w:jc w:val="center"/>
                  </w:pPr>
                  <w:r>
                    <w:rPr>
                      <w:rFonts w:hint="eastAsia"/>
                    </w:rPr>
                    <w:t>噪声</w:t>
                  </w:r>
                </w:p>
              </w:tc>
              <w:tc>
                <w:tcPr>
                  <w:tcW w:w="1559" w:type="dxa"/>
                  <w:vAlign w:val="center"/>
                </w:tcPr>
                <w:p>
                  <w:pPr>
                    <w:pStyle w:val="150"/>
                    <w:adjustRightInd w:val="0"/>
                    <w:snapToGrid w:val="0"/>
                  </w:pPr>
                  <w:r>
                    <w:rPr>
                      <w:rFonts w:ascii="宋体" w:hAnsi="宋体"/>
                    </w:rPr>
                    <w:t>设备噪声</w:t>
                  </w:r>
                </w:p>
              </w:tc>
              <w:tc>
                <w:tcPr>
                  <w:tcW w:w="3119" w:type="dxa"/>
                  <w:vAlign w:val="center"/>
                </w:tcPr>
                <w:p>
                  <w:pPr>
                    <w:pStyle w:val="150"/>
                    <w:adjustRightInd w:val="0"/>
                    <w:snapToGrid w:val="0"/>
                  </w:pPr>
                  <w:r>
                    <w:rPr>
                      <w:rFonts w:hint="eastAsia" w:ascii="宋体" w:hAnsi="宋体"/>
                    </w:rPr>
                    <w:t>选用低噪设备</w:t>
                  </w:r>
                  <w:r>
                    <w:rPr>
                      <w:rFonts w:hint="eastAsia"/>
                    </w:rPr>
                    <w:t>、</w:t>
                  </w:r>
                  <w:r>
                    <w:rPr>
                      <w:rFonts w:hint="eastAsia" w:ascii="宋体" w:hAnsi="宋体"/>
                    </w:rPr>
                    <w:t>基础减震、柔性链接、厂房隔声等措施</w:t>
                  </w:r>
                </w:p>
              </w:tc>
              <w:tc>
                <w:tcPr>
                  <w:tcW w:w="850" w:type="dxa"/>
                  <w:vAlign w:val="center"/>
                </w:tcPr>
                <w:p>
                  <w:pPr>
                    <w:adjustRightInd w:val="0"/>
                    <w:snapToGrid w:val="0"/>
                    <w:jc w:val="center"/>
                  </w:pPr>
                  <w:r>
                    <w:rPr>
                      <w:rFonts w:hint="eastAsia"/>
                    </w:rPr>
                    <w:t>若干</w:t>
                  </w:r>
                </w:p>
              </w:tc>
              <w:tc>
                <w:tcPr>
                  <w:tcW w:w="1348" w:type="dxa"/>
                  <w:vAlign w:val="center"/>
                </w:tcPr>
                <w:p>
                  <w:pPr>
                    <w:adjustRightInd w:val="0"/>
                    <w:snapToGrid w:val="0"/>
                    <w:jc w:val="center"/>
                  </w:pPr>
                  <w:r>
                    <w:rPr>
                      <w:rFonts w:hint="eastAsia"/>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restart"/>
                  <w:vAlign w:val="center"/>
                </w:tcPr>
                <w:p>
                  <w:pPr>
                    <w:adjustRightInd w:val="0"/>
                    <w:snapToGrid w:val="0"/>
                    <w:jc w:val="center"/>
                  </w:pPr>
                  <w:r>
                    <w:rPr>
                      <w:rFonts w:hint="eastAsia"/>
                    </w:rPr>
                    <w:t>固废</w:t>
                  </w:r>
                </w:p>
              </w:tc>
              <w:tc>
                <w:tcPr>
                  <w:tcW w:w="1559" w:type="dxa"/>
                  <w:vAlign w:val="center"/>
                </w:tcPr>
                <w:p>
                  <w:pPr>
                    <w:adjustRightInd w:val="0"/>
                    <w:snapToGrid w:val="0"/>
                    <w:jc w:val="center"/>
                  </w:pPr>
                  <w:r>
                    <w:rPr>
                      <w:rFonts w:hint="eastAsia"/>
                    </w:rPr>
                    <w:t>生活垃圾</w:t>
                  </w:r>
                </w:p>
              </w:tc>
              <w:tc>
                <w:tcPr>
                  <w:tcW w:w="3119" w:type="dxa"/>
                  <w:vAlign w:val="center"/>
                </w:tcPr>
                <w:p>
                  <w:pPr>
                    <w:adjustRightInd w:val="0"/>
                    <w:snapToGrid w:val="0"/>
                    <w:jc w:val="center"/>
                  </w:pPr>
                  <w:r>
                    <w:rPr>
                      <w:rFonts w:hint="eastAsia"/>
                    </w:rPr>
                    <w:t>分类收集垃圾桶</w:t>
                  </w:r>
                </w:p>
              </w:tc>
              <w:tc>
                <w:tcPr>
                  <w:tcW w:w="850" w:type="dxa"/>
                  <w:vAlign w:val="center"/>
                </w:tcPr>
                <w:p>
                  <w:pPr>
                    <w:adjustRightInd w:val="0"/>
                    <w:snapToGrid w:val="0"/>
                    <w:jc w:val="center"/>
                  </w:pPr>
                  <w:r>
                    <w:rPr>
                      <w:rFonts w:hint="eastAsia"/>
                    </w:rPr>
                    <w:t>若干</w:t>
                  </w:r>
                </w:p>
              </w:tc>
              <w:tc>
                <w:tcPr>
                  <w:tcW w:w="1348" w:type="dxa"/>
                  <w:vAlign w:val="center"/>
                </w:tcPr>
                <w:p>
                  <w:pPr>
                    <w:adjustRightInd w:val="0"/>
                    <w:snapToGrid w:val="0"/>
                    <w:jc w:val="cente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一般固废</w:t>
                  </w:r>
                </w:p>
              </w:tc>
              <w:tc>
                <w:tcPr>
                  <w:tcW w:w="3119" w:type="dxa"/>
                  <w:vAlign w:val="center"/>
                </w:tcPr>
                <w:p>
                  <w:pPr>
                    <w:adjustRightInd w:val="0"/>
                    <w:snapToGrid w:val="0"/>
                    <w:jc w:val="center"/>
                  </w:pPr>
                  <w:r>
                    <w:rPr>
                      <w:rFonts w:hint="eastAsia"/>
                    </w:rPr>
                    <w:t>一般固废暂存区</w:t>
                  </w:r>
                </w:p>
              </w:tc>
              <w:tc>
                <w:tcPr>
                  <w:tcW w:w="850" w:type="dxa"/>
                  <w:vAlign w:val="center"/>
                </w:tcPr>
                <w:p>
                  <w:pPr>
                    <w:adjustRightInd w:val="0"/>
                    <w:snapToGrid w:val="0"/>
                    <w:jc w:val="center"/>
                  </w:pPr>
                  <w:r>
                    <w:rPr>
                      <w:rFonts w:hint="eastAsia"/>
                    </w:rPr>
                    <w:t>1处</w:t>
                  </w:r>
                </w:p>
              </w:tc>
              <w:tc>
                <w:tcPr>
                  <w:tcW w:w="1348" w:type="dxa"/>
                  <w:vAlign w:val="center"/>
                </w:tcPr>
                <w:p>
                  <w:pPr>
                    <w:adjustRightInd w:val="0"/>
                    <w:snapToGrid w:val="0"/>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Merge w:val="continue"/>
                  <w:vAlign w:val="center"/>
                </w:tcPr>
                <w:p>
                  <w:pPr>
                    <w:adjustRightInd w:val="0"/>
                    <w:snapToGrid w:val="0"/>
                    <w:jc w:val="center"/>
                  </w:pPr>
                </w:p>
              </w:tc>
              <w:tc>
                <w:tcPr>
                  <w:tcW w:w="1559" w:type="dxa"/>
                  <w:vAlign w:val="center"/>
                </w:tcPr>
                <w:p>
                  <w:pPr>
                    <w:adjustRightInd w:val="0"/>
                    <w:snapToGrid w:val="0"/>
                    <w:jc w:val="center"/>
                  </w:pPr>
                  <w:r>
                    <w:rPr>
                      <w:rFonts w:hint="eastAsia"/>
                    </w:rPr>
                    <w:t>危险废物</w:t>
                  </w:r>
                </w:p>
              </w:tc>
              <w:tc>
                <w:tcPr>
                  <w:tcW w:w="3119" w:type="dxa"/>
                  <w:vAlign w:val="center"/>
                </w:tcPr>
                <w:p>
                  <w:pPr>
                    <w:adjustRightInd w:val="0"/>
                    <w:snapToGrid w:val="0"/>
                    <w:jc w:val="center"/>
                  </w:pPr>
                  <w:r>
                    <w:rPr>
                      <w:rFonts w:hint="eastAsia"/>
                    </w:rPr>
                    <w:t>危废暂存间</w:t>
                  </w:r>
                </w:p>
              </w:tc>
              <w:tc>
                <w:tcPr>
                  <w:tcW w:w="850" w:type="dxa"/>
                  <w:vAlign w:val="center"/>
                </w:tcPr>
                <w:p>
                  <w:pPr>
                    <w:adjustRightInd w:val="0"/>
                    <w:snapToGrid w:val="0"/>
                    <w:jc w:val="center"/>
                  </w:pPr>
                  <w:r>
                    <w:rPr>
                      <w:rFonts w:hint="eastAsia"/>
                    </w:rPr>
                    <w:t>1座</w:t>
                  </w:r>
                </w:p>
              </w:tc>
              <w:tc>
                <w:tcPr>
                  <w:tcW w:w="1348" w:type="dxa"/>
                  <w:vAlign w:val="center"/>
                </w:tcPr>
                <w:p>
                  <w:pPr>
                    <w:adjustRightInd w:val="0"/>
                    <w:snapToGrid w:val="0"/>
                    <w:jc w:val="center"/>
                  </w:pPr>
                  <w:r>
                    <w:rPr>
                      <w:rFonts w:hint="eastAsia"/>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Align w:val="center"/>
                </w:tcPr>
                <w:p>
                  <w:pPr>
                    <w:adjustRightInd w:val="0"/>
                    <w:snapToGrid w:val="0"/>
                    <w:jc w:val="center"/>
                  </w:pPr>
                  <w:r>
                    <w:rPr>
                      <w:rFonts w:hint="eastAsia"/>
                    </w:rPr>
                    <w:t>其他</w:t>
                  </w:r>
                </w:p>
              </w:tc>
              <w:tc>
                <w:tcPr>
                  <w:tcW w:w="1559" w:type="dxa"/>
                  <w:vAlign w:val="center"/>
                </w:tcPr>
                <w:p>
                  <w:pPr>
                    <w:adjustRightInd w:val="0"/>
                    <w:snapToGrid w:val="0"/>
                    <w:jc w:val="center"/>
                  </w:pPr>
                  <w:r>
                    <w:rPr>
                      <w:rFonts w:hint="eastAsia"/>
                    </w:rPr>
                    <w:t>自行监测</w:t>
                  </w:r>
                </w:p>
              </w:tc>
              <w:tc>
                <w:tcPr>
                  <w:tcW w:w="3119" w:type="dxa"/>
                  <w:vAlign w:val="center"/>
                </w:tcPr>
                <w:p>
                  <w:pPr>
                    <w:adjustRightInd w:val="0"/>
                    <w:snapToGrid w:val="0"/>
                    <w:jc w:val="center"/>
                  </w:pPr>
                  <w:r>
                    <w:rPr>
                      <w:rFonts w:hint="eastAsia"/>
                    </w:rPr>
                    <w:t>有机废气在线监测设备</w:t>
                  </w:r>
                </w:p>
              </w:tc>
              <w:tc>
                <w:tcPr>
                  <w:tcW w:w="850" w:type="dxa"/>
                  <w:vAlign w:val="center"/>
                </w:tcPr>
                <w:p>
                  <w:pPr>
                    <w:adjustRightInd w:val="0"/>
                    <w:snapToGrid w:val="0"/>
                    <w:jc w:val="center"/>
                  </w:pPr>
                  <w:r>
                    <w:rPr>
                      <w:rFonts w:hint="eastAsia"/>
                    </w:rPr>
                    <w:t>1套</w:t>
                  </w:r>
                </w:p>
              </w:tc>
              <w:tc>
                <w:tcPr>
                  <w:tcW w:w="1348" w:type="dxa"/>
                  <w:vAlign w:val="center"/>
                </w:tcPr>
                <w:p>
                  <w:pPr>
                    <w:adjustRightInd w:val="0"/>
                    <w:snapToGrid w:val="0"/>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730" w:type="dxa"/>
                  <w:vAlign w:val="center"/>
                </w:tcPr>
                <w:p>
                  <w:pPr>
                    <w:adjustRightInd w:val="0"/>
                    <w:snapToGrid w:val="0"/>
                    <w:jc w:val="center"/>
                  </w:pPr>
                  <w:r>
                    <w:rPr>
                      <w:rFonts w:hint="eastAsia"/>
                    </w:rPr>
                    <w:t>绿化</w:t>
                  </w:r>
                </w:p>
              </w:tc>
              <w:tc>
                <w:tcPr>
                  <w:tcW w:w="4678" w:type="dxa"/>
                  <w:gridSpan w:val="2"/>
                  <w:vAlign w:val="center"/>
                </w:tcPr>
                <w:p>
                  <w:pPr>
                    <w:adjustRightInd w:val="0"/>
                    <w:snapToGrid w:val="0"/>
                    <w:jc w:val="center"/>
                  </w:pPr>
                  <w:r>
                    <w:rPr>
                      <w:rFonts w:hint="eastAsia"/>
                    </w:rPr>
                    <w:t>厂区一定面积绿化</w:t>
                  </w:r>
                </w:p>
              </w:tc>
              <w:tc>
                <w:tcPr>
                  <w:tcW w:w="850" w:type="dxa"/>
                  <w:vAlign w:val="center"/>
                </w:tcPr>
                <w:p>
                  <w:pPr>
                    <w:adjustRightInd w:val="0"/>
                    <w:snapToGrid w:val="0"/>
                    <w:jc w:val="center"/>
                  </w:pPr>
                  <w:r>
                    <w:rPr>
                      <w:rFonts w:hint="eastAsia"/>
                    </w:rPr>
                    <w:t>/</w:t>
                  </w:r>
                </w:p>
              </w:tc>
              <w:tc>
                <w:tcPr>
                  <w:tcW w:w="1348" w:type="dxa"/>
                  <w:vAlign w:val="center"/>
                </w:tcPr>
                <w:p>
                  <w:pPr>
                    <w:adjustRightInd w:val="0"/>
                    <w:snapToGrid w:val="0"/>
                    <w:jc w:val="center"/>
                  </w:pPr>
                  <w:r>
                    <w:rPr>
                      <w:rFonts w:hint="eastAsia"/>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6258" w:type="dxa"/>
                  <w:gridSpan w:val="4"/>
                  <w:vAlign w:val="center"/>
                </w:tcPr>
                <w:p>
                  <w:pPr>
                    <w:adjustRightInd w:val="0"/>
                    <w:snapToGrid w:val="0"/>
                    <w:jc w:val="center"/>
                  </w:pPr>
                  <w:r>
                    <w:rPr>
                      <w:rFonts w:hint="eastAsia"/>
                    </w:rPr>
                    <w:t>合计</w:t>
                  </w:r>
                </w:p>
              </w:tc>
              <w:tc>
                <w:tcPr>
                  <w:tcW w:w="1348" w:type="dxa"/>
                  <w:vAlign w:val="center"/>
                </w:tcPr>
                <w:p>
                  <w:pPr>
                    <w:adjustRightInd w:val="0"/>
                    <w:snapToGrid w:val="0"/>
                    <w:jc w:val="center"/>
                  </w:pPr>
                  <w:r>
                    <w:fldChar w:fldCharType="begin"/>
                  </w:r>
                  <w:r>
                    <w:instrText xml:space="preserve"> =SUM(ABOVE) </w:instrText>
                  </w:r>
                  <w:r>
                    <w:fldChar w:fldCharType="separate"/>
                  </w:r>
                  <w:r>
                    <w:t>152</w:t>
                  </w:r>
                  <w:r>
                    <w:fldChar w:fldCharType="end"/>
                  </w:r>
                  <w:r>
                    <w:rPr>
                      <w:rFonts w:hint="eastAsia"/>
                    </w:rPr>
                    <w:t>.0</w:t>
                  </w:r>
                </w:p>
              </w:tc>
            </w:tr>
          </w:tbl>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tc>
      </w:tr>
    </w:tbl>
    <w:p>
      <w:pPr>
        <w:pStyle w:val="30"/>
        <w:spacing w:before="0" w:beforeAutospacing="0" w:after="0" w:afterAutospacing="0" w:line="360" w:lineRule="auto"/>
        <w:jc w:val="center"/>
        <w:outlineLvl w:val="0"/>
        <w:rPr>
          <w:rFonts w:ascii="Times New Roman" w:hAnsi="Times New Roman"/>
          <w:b/>
          <w:snapToGrid w:val="0"/>
          <w:sz w:val="30"/>
          <w:szCs w:val="30"/>
        </w:rPr>
      </w:pPr>
      <w:r>
        <w:rPr>
          <w:rFonts w:ascii="Times New Roman" w:hAnsi="Times New Roman"/>
          <w:snapToGrid w:val="0"/>
        </w:rPr>
        <w:br w:type="page"/>
      </w:r>
      <w:r>
        <w:rPr>
          <w:rFonts w:hint="eastAsia" w:ascii="Times New Roman" w:hAnsi="Times New Roman"/>
          <w:b/>
          <w:snapToGrid w:val="0"/>
          <w:sz w:val="30"/>
          <w:szCs w:val="30"/>
        </w:rPr>
        <w:t>六、结论</w:t>
      </w:r>
    </w:p>
    <w:tbl>
      <w:tblPr>
        <w:tblStyle w:val="35"/>
        <w:tblW w:w="0" w:type="auto"/>
        <w:jc w:val="center"/>
        <w:tblBorders>
          <w:top w:val="single" w:color="auto" w:sz="4" w:space="0"/>
          <w:left w:val="single" w:color="auto" w:sz="8" w:space="0"/>
          <w:bottom w:val="single" w:color="auto" w:sz="8" w:space="0"/>
          <w:right w:val="single" w:color="auto" w:sz="8" w:space="0"/>
          <w:insideH w:val="none" w:color="auto" w:sz="0" w:space="0"/>
          <w:insideV w:val="none" w:color="auto" w:sz="0" w:space="0"/>
        </w:tblBorders>
        <w:tblLayout w:type="fixed"/>
        <w:tblCellMar>
          <w:top w:w="0" w:type="dxa"/>
          <w:left w:w="108" w:type="dxa"/>
          <w:bottom w:w="0" w:type="dxa"/>
          <w:right w:w="108" w:type="dxa"/>
        </w:tblCellMar>
      </w:tblPr>
      <w:tblGrid>
        <w:gridCol w:w="9112"/>
      </w:tblGrid>
      <w:tr>
        <w:tblPrEx>
          <w:tblBorders>
            <w:top w:val="single" w:color="auto" w:sz="4" w:space="0"/>
            <w:left w:val="single" w:color="auto" w:sz="8" w:space="0"/>
            <w:bottom w:val="single" w:color="auto" w:sz="8" w:space="0"/>
            <w:right w:val="single" w:color="auto" w:sz="8" w:space="0"/>
            <w:insideH w:val="none" w:color="auto" w:sz="0" w:space="0"/>
            <w:insideV w:val="none" w:color="auto" w:sz="0" w:space="0"/>
          </w:tblBorders>
          <w:tblCellMar>
            <w:top w:w="0" w:type="dxa"/>
            <w:left w:w="108" w:type="dxa"/>
            <w:bottom w:w="0" w:type="dxa"/>
            <w:right w:w="108" w:type="dxa"/>
          </w:tblCellMar>
        </w:tblPrEx>
        <w:trPr>
          <w:trHeight w:val="11991" w:hRule="atLeast"/>
          <w:jc w:val="center"/>
        </w:trPr>
        <w:tc>
          <w:tcPr>
            <w:tcW w:w="9112" w:type="dxa"/>
            <w:tcBorders>
              <w:top w:val="single" w:color="auto" w:sz="4" w:space="0"/>
              <w:bottom w:val="single" w:color="auto" w:sz="8" w:space="0"/>
            </w:tcBorders>
          </w:tcPr>
          <w:p>
            <w:pPr>
              <w:adjustRightInd w:val="0"/>
              <w:snapToGrid w:val="0"/>
              <w:spacing w:line="480" w:lineRule="exact"/>
              <w:ind w:firstLine="480" w:firstLineChars="200"/>
              <w:rPr>
                <w:rFonts w:cs="宋体"/>
                <w:kern w:val="0"/>
                <w:sz w:val="24"/>
                <w:szCs w:val="24"/>
              </w:rPr>
            </w:pPr>
          </w:p>
          <w:p>
            <w:pPr>
              <w:adjustRightInd w:val="0"/>
              <w:snapToGrid w:val="0"/>
              <w:spacing w:line="480" w:lineRule="exact"/>
              <w:ind w:firstLine="480" w:firstLineChars="200"/>
              <w:rPr>
                <w:kern w:val="0"/>
                <w:sz w:val="24"/>
                <w:szCs w:val="24"/>
              </w:rPr>
            </w:pPr>
            <w:r>
              <w:rPr>
                <w:rFonts w:hint="eastAsia" w:cs="宋体"/>
                <w:kern w:val="0"/>
                <w:sz w:val="24"/>
                <w:szCs w:val="24"/>
              </w:rPr>
              <w:t>综上所述，建设单位在严格落实环评提出的各项污染防治措施及要求的前提下，污染物能够达标排放，对周边环境影响较小。从环境保护角度分析，项目环境影响可行。</w:t>
            </w:r>
          </w:p>
          <w:p>
            <w:pPr>
              <w:spacing w:line="360" w:lineRule="auto"/>
            </w:pPr>
          </w:p>
        </w:tc>
      </w:tr>
    </w:tbl>
    <w:p>
      <w:pPr>
        <w:sectPr>
          <w:pgSz w:w="11906" w:h="16838"/>
          <w:pgMar w:top="1418" w:right="1531" w:bottom="1440" w:left="1531" w:header="851" w:footer="851" w:gutter="0"/>
          <w:cols w:space="720" w:num="1"/>
          <w:docGrid w:linePitch="312" w:charSpace="0"/>
        </w:sectPr>
      </w:pPr>
    </w:p>
    <w:p>
      <w:pPr>
        <w:pStyle w:val="82"/>
        <w:spacing w:line="400" w:lineRule="exact"/>
        <w:ind w:firstLine="482"/>
        <w:jc w:val="left"/>
        <w:rPr>
          <w:b/>
          <w:bCs/>
          <w:snapToGrid w:val="0"/>
          <w:sz w:val="32"/>
          <w:szCs w:val="32"/>
        </w:rPr>
      </w:pPr>
      <w:r>
        <w:rPr>
          <w:rFonts w:hint="eastAsia" w:cs="宋体"/>
          <w:b/>
          <w:bCs/>
          <w:snapToGrid w:val="0"/>
          <w:sz w:val="32"/>
          <w:szCs w:val="32"/>
        </w:rPr>
        <w:t>附表</w:t>
      </w:r>
    </w:p>
    <w:p>
      <w:pPr>
        <w:pStyle w:val="30"/>
        <w:adjustRightInd w:val="0"/>
        <w:snapToGrid w:val="0"/>
        <w:spacing w:before="0" w:beforeAutospacing="0" w:after="0" w:afterAutospacing="0" w:line="400" w:lineRule="exact"/>
        <w:jc w:val="center"/>
        <w:outlineLvl w:val="0"/>
        <w:rPr>
          <w:rFonts w:ascii="Times New Roman" w:hAnsi="Times New Roman"/>
          <w:b/>
          <w:bCs/>
          <w:snapToGrid w:val="0"/>
          <w:sz w:val="38"/>
          <w:szCs w:val="38"/>
        </w:rPr>
      </w:pPr>
      <w:r>
        <w:rPr>
          <w:rFonts w:hint="eastAsia" w:ascii="Times New Roman" w:hAnsi="Times New Roman"/>
          <w:b/>
          <w:bCs/>
          <w:snapToGrid w:val="0"/>
          <w:sz w:val="38"/>
          <w:szCs w:val="38"/>
        </w:rPr>
        <w:t>建设项目污染物排放量汇总表</w:t>
      </w:r>
    </w:p>
    <w:tbl>
      <w:tblPr>
        <w:tblStyle w:val="35"/>
        <w:tblW w:w="5609"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49"/>
        <w:gridCol w:w="2134"/>
        <w:gridCol w:w="1679"/>
        <w:gridCol w:w="1376"/>
        <w:gridCol w:w="1830"/>
        <w:gridCol w:w="1679"/>
        <w:gridCol w:w="1893"/>
        <w:gridCol w:w="2108"/>
        <w:gridCol w:w="11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tcBorders>
              <w:top w:val="single" w:color="auto" w:sz="8" w:space="0"/>
              <w:tl2br w:val="single" w:color="auto" w:sz="4" w:space="0"/>
            </w:tcBorders>
            <w:tcMar>
              <w:left w:w="28" w:type="dxa"/>
              <w:right w:w="28" w:type="dxa"/>
            </w:tcMar>
            <w:vAlign w:val="center"/>
          </w:tcPr>
          <w:p>
            <w:pPr>
              <w:pStyle w:val="55"/>
              <w:spacing w:beforeLines="0" w:afterLines="0" w:line="320" w:lineRule="exact"/>
              <w:jc w:val="right"/>
              <w:rPr>
                <w:rFonts w:ascii="Times New Roman"/>
                <w:snapToGrid w:val="0"/>
                <w:spacing w:val="-6"/>
                <w:kern w:val="21"/>
                <w:szCs w:val="24"/>
              </w:rPr>
            </w:pPr>
            <w:r>
              <w:rPr>
                <w:rFonts w:hint="eastAsia" w:ascii="Times New Roman" w:cs="宋体"/>
                <w:snapToGrid w:val="0"/>
                <w:spacing w:val="-6"/>
                <w:kern w:val="21"/>
                <w:szCs w:val="24"/>
              </w:rPr>
              <w:t>项目</w:t>
            </w:r>
          </w:p>
          <w:p>
            <w:pPr>
              <w:pStyle w:val="55"/>
              <w:spacing w:beforeLines="0" w:afterLines="0" w:line="320" w:lineRule="exact"/>
              <w:jc w:val="left"/>
              <w:rPr>
                <w:rFonts w:ascii="Times New Roman"/>
                <w:snapToGrid w:val="0"/>
                <w:spacing w:val="-6"/>
                <w:kern w:val="21"/>
                <w:szCs w:val="24"/>
              </w:rPr>
            </w:pPr>
            <w:r>
              <w:rPr>
                <w:rFonts w:hint="eastAsia" w:ascii="Times New Roman" w:cs="宋体"/>
                <w:snapToGrid w:val="0"/>
                <w:spacing w:val="-6"/>
                <w:kern w:val="21"/>
                <w:szCs w:val="24"/>
              </w:rPr>
              <w:t>分类</w:t>
            </w:r>
          </w:p>
        </w:tc>
        <w:tc>
          <w:tcPr>
            <w:tcW w:w="2134"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污染物名称</w:t>
            </w:r>
          </w:p>
        </w:tc>
        <w:tc>
          <w:tcPr>
            <w:tcW w:w="1679"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现有工程</w:t>
            </w:r>
          </w:p>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排放量（固体废物产生量）</w:t>
            </w:r>
            <w:r>
              <w:rPr>
                <w:rFonts w:ascii="Times New Roman"/>
                <w:snapToGrid w:val="0"/>
                <w:spacing w:val="-6"/>
                <w:kern w:val="21"/>
                <w:szCs w:val="24"/>
              </w:rPr>
              <w:fldChar w:fldCharType="begin"/>
            </w:r>
            <w:r>
              <w:rPr>
                <w:rFonts w:ascii="Times New Roman"/>
                <w:snapToGrid w:val="0"/>
                <w:spacing w:val="-6"/>
                <w:kern w:val="21"/>
                <w:szCs w:val="24"/>
              </w:rPr>
              <w:instrText xml:space="preserve"> = 1 \* GB3 \* MERGEFORMAT </w:instrText>
            </w:r>
            <w:r>
              <w:rPr>
                <w:rFonts w:ascii="Times New Roman"/>
                <w:snapToGrid w:val="0"/>
                <w:spacing w:val="-6"/>
                <w:kern w:val="21"/>
                <w:szCs w:val="24"/>
              </w:rPr>
              <w:fldChar w:fldCharType="separate"/>
            </w:r>
            <w:r>
              <w:rPr>
                <w:rFonts w:hint="eastAsia" w:ascii="Times New Roman" w:cs="宋体"/>
                <w:kern w:val="2"/>
                <w:szCs w:val="24"/>
              </w:rPr>
              <w:t>①</w:t>
            </w:r>
            <w:r>
              <w:rPr>
                <w:rFonts w:ascii="Times New Roman"/>
                <w:snapToGrid w:val="0"/>
                <w:spacing w:val="-6"/>
                <w:kern w:val="21"/>
                <w:szCs w:val="24"/>
              </w:rPr>
              <w:fldChar w:fldCharType="end"/>
            </w:r>
          </w:p>
        </w:tc>
        <w:tc>
          <w:tcPr>
            <w:tcW w:w="1376"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现有工程</w:t>
            </w:r>
          </w:p>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许可排放量</w:t>
            </w:r>
          </w:p>
          <w:p>
            <w:pPr>
              <w:pStyle w:val="55"/>
              <w:spacing w:beforeLines="0" w:afterLines="0" w:line="320" w:lineRule="exact"/>
              <w:rPr>
                <w:rFonts w:ascii="Times New Roman"/>
                <w:snapToGrid w:val="0"/>
                <w:spacing w:val="-6"/>
                <w:kern w:val="21"/>
                <w:szCs w:val="24"/>
              </w:rPr>
            </w:pPr>
            <w:r>
              <w:rPr>
                <w:rFonts w:ascii="Times New Roman"/>
                <w:snapToGrid w:val="0"/>
                <w:spacing w:val="-6"/>
                <w:kern w:val="21"/>
                <w:szCs w:val="24"/>
              </w:rPr>
              <w:fldChar w:fldCharType="begin"/>
            </w:r>
            <w:r>
              <w:rPr>
                <w:rFonts w:ascii="Times New Roman"/>
                <w:snapToGrid w:val="0"/>
                <w:spacing w:val="-6"/>
                <w:kern w:val="21"/>
                <w:szCs w:val="24"/>
              </w:rPr>
              <w:instrText xml:space="preserve"> = 2 \* GB3 \* MERGEFORMAT </w:instrText>
            </w:r>
            <w:r>
              <w:rPr>
                <w:rFonts w:ascii="Times New Roman"/>
                <w:snapToGrid w:val="0"/>
                <w:spacing w:val="-6"/>
                <w:kern w:val="21"/>
                <w:szCs w:val="24"/>
              </w:rPr>
              <w:fldChar w:fldCharType="separate"/>
            </w:r>
            <w:r>
              <w:rPr>
                <w:rFonts w:hint="eastAsia" w:ascii="Times New Roman" w:cs="宋体"/>
                <w:snapToGrid w:val="0"/>
                <w:spacing w:val="-6"/>
                <w:kern w:val="21"/>
                <w:szCs w:val="24"/>
              </w:rPr>
              <w:t>②</w:t>
            </w:r>
            <w:r>
              <w:rPr>
                <w:rFonts w:ascii="Times New Roman"/>
                <w:snapToGrid w:val="0"/>
                <w:spacing w:val="-6"/>
                <w:kern w:val="21"/>
                <w:szCs w:val="24"/>
              </w:rPr>
              <w:fldChar w:fldCharType="end"/>
            </w:r>
          </w:p>
        </w:tc>
        <w:tc>
          <w:tcPr>
            <w:tcW w:w="1830"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在建工程</w:t>
            </w:r>
          </w:p>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排放量（固体废物产生量）</w:t>
            </w:r>
            <w:r>
              <w:rPr>
                <w:rFonts w:ascii="Times New Roman"/>
                <w:snapToGrid w:val="0"/>
                <w:spacing w:val="-6"/>
                <w:kern w:val="21"/>
                <w:szCs w:val="24"/>
              </w:rPr>
              <w:fldChar w:fldCharType="begin"/>
            </w:r>
            <w:r>
              <w:rPr>
                <w:rFonts w:ascii="Times New Roman"/>
                <w:snapToGrid w:val="0"/>
                <w:spacing w:val="-6"/>
                <w:kern w:val="21"/>
                <w:szCs w:val="24"/>
              </w:rPr>
              <w:instrText xml:space="preserve"> = 3 \* GB3 \* MERGEFORMAT </w:instrText>
            </w:r>
            <w:r>
              <w:rPr>
                <w:rFonts w:ascii="Times New Roman"/>
                <w:snapToGrid w:val="0"/>
                <w:spacing w:val="-6"/>
                <w:kern w:val="21"/>
                <w:szCs w:val="24"/>
              </w:rPr>
              <w:fldChar w:fldCharType="separate"/>
            </w:r>
            <w:r>
              <w:rPr>
                <w:rFonts w:hint="eastAsia" w:ascii="Times New Roman" w:cs="宋体"/>
                <w:kern w:val="2"/>
                <w:szCs w:val="24"/>
              </w:rPr>
              <w:t>③</w:t>
            </w:r>
            <w:r>
              <w:rPr>
                <w:rFonts w:ascii="Times New Roman"/>
                <w:snapToGrid w:val="0"/>
                <w:spacing w:val="-6"/>
                <w:kern w:val="21"/>
                <w:szCs w:val="24"/>
              </w:rPr>
              <w:fldChar w:fldCharType="end"/>
            </w:r>
          </w:p>
        </w:tc>
        <w:tc>
          <w:tcPr>
            <w:tcW w:w="1679"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本项目</w:t>
            </w:r>
          </w:p>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排放量（固体废物产生量）</w:t>
            </w:r>
            <w:r>
              <w:rPr>
                <w:rFonts w:ascii="Times New Roman"/>
                <w:snapToGrid w:val="0"/>
                <w:spacing w:val="-6"/>
                <w:kern w:val="21"/>
                <w:szCs w:val="24"/>
              </w:rPr>
              <w:fldChar w:fldCharType="begin"/>
            </w:r>
            <w:r>
              <w:rPr>
                <w:rFonts w:ascii="Times New Roman"/>
                <w:snapToGrid w:val="0"/>
                <w:spacing w:val="-6"/>
                <w:kern w:val="21"/>
                <w:szCs w:val="24"/>
              </w:rPr>
              <w:instrText xml:space="preserve"> = 4 \* GB3 \* MERGEFORMAT </w:instrText>
            </w:r>
            <w:r>
              <w:rPr>
                <w:rFonts w:ascii="Times New Roman"/>
                <w:snapToGrid w:val="0"/>
                <w:spacing w:val="-6"/>
                <w:kern w:val="21"/>
                <w:szCs w:val="24"/>
              </w:rPr>
              <w:fldChar w:fldCharType="separate"/>
            </w:r>
            <w:r>
              <w:rPr>
                <w:rFonts w:hint="eastAsia" w:ascii="Times New Roman" w:cs="宋体"/>
                <w:kern w:val="2"/>
                <w:szCs w:val="24"/>
              </w:rPr>
              <w:t>④</w:t>
            </w:r>
            <w:r>
              <w:rPr>
                <w:rFonts w:ascii="Times New Roman"/>
                <w:snapToGrid w:val="0"/>
                <w:spacing w:val="-6"/>
                <w:kern w:val="21"/>
                <w:szCs w:val="24"/>
              </w:rPr>
              <w:fldChar w:fldCharType="end"/>
            </w:r>
          </w:p>
        </w:tc>
        <w:tc>
          <w:tcPr>
            <w:tcW w:w="1893"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16"/>
                <w:kern w:val="21"/>
                <w:szCs w:val="24"/>
              </w:rPr>
            </w:pPr>
            <w:r>
              <w:rPr>
                <w:rFonts w:hint="eastAsia" w:ascii="Times New Roman" w:cs="宋体"/>
                <w:snapToGrid w:val="0"/>
                <w:spacing w:val="-16"/>
                <w:kern w:val="21"/>
                <w:szCs w:val="24"/>
              </w:rPr>
              <w:t>以新带老削减量</w:t>
            </w:r>
          </w:p>
          <w:p>
            <w:pPr>
              <w:pStyle w:val="55"/>
              <w:spacing w:beforeLines="0" w:afterLines="0" w:line="320" w:lineRule="exact"/>
              <w:rPr>
                <w:rFonts w:ascii="Times New Roman"/>
                <w:snapToGrid w:val="0"/>
                <w:spacing w:val="-16"/>
                <w:kern w:val="21"/>
                <w:szCs w:val="24"/>
              </w:rPr>
            </w:pPr>
            <w:r>
              <w:rPr>
                <w:rFonts w:hint="eastAsia" w:ascii="Times New Roman" w:cs="宋体"/>
                <w:snapToGrid w:val="0"/>
                <w:spacing w:val="-16"/>
                <w:kern w:val="21"/>
                <w:szCs w:val="24"/>
              </w:rPr>
              <w:t>（新建项目不填）</w:t>
            </w:r>
            <w:r>
              <w:rPr>
                <w:rFonts w:ascii="Times New Roman"/>
                <w:snapToGrid w:val="0"/>
                <w:spacing w:val="-16"/>
                <w:kern w:val="21"/>
                <w:szCs w:val="24"/>
              </w:rPr>
              <w:fldChar w:fldCharType="begin"/>
            </w:r>
            <w:r>
              <w:rPr>
                <w:rFonts w:ascii="Times New Roman"/>
                <w:snapToGrid w:val="0"/>
                <w:spacing w:val="-16"/>
                <w:kern w:val="21"/>
                <w:szCs w:val="24"/>
              </w:rPr>
              <w:instrText xml:space="preserve"> = 5 \* GB3 \* MERGEFORMAT </w:instrText>
            </w:r>
            <w:r>
              <w:rPr>
                <w:rFonts w:ascii="Times New Roman"/>
                <w:snapToGrid w:val="0"/>
                <w:spacing w:val="-16"/>
                <w:kern w:val="21"/>
                <w:szCs w:val="24"/>
              </w:rPr>
              <w:fldChar w:fldCharType="separate"/>
            </w:r>
            <w:r>
              <w:rPr>
                <w:rFonts w:hint="eastAsia" w:ascii="Times New Roman" w:cs="宋体"/>
                <w:kern w:val="2"/>
                <w:szCs w:val="24"/>
              </w:rPr>
              <w:t>⑤</w:t>
            </w:r>
            <w:r>
              <w:rPr>
                <w:rFonts w:ascii="Times New Roman"/>
                <w:snapToGrid w:val="0"/>
                <w:spacing w:val="-16"/>
                <w:kern w:val="21"/>
                <w:szCs w:val="24"/>
              </w:rPr>
              <w:fldChar w:fldCharType="end"/>
            </w:r>
          </w:p>
        </w:tc>
        <w:tc>
          <w:tcPr>
            <w:tcW w:w="2108"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16"/>
                <w:kern w:val="21"/>
                <w:szCs w:val="24"/>
              </w:rPr>
            </w:pPr>
            <w:r>
              <w:rPr>
                <w:rFonts w:hint="eastAsia" w:ascii="Times New Roman" w:cs="宋体"/>
                <w:snapToGrid w:val="0"/>
                <w:spacing w:val="-16"/>
                <w:kern w:val="21"/>
                <w:szCs w:val="24"/>
              </w:rPr>
              <w:t>本项目建成后</w:t>
            </w:r>
          </w:p>
          <w:p>
            <w:pPr>
              <w:pStyle w:val="55"/>
              <w:spacing w:beforeLines="0" w:afterLines="0" w:line="320" w:lineRule="exact"/>
              <w:rPr>
                <w:rFonts w:ascii="Times New Roman"/>
                <w:snapToGrid w:val="0"/>
                <w:spacing w:val="-16"/>
                <w:kern w:val="21"/>
                <w:szCs w:val="24"/>
              </w:rPr>
            </w:pPr>
            <w:r>
              <w:rPr>
                <w:rFonts w:hint="eastAsia" w:ascii="Times New Roman" w:cs="宋体"/>
                <w:snapToGrid w:val="0"/>
                <w:spacing w:val="-16"/>
                <w:kern w:val="21"/>
                <w:szCs w:val="24"/>
              </w:rPr>
              <w:t>全厂排放量（固体废物产生量）</w:t>
            </w:r>
            <w:r>
              <w:rPr>
                <w:rFonts w:ascii="Times New Roman"/>
                <w:snapToGrid w:val="0"/>
                <w:spacing w:val="-16"/>
                <w:kern w:val="21"/>
                <w:szCs w:val="24"/>
              </w:rPr>
              <w:fldChar w:fldCharType="begin"/>
            </w:r>
            <w:r>
              <w:rPr>
                <w:rFonts w:ascii="Times New Roman"/>
                <w:snapToGrid w:val="0"/>
                <w:spacing w:val="-16"/>
                <w:kern w:val="21"/>
                <w:szCs w:val="24"/>
              </w:rPr>
              <w:instrText xml:space="preserve"> = 6 \* GB3 \* MERGEFORMAT </w:instrText>
            </w:r>
            <w:r>
              <w:rPr>
                <w:rFonts w:ascii="Times New Roman"/>
                <w:snapToGrid w:val="0"/>
                <w:spacing w:val="-16"/>
                <w:kern w:val="21"/>
                <w:szCs w:val="24"/>
              </w:rPr>
              <w:fldChar w:fldCharType="separate"/>
            </w:r>
            <w:r>
              <w:rPr>
                <w:rFonts w:hint="eastAsia" w:ascii="Times New Roman" w:cs="宋体"/>
                <w:kern w:val="2"/>
                <w:szCs w:val="24"/>
              </w:rPr>
              <w:t>⑥</w:t>
            </w:r>
            <w:r>
              <w:rPr>
                <w:rFonts w:ascii="Times New Roman"/>
                <w:snapToGrid w:val="0"/>
                <w:spacing w:val="-16"/>
                <w:kern w:val="21"/>
                <w:szCs w:val="24"/>
              </w:rPr>
              <w:fldChar w:fldCharType="end"/>
            </w:r>
          </w:p>
        </w:tc>
        <w:tc>
          <w:tcPr>
            <w:tcW w:w="1187" w:type="dxa"/>
            <w:tcBorders>
              <w:top w:val="single" w:color="auto" w:sz="8" w:space="0"/>
            </w:tcBorders>
            <w:tcMar>
              <w:left w:w="28" w:type="dxa"/>
              <w:right w:w="28" w:type="dxa"/>
            </w:tcMar>
            <w:vAlign w:val="center"/>
          </w:tcPr>
          <w:p>
            <w:pPr>
              <w:pStyle w:val="55"/>
              <w:spacing w:beforeLines="0" w:afterLines="0" w:line="320" w:lineRule="exact"/>
              <w:rPr>
                <w:rFonts w:ascii="Times New Roman"/>
                <w:snapToGrid w:val="0"/>
                <w:spacing w:val="-6"/>
                <w:kern w:val="21"/>
                <w:szCs w:val="24"/>
              </w:rPr>
            </w:pPr>
            <w:r>
              <w:rPr>
                <w:rFonts w:hint="eastAsia" w:ascii="Times New Roman" w:cs="宋体"/>
                <w:snapToGrid w:val="0"/>
                <w:spacing w:val="-6"/>
                <w:kern w:val="21"/>
                <w:szCs w:val="24"/>
              </w:rPr>
              <w:t>变化量</w:t>
            </w:r>
          </w:p>
          <w:p>
            <w:pPr>
              <w:pStyle w:val="55"/>
              <w:spacing w:beforeLines="0" w:afterLines="0" w:line="320" w:lineRule="exact"/>
              <w:rPr>
                <w:rFonts w:ascii="Times New Roman"/>
                <w:snapToGrid w:val="0"/>
                <w:spacing w:val="-6"/>
                <w:kern w:val="21"/>
                <w:szCs w:val="24"/>
              </w:rPr>
            </w:pPr>
            <w:r>
              <w:rPr>
                <w:rFonts w:ascii="Times New Roman"/>
                <w:snapToGrid w:val="0"/>
                <w:spacing w:val="-6"/>
                <w:kern w:val="21"/>
                <w:szCs w:val="24"/>
              </w:rPr>
              <w:fldChar w:fldCharType="begin"/>
            </w:r>
            <w:r>
              <w:rPr>
                <w:rFonts w:ascii="Times New Roman"/>
                <w:snapToGrid w:val="0"/>
                <w:spacing w:val="-6"/>
                <w:kern w:val="21"/>
                <w:szCs w:val="24"/>
              </w:rPr>
              <w:instrText xml:space="preserve"> = 7 \* GB3 \* MERGEFORMAT </w:instrText>
            </w:r>
            <w:r>
              <w:rPr>
                <w:rFonts w:ascii="Times New Roman"/>
                <w:snapToGrid w:val="0"/>
                <w:spacing w:val="-6"/>
                <w:kern w:val="21"/>
                <w:szCs w:val="24"/>
              </w:rPr>
              <w:fldChar w:fldCharType="separate"/>
            </w:r>
            <w:r>
              <w:rPr>
                <w:rFonts w:hint="eastAsia" w:ascii="Times New Roman" w:cs="宋体"/>
                <w:kern w:val="2"/>
                <w:szCs w:val="24"/>
              </w:rPr>
              <w:t>⑦</w:t>
            </w:r>
            <w:r>
              <w:rPr>
                <w:rFonts w:ascii="Times New Roman"/>
                <w:snapToGrid w:val="0"/>
                <w:spacing w:val="-6"/>
                <w:kern w:val="21"/>
                <w:szCs w:val="24"/>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restart"/>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废气</w:t>
            </w:r>
          </w:p>
        </w:tc>
        <w:tc>
          <w:tcPr>
            <w:tcW w:w="2134"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SO</w:t>
            </w:r>
            <w:r>
              <w:rPr>
                <w:rFonts w:ascii="Times New Roman"/>
                <w:snapToGrid w:val="0"/>
                <w:kern w:val="21"/>
                <w:szCs w:val="24"/>
                <w:vertAlign w:val="subscript"/>
              </w:rPr>
              <w:t>2</w:t>
            </w:r>
          </w:p>
        </w:tc>
        <w:tc>
          <w:tcPr>
            <w:tcW w:w="1679"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1376"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1830"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1679" w:type="dxa"/>
            <w:vAlign w:val="center"/>
          </w:tcPr>
          <w:p>
            <w:pPr>
              <w:jc w:val="center"/>
            </w:pPr>
            <w:r>
              <w:rPr>
                <w:spacing w:val="-4"/>
                <w:szCs w:val="24"/>
              </w:rPr>
              <w:t>/</w:t>
            </w:r>
          </w:p>
        </w:tc>
        <w:tc>
          <w:tcPr>
            <w:tcW w:w="1893" w:type="dxa"/>
            <w:vAlign w:val="center"/>
          </w:tcPr>
          <w:p>
            <w:pPr>
              <w:jc w:val="center"/>
            </w:pPr>
            <w:r>
              <w:rPr>
                <w:spacing w:val="-4"/>
                <w:szCs w:val="24"/>
              </w:rPr>
              <w:t>/</w:t>
            </w:r>
          </w:p>
        </w:tc>
        <w:tc>
          <w:tcPr>
            <w:tcW w:w="2108" w:type="dxa"/>
            <w:vAlign w:val="center"/>
          </w:tcPr>
          <w:p>
            <w:pPr>
              <w:jc w:val="center"/>
            </w:pPr>
            <w:r>
              <w:rPr>
                <w:spacing w:val="-4"/>
                <w:szCs w:val="24"/>
              </w:rPr>
              <w:t>/</w:t>
            </w:r>
          </w:p>
        </w:tc>
        <w:tc>
          <w:tcPr>
            <w:tcW w:w="1187" w:type="dxa"/>
            <w:vAlign w:val="center"/>
          </w:tcPr>
          <w:p>
            <w:pPr>
              <w:jc w:val="center"/>
            </w:pPr>
            <w:r>
              <w:rPr>
                <w:spacing w:val="-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NO</w:t>
            </w:r>
            <w:r>
              <w:rPr>
                <w:rFonts w:ascii="Times New Roman"/>
                <w:snapToGrid w:val="0"/>
                <w:kern w:val="21"/>
                <w:szCs w:val="24"/>
                <w:vertAlign w:val="subscript"/>
              </w:rPr>
              <w:t>X</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679" w:type="dxa"/>
            <w:vAlign w:val="center"/>
          </w:tcPr>
          <w:p>
            <w:pPr>
              <w:jc w:val="center"/>
            </w:pPr>
            <w:r>
              <w:rPr>
                <w:spacing w:val="-4"/>
                <w:szCs w:val="24"/>
              </w:rPr>
              <w:t>/</w:t>
            </w:r>
          </w:p>
        </w:tc>
        <w:tc>
          <w:tcPr>
            <w:tcW w:w="1893" w:type="dxa"/>
            <w:vAlign w:val="center"/>
          </w:tcPr>
          <w:p>
            <w:pPr>
              <w:jc w:val="center"/>
            </w:pPr>
            <w:r>
              <w:rPr>
                <w:spacing w:val="-4"/>
                <w:szCs w:val="24"/>
              </w:rPr>
              <w:t>/</w:t>
            </w:r>
          </w:p>
        </w:tc>
        <w:tc>
          <w:tcPr>
            <w:tcW w:w="2108" w:type="dxa"/>
            <w:vAlign w:val="center"/>
          </w:tcPr>
          <w:p>
            <w:pPr>
              <w:jc w:val="center"/>
            </w:pPr>
            <w:r>
              <w:rPr>
                <w:spacing w:val="-4"/>
                <w:szCs w:val="24"/>
              </w:rPr>
              <w:t>/</w:t>
            </w:r>
          </w:p>
        </w:tc>
        <w:tc>
          <w:tcPr>
            <w:tcW w:w="1187" w:type="dxa"/>
            <w:vAlign w:val="center"/>
          </w:tcPr>
          <w:p>
            <w:pPr>
              <w:jc w:val="center"/>
            </w:pPr>
            <w:r>
              <w:rPr>
                <w:spacing w:val="-4"/>
                <w:szCs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颗粒物</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679" w:type="dxa"/>
            <w:vAlign w:val="center"/>
          </w:tcPr>
          <w:p>
            <w:pPr>
              <w:jc w:val="center"/>
            </w:pPr>
            <w:r>
              <w:rPr>
                <w:rFonts w:hint="eastAsia"/>
              </w:rPr>
              <w:t>0.08</w:t>
            </w:r>
          </w:p>
        </w:tc>
        <w:tc>
          <w:tcPr>
            <w:tcW w:w="1893" w:type="dxa"/>
            <w:vAlign w:val="center"/>
          </w:tcPr>
          <w:p>
            <w:pPr>
              <w:jc w:val="center"/>
            </w:pPr>
            <w:r>
              <w:rPr>
                <w:spacing w:val="-4"/>
                <w:szCs w:val="24"/>
              </w:rPr>
              <w:t>/</w:t>
            </w:r>
          </w:p>
        </w:tc>
        <w:tc>
          <w:tcPr>
            <w:tcW w:w="2108" w:type="dxa"/>
            <w:vAlign w:val="center"/>
          </w:tcPr>
          <w:p>
            <w:pPr>
              <w:jc w:val="center"/>
            </w:pPr>
            <w:r>
              <w:rPr>
                <w:rFonts w:hint="eastAsia"/>
              </w:rPr>
              <w:t>0.08</w:t>
            </w:r>
          </w:p>
        </w:tc>
        <w:tc>
          <w:tcPr>
            <w:tcW w:w="1187" w:type="dxa"/>
            <w:vAlign w:val="center"/>
          </w:tcPr>
          <w:p>
            <w:pPr>
              <w:jc w:val="cente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非甲烷总烃</w:t>
            </w:r>
          </w:p>
        </w:tc>
        <w:tc>
          <w:tcPr>
            <w:tcW w:w="1679" w:type="dxa"/>
            <w:vAlign w:val="center"/>
          </w:tcPr>
          <w:p>
            <w:pPr>
              <w:adjustRightInd w:val="0"/>
              <w:snapToGrid w:val="0"/>
              <w:spacing w:line="320" w:lineRule="exact"/>
              <w:jc w:val="center"/>
              <w:rPr>
                <w:szCs w:val="24"/>
              </w:rPr>
            </w:pPr>
            <w:r>
              <w:rPr>
                <w:snapToGrid w:val="0"/>
                <w:kern w:val="21"/>
                <w:szCs w:val="24"/>
              </w:rPr>
              <w:t>/</w:t>
            </w:r>
          </w:p>
        </w:tc>
        <w:tc>
          <w:tcPr>
            <w:tcW w:w="1376" w:type="dxa"/>
            <w:vAlign w:val="center"/>
          </w:tcPr>
          <w:p>
            <w:pPr>
              <w:adjustRightInd w:val="0"/>
              <w:snapToGrid w:val="0"/>
              <w:spacing w:line="320" w:lineRule="exact"/>
              <w:jc w:val="center"/>
              <w:rPr>
                <w:szCs w:val="24"/>
              </w:rPr>
            </w:pPr>
            <w:r>
              <w:rPr>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adjustRightInd w:val="0"/>
              <w:snapToGrid w:val="0"/>
              <w:spacing w:line="320" w:lineRule="exact"/>
              <w:jc w:val="center"/>
              <w:rPr>
                <w:spacing w:val="-4"/>
                <w:szCs w:val="24"/>
              </w:rPr>
            </w:pPr>
            <w:r>
              <w:rPr>
                <w:rFonts w:hint="eastAsia"/>
                <w:spacing w:val="-4"/>
                <w:szCs w:val="24"/>
              </w:rPr>
              <w:t>3.21</w:t>
            </w:r>
          </w:p>
        </w:tc>
        <w:tc>
          <w:tcPr>
            <w:tcW w:w="1893" w:type="dxa"/>
            <w:vAlign w:val="center"/>
          </w:tcPr>
          <w:p>
            <w:pPr>
              <w:adjustRightInd w:val="0"/>
              <w:snapToGrid w:val="0"/>
              <w:spacing w:line="320" w:lineRule="exact"/>
              <w:jc w:val="center"/>
              <w:rPr>
                <w:szCs w:val="24"/>
              </w:rPr>
            </w:pPr>
            <w:r>
              <w:rPr>
                <w:snapToGrid w:val="0"/>
                <w:kern w:val="21"/>
                <w:szCs w:val="24"/>
              </w:rPr>
              <w:t>/</w:t>
            </w:r>
          </w:p>
        </w:tc>
        <w:tc>
          <w:tcPr>
            <w:tcW w:w="2108" w:type="dxa"/>
            <w:vAlign w:val="center"/>
          </w:tcPr>
          <w:p>
            <w:pPr>
              <w:adjustRightInd w:val="0"/>
              <w:snapToGrid w:val="0"/>
              <w:spacing w:line="320" w:lineRule="exact"/>
              <w:jc w:val="center"/>
              <w:rPr>
                <w:spacing w:val="-4"/>
                <w:szCs w:val="24"/>
              </w:rPr>
            </w:pPr>
            <w:r>
              <w:rPr>
                <w:rFonts w:hint="eastAsia"/>
                <w:spacing w:val="-4"/>
                <w:szCs w:val="24"/>
              </w:rPr>
              <w:t>3.21</w:t>
            </w:r>
          </w:p>
        </w:tc>
        <w:tc>
          <w:tcPr>
            <w:tcW w:w="1187" w:type="dxa"/>
            <w:vAlign w:val="center"/>
          </w:tcPr>
          <w:p>
            <w:pPr>
              <w:adjustRightInd w:val="0"/>
              <w:snapToGrid w:val="0"/>
              <w:spacing w:line="320" w:lineRule="exact"/>
              <w:jc w:val="center"/>
              <w:rPr>
                <w:spacing w:val="-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cs="宋体"/>
                <w:snapToGrid w:val="0"/>
                <w:kern w:val="21"/>
                <w:szCs w:val="24"/>
              </w:rPr>
            </w:pPr>
            <w:r>
              <w:rPr>
                <w:rFonts w:hint="eastAsia" w:ascii="Times New Roman" w:cs="宋体"/>
                <w:snapToGrid w:val="0"/>
                <w:kern w:val="21"/>
                <w:szCs w:val="24"/>
              </w:rPr>
              <w:t>苯乙烯</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679" w:type="dxa"/>
            <w:vAlign w:val="center"/>
          </w:tcPr>
          <w:p>
            <w:pPr>
              <w:adjustRightInd w:val="0"/>
              <w:snapToGrid w:val="0"/>
              <w:spacing w:line="320" w:lineRule="exact"/>
              <w:jc w:val="center"/>
              <w:rPr>
                <w:spacing w:val="-4"/>
                <w:szCs w:val="24"/>
              </w:rPr>
            </w:pPr>
            <w:r>
              <w:rPr>
                <w:rFonts w:hint="eastAsia"/>
                <w:spacing w:val="-4"/>
                <w:szCs w:val="24"/>
              </w:rPr>
              <w:t>0.093</w:t>
            </w:r>
          </w:p>
        </w:tc>
        <w:tc>
          <w:tcPr>
            <w:tcW w:w="1893"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2108" w:type="dxa"/>
            <w:vAlign w:val="center"/>
          </w:tcPr>
          <w:p>
            <w:pPr>
              <w:adjustRightInd w:val="0"/>
              <w:snapToGrid w:val="0"/>
              <w:spacing w:line="320" w:lineRule="exact"/>
              <w:jc w:val="center"/>
              <w:rPr>
                <w:spacing w:val="-4"/>
                <w:szCs w:val="24"/>
              </w:rPr>
            </w:pPr>
            <w:r>
              <w:rPr>
                <w:rFonts w:hint="eastAsia"/>
                <w:spacing w:val="-4"/>
                <w:szCs w:val="24"/>
              </w:rPr>
              <w:t>0.093</w:t>
            </w:r>
          </w:p>
        </w:tc>
        <w:tc>
          <w:tcPr>
            <w:tcW w:w="1187" w:type="dxa"/>
            <w:vAlign w:val="center"/>
          </w:tcPr>
          <w:p>
            <w:pPr>
              <w:adjustRightInd w:val="0"/>
              <w:snapToGrid w:val="0"/>
              <w:spacing w:line="320" w:lineRule="exact"/>
              <w:jc w:val="center"/>
              <w:rPr>
                <w:spacing w:val="-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cs="宋体"/>
                <w:snapToGrid w:val="0"/>
                <w:kern w:val="21"/>
                <w:szCs w:val="24"/>
              </w:rPr>
            </w:pPr>
            <w:r>
              <w:rPr>
                <w:rFonts w:hint="eastAsia" w:ascii="Times New Roman" w:cs="宋体"/>
                <w:snapToGrid w:val="0"/>
                <w:kern w:val="21"/>
                <w:szCs w:val="24"/>
              </w:rPr>
              <w:t>油烟</w:t>
            </w:r>
          </w:p>
        </w:tc>
        <w:tc>
          <w:tcPr>
            <w:tcW w:w="1679" w:type="dxa"/>
            <w:vAlign w:val="center"/>
          </w:tcPr>
          <w:p>
            <w:pPr>
              <w:adjustRightInd w:val="0"/>
              <w:snapToGrid w:val="0"/>
              <w:spacing w:line="320" w:lineRule="exact"/>
              <w:jc w:val="center"/>
              <w:rPr>
                <w:szCs w:val="24"/>
              </w:rPr>
            </w:pPr>
            <w:r>
              <w:rPr>
                <w:snapToGrid w:val="0"/>
                <w:kern w:val="21"/>
                <w:szCs w:val="24"/>
              </w:rPr>
              <w:t>/</w:t>
            </w:r>
          </w:p>
        </w:tc>
        <w:tc>
          <w:tcPr>
            <w:tcW w:w="1376" w:type="dxa"/>
            <w:vAlign w:val="center"/>
          </w:tcPr>
          <w:p>
            <w:pPr>
              <w:adjustRightInd w:val="0"/>
              <w:snapToGrid w:val="0"/>
              <w:spacing w:line="320" w:lineRule="exact"/>
              <w:jc w:val="center"/>
              <w:rPr>
                <w:szCs w:val="24"/>
              </w:rPr>
            </w:pPr>
            <w:r>
              <w:rPr>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adjustRightInd w:val="0"/>
              <w:snapToGrid w:val="0"/>
              <w:spacing w:line="320" w:lineRule="exact"/>
              <w:jc w:val="center"/>
              <w:rPr>
                <w:spacing w:val="-4"/>
                <w:szCs w:val="24"/>
              </w:rPr>
            </w:pPr>
            <w:r>
              <w:rPr>
                <w:rFonts w:hint="eastAsia"/>
                <w:spacing w:val="-4"/>
                <w:szCs w:val="24"/>
              </w:rPr>
              <w:t>0.0033</w:t>
            </w:r>
          </w:p>
        </w:tc>
        <w:tc>
          <w:tcPr>
            <w:tcW w:w="1893" w:type="dxa"/>
            <w:vAlign w:val="center"/>
          </w:tcPr>
          <w:p>
            <w:pPr>
              <w:adjustRightInd w:val="0"/>
              <w:snapToGrid w:val="0"/>
              <w:spacing w:line="320" w:lineRule="exact"/>
              <w:jc w:val="center"/>
              <w:rPr>
                <w:szCs w:val="24"/>
              </w:rPr>
            </w:pPr>
            <w:r>
              <w:rPr>
                <w:snapToGrid w:val="0"/>
                <w:kern w:val="21"/>
                <w:szCs w:val="24"/>
              </w:rPr>
              <w:t>/</w:t>
            </w:r>
          </w:p>
        </w:tc>
        <w:tc>
          <w:tcPr>
            <w:tcW w:w="2108" w:type="dxa"/>
            <w:vAlign w:val="center"/>
          </w:tcPr>
          <w:p>
            <w:pPr>
              <w:adjustRightInd w:val="0"/>
              <w:snapToGrid w:val="0"/>
              <w:spacing w:line="320" w:lineRule="exact"/>
              <w:jc w:val="center"/>
              <w:rPr>
                <w:spacing w:val="-4"/>
                <w:szCs w:val="24"/>
              </w:rPr>
            </w:pPr>
            <w:r>
              <w:rPr>
                <w:rFonts w:hint="eastAsia"/>
                <w:spacing w:val="-4"/>
                <w:szCs w:val="24"/>
              </w:rPr>
              <w:t>0.0033</w:t>
            </w:r>
          </w:p>
        </w:tc>
        <w:tc>
          <w:tcPr>
            <w:tcW w:w="1187" w:type="dxa"/>
            <w:vAlign w:val="center"/>
          </w:tcPr>
          <w:p>
            <w:pPr>
              <w:adjustRightInd w:val="0"/>
              <w:snapToGrid w:val="0"/>
              <w:spacing w:line="320" w:lineRule="exact"/>
              <w:jc w:val="center"/>
              <w:rPr>
                <w:spacing w:val="-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restart"/>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废水</w:t>
            </w: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废水量（万</w:t>
            </w:r>
            <w:r>
              <w:rPr>
                <w:rFonts w:ascii="Times New Roman"/>
                <w:snapToGrid w:val="0"/>
                <w:kern w:val="21"/>
                <w:szCs w:val="24"/>
              </w:rPr>
              <w:t>t/a</w:t>
            </w:r>
            <w:r>
              <w:rPr>
                <w:rFonts w:hint="eastAsia" w:ascii="Times New Roman" w:cs="宋体"/>
                <w:snapToGrid w:val="0"/>
                <w:kern w:val="21"/>
                <w:szCs w:val="24"/>
              </w:rPr>
              <w:t>）</w:t>
            </w:r>
          </w:p>
        </w:tc>
        <w:tc>
          <w:tcPr>
            <w:tcW w:w="1679" w:type="dxa"/>
            <w:vAlign w:val="center"/>
          </w:tcPr>
          <w:p>
            <w:pPr>
              <w:adjustRightInd w:val="0"/>
              <w:snapToGrid w:val="0"/>
              <w:spacing w:line="320" w:lineRule="exact"/>
              <w:jc w:val="center"/>
              <w:rPr>
                <w:szCs w:val="24"/>
              </w:rPr>
            </w:pPr>
            <w:r>
              <w:rPr>
                <w:snapToGrid w:val="0"/>
                <w:kern w:val="21"/>
                <w:szCs w:val="24"/>
              </w:rPr>
              <w:t>/</w:t>
            </w:r>
          </w:p>
        </w:tc>
        <w:tc>
          <w:tcPr>
            <w:tcW w:w="1376" w:type="dxa"/>
            <w:vAlign w:val="center"/>
          </w:tcPr>
          <w:p>
            <w:pPr>
              <w:adjustRightInd w:val="0"/>
              <w:snapToGrid w:val="0"/>
              <w:spacing w:line="320" w:lineRule="exact"/>
              <w:jc w:val="center"/>
              <w:rPr>
                <w:szCs w:val="24"/>
              </w:rPr>
            </w:pPr>
            <w:r>
              <w:rPr>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adjustRightInd w:val="0"/>
              <w:snapToGrid w:val="0"/>
              <w:spacing w:line="320" w:lineRule="exact"/>
              <w:jc w:val="center"/>
              <w:rPr>
                <w:szCs w:val="24"/>
              </w:rPr>
            </w:pPr>
            <w:r>
              <w:rPr>
                <w:rFonts w:hint="eastAsia"/>
                <w:szCs w:val="24"/>
              </w:rPr>
              <w:t>0.06</w:t>
            </w:r>
          </w:p>
        </w:tc>
        <w:tc>
          <w:tcPr>
            <w:tcW w:w="1893" w:type="dxa"/>
            <w:vAlign w:val="center"/>
          </w:tcPr>
          <w:p>
            <w:pPr>
              <w:adjustRightInd w:val="0"/>
              <w:snapToGrid w:val="0"/>
              <w:spacing w:line="320" w:lineRule="exact"/>
              <w:jc w:val="center"/>
              <w:rPr>
                <w:szCs w:val="24"/>
              </w:rPr>
            </w:pPr>
            <w:r>
              <w:rPr>
                <w:snapToGrid w:val="0"/>
                <w:kern w:val="21"/>
                <w:szCs w:val="24"/>
              </w:rPr>
              <w:t>/</w:t>
            </w:r>
          </w:p>
        </w:tc>
        <w:tc>
          <w:tcPr>
            <w:tcW w:w="2108" w:type="dxa"/>
            <w:vAlign w:val="center"/>
          </w:tcPr>
          <w:p>
            <w:pPr>
              <w:adjustRightInd w:val="0"/>
              <w:snapToGrid w:val="0"/>
              <w:spacing w:line="320" w:lineRule="exact"/>
              <w:jc w:val="center"/>
              <w:rPr>
                <w:szCs w:val="24"/>
              </w:rPr>
            </w:pPr>
            <w:r>
              <w:rPr>
                <w:rFonts w:hint="eastAsia"/>
                <w:szCs w:val="24"/>
              </w:rPr>
              <w:t>0.06</w:t>
            </w:r>
          </w:p>
        </w:tc>
        <w:tc>
          <w:tcPr>
            <w:tcW w:w="1187" w:type="dxa"/>
            <w:vAlign w:val="center"/>
          </w:tcPr>
          <w:p>
            <w:pPr>
              <w:adjustRightInd w:val="0"/>
              <w:snapToGrid w:val="0"/>
              <w:spacing w:line="320" w:lineRule="exact"/>
              <w:jc w:val="center"/>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COD</w:t>
            </w:r>
          </w:p>
        </w:tc>
        <w:tc>
          <w:tcPr>
            <w:tcW w:w="1679" w:type="dxa"/>
            <w:vAlign w:val="center"/>
          </w:tcPr>
          <w:p>
            <w:pPr>
              <w:adjustRightInd w:val="0"/>
              <w:snapToGrid w:val="0"/>
              <w:spacing w:line="320" w:lineRule="exact"/>
              <w:jc w:val="center"/>
              <w:rPr>
                <w:szCs w:val="24"/>
              </w:rPr>
            </w:pPr>
            <w:r>
              <w:rPr>
                <w:snapToGrid w:val="0"/>
                <w:kern w:val="21"/>
                <w:szCs w:val="24"/>
              </w:rPr>
              <w:t>/</w:t>
            </w:r>
          </w:p>
        </w:tc>
        <w:tc>
          <w:tcPr>
            <w:tcW w:w="1376" w:type="dxa"/>
            <w:vAlign w:val="center"/>
          </w:tcPr>
          <w:p>
            <w:pPr>
              <w:adjustRightInd w:val="0"/>
              <w:snapToGrid w:val="0"/>
              <w:spacing w:line="320" w:lineRule="exact"/>
              <w:jc w:val="center"/>
              <w:rPr>
                <w:szCs w:val="24"/>
              </w:rPr>
            </w:pPr>
            <w:r>
              <w:rPr>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adjustRightInd w:val="0"/>
              <w:snapToGrid w:val="0"/>
              <w:spacing w:line="320" w:lineRule="exact"/>
              <w:jc w:val="center"/>
              <w:rPr>
                <w:szCs w:val="24"/>
              </w:rPr>
            </w:pPr>
            <w:r>
              <w:rPr>
                <w:rFonts w:hint="eastAsia"/>
                <w:szCs w:val="24"/>
              </w:rPr>
              <w:t>0.25</w:t>
            </w:r>
          </w:p>
        </w:tc>
        <w:tc>
          <w:tcPr>
            <w:tcW w:w="1893" w:type="dxa"/>
            <w:vAlign w:val="center"/>
          </w:tcPr>
          <w:p>
            <w:pPr>
              <w:adjustRightInd w:val="0"/>
              <w:snapToGrid w:val="0"/>
              <w:spacing w:line="320" w:lineRule="exact"/>
              <w:jc w:val="center"/>
              <w:rPr>
                <w:szCs w:val="24"/>
              </w:rPr>
            </w:pPr>
            <w:r>
              <w:rPr>
                <w:rFonts w:hint="eastAsia"/>
                <w:szCs w:val="24"/>
              </w:rPr>
              <w:t>/</w:t>
            </w:r>
          </w:p>
        </w:tc>
        <w:tc>
          <w:tcPr>
            <w:tcW w:w="2108" w:type="dxa"/>
            <w:vAlign w:val="center"/>
          </w:tcPr>
          <w:p>
            <w:pPr>
              <w:adjustRightInd w:val="0"/>
              <w:snapToGrid w:val="0"/>
              <w:spacing w:line="320" w:lineRule="exact"/>
              <w:jc w:val="center"/>
              <w:rPr>
                <w:szCs w:val="24"/>
              </w:rPr>
            </w:pPr>
            <w:r>
              <w:rPr>
                <w:rFonts w:hint="eastAsia"/>
                <w:szCs w:val="24"/>
              </w:rPr>
              <w:t>0.25</w:t>
            </w:r>
          </w:p>
        </w:tc>
        <w:tc>
          <w:tcPr>
            <w:tcW w:w="1187" w:type="dxa"/>
            <w:vAlign w:val="center"/>
          </w:tcPr>
          <w:p>
            <w:pPr>
              <w:adjustRightInd w:val="0"/>
              <w:snapToGrid w:val="0"/>
              <w:spacing w:line="320" w:lineRule="exact"/>
              <w:jc w:val="center"/>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氨氮</w:t>
            </w:r>
          </w:p>
        </w:tc>
        <w:tc>
          <w:tcPr>
            <w:tcW w:w="1679" w:type="dxa"/>
            <w:vAlign w:val="center"/>
          </w:tcPr>
          <w:p>
            <w:pPr>
              <w:adjustRightInd w:val="0"/>
              <w:snapToGrid w:val="0"/>
              <w:spacing w:line="320" w:lineRule="exact"/>
              <w:jc w:val="center"/>
              <w:rPr>
                <w:szCs w:val="24"/>
              </w:rPr>
            </w:pPr>
            <w:r>
              <w:rPr>
                <w:snapToGrid w:val="0"/>
                <w:kern w:val="21"/>
                <w:szCs w:val="24"/>
              </w:rPr>
              <w:t>/</w:t>
            </w:r>
          </w:p>
        </w:tc>
        <w:tc>
          <w:tcPr>
            <w:tcW w:w="1376" w:type="dxa"/>
            <w:vAlign w:val="center"/>
          </w:tcPr>
          <w:p>
            <w:pPr>
              <w:adjustRightInd w:val="0"/>
              <w:snapToGrid w:val="0"/>
              <w:spacing w:line="320" w:lineRule="exact"/>
              <w:jc w:val="center"/>
              <w:rPr>
                <w:szCs w:val="24"/>
              </w:rPr>
            </w:pPr>
            <w:r>
              <w:rPr>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adjustRightInd w:val="0"/>
              <w:snapToGrid w:val="0"/>
              <w:spacing w:line="320" w:lineRule="exact"/>
              <w:jc w:val="center"/>
              <w:rPr>
                <w:szCs w:val="24"/>
              </w:rPr>
            </w:pPr>
            <w:r>
              <w:rPr>
                <w:rFonts w:hint="eastAsia"/>
                <w:szCs w:val="24"/>
              </w:rPr>
              <w:t>0.02</w:t>
            </w:r>
          </w:p>
        </w:tc>
        <w:tc>
          <w:tcPr>
            <w:tcW w:w="1893" w:type="dxa"/>
            <w:vAlign w:val="center"/>
          </w:tcPr>
          <w:p>
            <w:pPr>
              <w:adjustRightInd w:val="0"/>
              <w:snapToGrid w:val="0"/>
              <w:spacing w:line="320" w:lineRule="exact"/>
              <w:jc w:val="center"/>
              <w:rPr>
                <w:szCs w:val="24"/>
              </w:rPr>
            </w:pPr>
            <w:r>
              <w:rPr>
                <w:rFonts w:hint="eastAsia"/>
                <w:szCs w:val="24"/>
              </w:rPr>
              <w:t>/</w:t>
            </w:r>
          </w:p>
        </w:tc>
        <w:tc>
          <w:tcPr>
            <w:tcW w:w="2108" w:type="dxa"/>
            <w:vAlign w:val="center"/>
          </w:tcPr>
          <w:p>
            <w:pPr>
              <w:adjustRightInd w:val="0"/>
              <w:snapToGrid w:val="0"/>
              <w:spacing w:line="320" w:lineRule="exact"/>
              <w:jc w:val="center"/>
              <w:rPr>
                <w:szCs w:val="24"/>
              </w:rPr>
            </w:pPr>
            <w:r>
              <w:rPr>
                <w:rFonts w:hint="eastAsia"/>
                <w:szCs w:val="24"/>
              </w:rPr>
              <w:t>0.02</w:t>
            </w:r>
          </w:p>
        </w:tc>
        <w:tc>
          <w:tcPr>
            <w:tcW w:w="1187" w:type="dxa"/>
            <w:vAlign w:val="center"/>
          </w:tcPr>
          <w:p>
            <w:pPr>
              <w:adjustRightInd w:val="0"/>
              <w:snapToGrid w:val="0"/>
              <w:spacing w:line="320" w:lineRule="exact"/>
              <w:jc w:val="center"/>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restart"/>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一般工业</w:t>
            </w:r>
          </w:p>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固体废物</w:t>
            </w:r>
          </w:p>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w:t>
            </w:r>
            <w:r>
              <w:rPr>
                <w:rFonts w:ascii="Times New Roman"/>
                <w:snapToGrid w:val="0"/>
                <w:kern w:val="21"/>
                <w:szCs w:val="24"/>
              </w:rPr>
              <w:t>t/a</w:t>
            </w:r>
            <w:r>
              <w:rPr>
                <w:rFonts w:hint="eastAsia" w:ascii="Times New Roman" w:cs="宋体"/>
                <w:snapToGrid w:val="0"/>
                <w:kern w:val="21"/>
                <w:szCs w:val="24"/>
              </w:rPr>
              <w:t>）</w:t>
            </w: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废边角料</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10.21</w:t>
            </w:r>
          </w:p>
        </w:tc>
        <w:tc>
          <w:tcPr>
            <w:tcW w:w="1893"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10.21</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cs="宋体"/>
                <w:snapToGrid w:val="0"/>
                <w:kern w:val="21"/>
                <w:szCs w:val="24"/>
              </w:rPr>
            </w:pPr>
          </w:p>
        </w:tc>
        <w:tc>
          <w:tcPr>
            <w:tcW w:w="2134" w:type="dxa"/>
            <w:vAlign w:val="center"/>
          </w:tcPr>
          <w:p>
            <w:pPr>
              <w:pStyle w:val="55"/>
              <w:spacing w:beforeLines="0" w:afterLines="0" w:line="320" w:lineRule="exact"/>
              <w:rPr>
                <w:rFonts w:ascii="Times New Roman" w:cs="宋体"/>
                <w:snapToGrid w:val="0"/>
                <w:kern w:val="21"/>
                <w:szCs w:val="24"/>
              </w:rPr>
            </w:pPr>
            <w:r>
              <w:rPr>
                <w:rFonts w:hint="eastAsia" w:ascii="Times New Roman" w:cs="宋体"/>
                <w:snapToGrid w:val="0"/>
                <w:kern w:val="21"/>
                <w:szCs w:val="24"/>
              </w:rPr>
              <w:t>除尘器收尘</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3.31</w:t>
            </w:r>
          </w:p>
        </w:tc>
        <w:tc>
          <w:tcPr>
            <w:tcW w:w="1893"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3.31</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废聚酯膜</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0.5</w:t>
            </w:r>
          </w:p>
        </w:tc>
        <w:tc>
          <w:tcPr>
            <w:tcW w:w="1893"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0.5</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cs="宋体"/>
                <w:snapToGrid w:val="0"/>
                <w:kern w:val="21"/>
                <w:szCs w:val="24"/>
              </w:rPr>
            </w:pPr>
            <w:r>
              <w:rPr>
                <w:rFonts w:hint="eastAsia" w:ascii="Times New Roman" w:cs="宋体"/>
                <w:snapToGrid w:val="0"/>
                <w:kern w:val="21"/>
                <w:szCs w:val="24"/>
              </w:rPr>
              <w:t>废催化剂</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830"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0.05</w:t>
            </w:r>
          </w:p>
        </w:tc>
        <w:tc>
          <w:tcPr>
            <w:tcW w:w="1893"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0.05</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restart"/>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危险废物</w:t>
            </w:r>
          </w:p>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w:t>
            </w:r>
            <w:r>
              <w:rPr>
                <w:rFonts w:ascii="Times New Roman"/>
                <w:snapToGrid w:val="0"/>
                <w:kern w:val="21"/>
                <w:szCs w:val="24"/>
              </w:rPr>
              <w:t>t/a</w:t>
            </w:r>
            <w:r>
              <w:rPr>
                <w:rFonts w:hint="eastAsia" w:ascii="Times New Roman" w:cs="宋体"/>
                <w:snapToGrid w:val="0"/>
                <w:kern w:val="21"/>
                <w:szCs w:val="24"/>
              </w:rPr>
              <w:t>）</w:t>
            </w: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废润滑油</w:t>
            </w:r>
          </w:p>
        </w:tc>
        <w:tc>
          <w:tcPr>
            <w:tcW w:w="1679"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1376"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0.01</w:t>
            </w:r>
          </w:p>
        </w:tc>
        <w:tc>
          <w:tcPr>
            <w:tcW w:w="1893" w:type="dxa"/>
            <w:vAlign w:val="center"/>
          </w:tcPr>
          <w:p>
            <w:pPr>
              <w:pStyle w:val="55"/>
              <w:spacing w:beforeLines="0" w:afterLines="0" w:line="320" w:lineRule="exact"/>
              <w:rPr>
                <w:rFonts w:ascii="Times New Roman"/>
                <w:spacing w:val="-4"/>
                <w:szCs w:val="24"/>
              </w:rPr>
            </w:pPr>
            <w:r>
              <w:rPr>
                <w:rFonts w:ascii="Times New Roman"/>
                <w:spacing w:val="-4"/>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0.01</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snapToGrid w:val="0"/>
                <w:kern w:val="21"/>
                <w:szCs w:val="24"/>
              </w:rPr>
            </w:pPr>
            <w:r>
              <w:rPr>
                <w:rFonts w:hint="eastAsia" w:ascii="Times New Roman" w:cs="宋体"/>
                <w:snapToGrid w:val="0"/>
                <w:kern w:val="21"/>
                <w:szCs w:val="24"/>
              </w:rPr>
              <w:t>废活性炭</w:t>
            </w:r>
          </w:p>
        </w:tc>
        <w:tc>
          <w:tcPr>
            <w:tcW w:w="1679"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1830" w:type="dxa"/>
            <w:vAlign w:val="center"/>
          </w:tcPr>
          <w:p>
            <w:pPr>
              <w:adjustRightInd w:val="0"/>
              <w:snapToGrid w:val="0"/>
              <w:spacing w:line="320" w:lineRule="exact"/>
              <w:jc w:val="center"/>
              <w:rPr>
                <w:szCs w:val="24"/>
              </w:rPr>
            </w:pPr>
            <w:r>
              <w:rPr>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3.85</w:t>
            </w:r>
          </w:p>
        </w:tc>
        <w:tc>
          <w:tcPr>
            <w:tcW w:w="1893" w:type="dxa"/>
            <w:vAlign w:val="center"/>
          </w:tcPr>
          <w:p>
            <w:pPr>
              <w:pStyle w:val="55"/>
              <w:spacing w:beforeLines="0" w:afterLines="0" w:line="320" w:lineRule="exact"/>
              <w:rPr>
                <w:rFonts w:ascii="Times New Roman"/>
                <w:snapToGrid w:val="0"/>
                <w:kern w:val="21"/>
                <w:szCs w:val="24"/>
              </w:rPr>
            </w:pPr>
            <w:r>
              <w:rPr>
                <w:rFonts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3.85</w:t>
            </w:r>
          </w:p>
        </w:tc>
        <w:tc>
          <w:tcPr>
            <w:tcW w:w="1187" w:type="dxa"/>
            <w:vAlign w:val="center"/>
          </w:tcPr>
          <w:p>
            <w:pPr>
              <w:pStyle w:val="55"/>
              <w:spacing w:beforeLines="0" w:afterLines="0" w:line="320" w:lineRule="exact"/>
              <w:rPr>
                <w:rFonts w:ascii="Times New Roman"/>
                <w:snapToGrid w:val="0"/>
                <w:kern w:val="21"/>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249" w:type="dxa"/>
            <w:vMerge w:val="continue"/>
            <w:vAlign w:val="center"/>
          </w:tcPr>
          <w:p>
            <w:pPr>
              <w:pStyle w:val="55"/>
              <w:spacing w:beforeLines="0" w:afterLines="0" w:line="320" w:lineRule="exact"/>
              <w:rPr>
                <w:rFonts w:ascii="Times New Roman"/>
                <w:snapToGrid w:val="0"/>
                <w:kern w:val="21"/>
                <w:szCs w:val="24"/>
              </w:rPr>
            </w:pPr>
          </w:p>
        </w:tc>
        <w:tc>
          <w:tcPr>
            <w:tcW w:w="2134" w:type="dxa"/>
            <w:vAlign w:val="center"/>
          </w:tcPr>
          <w:p>
            <w:pPr>
              <w:pStyle w:val="55"/>
              <w:spacing w:beforeLines="0" w:afterLines="0" w:line="320" w:lineRule="exact"/>
              <w:rPr>
                <w:rFonts w:ascii="Times New Roman" w:cs="宋体"/>
                <w:snapToGrid w:val="0"/>
                <w:kern w:val="21"/>
                <w:szCs w:val="24"/>
              </w:rPr>
            </w:pPr>
            <w:r>
              <w:rPr>
                <w:rFonts w:hint="eastAsia" w:ascii="Times New Roman" w:cs="宋体"/>
                <w:snapToGrid w:val="0"/>
                <w:kern w:val="21"/>
                <w:szCs w:val="24"/>
              </w:rPr>
              <w:t>废包装桶</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376"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1830" w:type="dxa"/>
            <w:vAlign w:val="center"/>
          </w:tcPr>
          <w:p>
            <w:pPr>
              <w:adjustRightInd w:val="0"/>
              <w:snapToGrid w:val="0"/>
              <w:spacing w:line="320" w:lineRule="exact"/>
              <w:jc w:val="center"/>
              <w:rPr>
                <w:snapToGrid w:val="0"/>
                <w:kern w:val="21"/>
                <w:szCs w:val="24"/>
              </w:rPr>
            </w:pPr>
            <w:r>
              <w:rPr>
                <w:rFonts w:hint="eastAsia"/>
                <w:snapToGrid w:val="0"/>
                <w:kern w:val="21"/>
                <w:szCs w:val="24"/>
              </w:rPr>
              <w:t>/</w:t>
            </w:r>
          </w:p>
        </w:tc>
        <w:tc>
          <w:tcPr>
            <w:tcW w:w="1679"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1.12</w:t>
            </w:r>
          </w:p>
        </w:tc>
        <w:tc>
          <w:tcPr>
            <w:tcW w:w="1893"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w:t>
            </w:r>
          </w:p>
        </w:tc>
        <w:tc>
          <w:tcPr>
            <w:tcW w:w="2108" w:type="dxa"/>
            <w:vAlign w:val="center"/>
          </w:tcPr>
          <w:p>
            <w:pPr>
              <w:pStyle w:val="55"/>
              <w:spacing w:beforeLines="0" w:afterLines="0" w:line="320" w:lineRule="exact"/>
              <w:rPr>
                <w:rFonts w:ascii="Times New Roman"/>
                <w:snapToGrid w:val="0"/>
                <w:kern w:val="21"/>
                <w:szCs w:val="24"/>
              </w:rPr>
            </w:pPr>
            <w:r>
              <w:rPr>
                <w:rFonts w:hint="eastAsia" w:ascii="Times New Roman"/>
                <w:snapToGrid w:val="0"/>
                <w:kern w:val="21"/>
                <w:szCs w:val="24"/>
              </w:rPr>
              <w:t>1.12</w:t>
            </w:r>
          </w:p>
        </w:tc>
        <w:tc>
          <w:tcPr>
            <w:tcW w:w="1187" w:type="dxa"/>
            <w:vAlign w:val="center"/>
          </w:tcPr>
          <w:p>
            <w:pPr>
              <w:pStyle w:val="55"/>
              <w:spacing w:beforeLines="0" w:afterLines="0" w:line="320" w:lineRule="exact"/>
              <w:rPr>
                <w:rFonts w:ascii="Times New Roman"/>
                <w:snapToGrid w:val="0"/>
                <w:kern w:val="21"/>
                <w:szCs w:val="24"/>
              </w:rPr>
            </w:pPr>
          </w:p>
        </w:tc>
      </w:tr>
    </w:tbl>
    <w:p>
      <w:pPr>
        <w:pStyle w:val="55"/>
        <w:spacing w:beforeLines="80" w:after="24"/>
        <w:jc w:val="left"/>
        <w:rPr>
          <w:rFonts w:ascii="Times New Roman"/>
          <w:snapToGrid w:val="0"/>
          <w:spacing w:val="-6"/>
          <w:kern w:val="21"/>
        </w:rPr>
      </w:pPr>
      <w:r>
        <w:rPr>
          <w:rFonts w:hint="eastAsia" w:ascii="Times New Roman"/>
          <w:snapToGrid w:val="0"/>
          <w:kern w:val="21"/>
        </w:rPr>
        <w:t>注：</w:t>
      </w:r>
      <w:r>
        <w:rPr>
          <w:rFonts w:ascii="Times New Roman"/>
          <w:snapToGrid w:val="0"/>
          <w:spacing w:val="-16"/>
          <w:kern w:val="21"/>
        </w:rPr>
        <w:fldChar w:fldCharType="begin"/>
      </w:r>
      <w:r>
        <w:rPr>
          <w:rFonts w:ascii="Times New Roman"/>
          <w:snapToGrid w:val="0"/>
          <w:spacing w:val="-16"/>
          <w:kern w:val="21"/>
        </w:rPr>
        <w:instrText xml:space="preserve"> = 6 \* GB3 \* MERGEFORMAT </w:instrText>
      </w:r>
      <w:r>
        <w:rPr>
          <w:rFonts w:ascii="Times New Roman"/>
          <w:snapToGrid w:val="0"/>
          <w:spacing w:val="-16"/>
          <w:kern w:val="21"/>
        </w:rPr>
        <w:fldChar w:fldCharType="separate"/>
      </w:r>
      <w:r>
        <w:rPr>
          <w:rFonts w:hint="eastAsia" w:ascii="Times New Roman"/>
        </w:rPr>
        <w:t>⑥</w:t>
      </w:r>
      <w:r>
        <w:rPr>
          <w:rFonts w:ascii="Times New Roman"/>
          <w:snapToGrid w:val="0"/>
          <w:spacing w:val="-16"/>
          <w:kern w:val="21"/>
        </w:rPr>
        <w:fldChar w:fldCharType="end"/>
      </w:r>
      <w:r>
        <w:rPr>
          <w:rFonts w:ascii="Times New Roman"/>
          <w:snapToGrid w:val="0"/>
          <w:spacing w:val="-16"/>
          <w:kern w:val="21"/>
        </w:rPr>
        <w:t>=</w:t>
      </w:r>
      <w:r>
        <w:rPr>
          <w:rFonts w:ascii="Times New Roman"/>
          <w:snapToGrid w:val="0"/>
          <w:spacing w:val="-6"/>
          <w:kern w:val="21"/>
        </w:rPr>
        <w:fldChar w:fldCharType="begin"/>
      </w:r>
      <w:r>
        <w:rPr>
          <w:rFonts w:ascii="Times New Roman"/>
          <w:snapToGrid w:val="0"/>
          <w:spacing w:val="-6"/>
          <w:kern w:val="21"/>
        </w:rPr>
        <w:instrText xml:space="preserve"> = 1 \* GB3 \* MERGEFORMAT </w:instrText>
      </w:r>
      <w:r>
        <w:rPr>
          <w:rFonts w:ascii="Times New Roman"/>
          <w:snapToGrid w:val="0"/>
          <w:spacing w:val="-6"/>
          <w:kern w:val="21"/>
        </w:rPr>
        <w:fldChar w:fldCharType="separate"/>
      </w:r>
      <w:r>
        <w:rPr>
          <w:rFonts w:hint="eastAsia" w:ascii="Times New Roman"/>
        </w:rPr>
        <w:t>①</w:t>
      </w:r>
      <w:r>
        <w:rPr>
          <w:rFonts w:ascii="Times New Roman"/>
          <w:snapToGrid w:val="0"/>
          <w:spacing w:val="-6"/>
          <w:kern w:val="21"/>
        </w:rPr>
        <w:fldChar w:fldCharType="end"/>
      </w:r>
      <w:r>
        <w:rPr>
          <w:rFonts w:ascii="Times New Roman"/>
          <w:snapToGrid w:val="0"/>
          <w:spacing w:val="-6"/>
          <w:kern w:val="21"/>
        </w:rPr>
        <w:t>+</w:t>
      </w:r>
      <w:r>
        <w:rPr>
          <w:rFonts w:ascii="Times New Roman"/>
          <w:snapToGrid w:val="0"/>
          <w:spacing w:val="-6"/>
          <w:kern w:val="21"/>
        </w:rPr>
        <w:fldChar w:fldCharType="begin"/>
      </w:r>
      <w:r>
        <w:rPr>
          <w:rFonts w:ascii="Times New Roman"/>
          <w:snapToGrid w:val="0"/>
          <w:spacing w:val="-6"/>
          <w:kern w:val="21"/>
        </w:rPr>
        <w:instrText xml:space="preserve"> = 3 \* GB3 \* MERGEFORMAT </w:instrText>
      </w:r>
      <w:r>
        <w:rPr>
          <w:rFonts w:ascii="Times New Roman"/>
          <w:snapToGrid w:val="0"/>
          <w:spacing w:val="-6"/>
          <w:kern w:val="21"/>
        </w:rPr>
        <w:fldChar w:fldCharType="separate"/>
      </w:r>
      <w:r>
        <w:rPr>
          <w:rFonts w:hint="eastAsia" w:ascii="Times New Roman"/>
        </w:rPr>
        <w:t>③</w:t>
      </w:r>
      <w:r>
        <w:rPr>
          <w:rFonts w:ascii="Times New Roman"/>
          <w:snapToGrid w:val="0"/>
          <w:spacing w:val="-6"/>
          <w:kern w:val="21"/>
        </w:rPr>
        <w:fldChar w:fldCharType="end"/>
      </w:r>
      <w:r>
        <w:rPr>
          <w:rFonts w:ascii="Times New Roman"/>
          <w:snapToGrid w:val="0"/>
          <w:spacing w:val="-6"/>
          <w:kern w:val="21"/>
        </w:rPr>
        <w:t>+</w:t>
      </w:r>
      <w:r>
        <w:rPr>
          <w:rFonts w:ascii="Times New Roman"/>
          <w:snapToGrid w:val="0"/>
          <w:spacing w:val="-6"/>
          <w:kern w:val="21"/>
        </w:rPr>
        <w:fldChar w:fldCharType="begin"/>
      </w:r>
      <w:r>
        <w:rPr>
          <w:rFonts w:ascii="Times New Roman"/>
          <w:snapToGrid w:val="0"/>
          <w:spacing w:val="-6"/>
          <w:kern w:val="21"/>
        </w:rPr>
        <w:instrText xml:space="preserve"> = 4 \* GB3 \* MERGEFORMAT </w:instrText>
      </w:r>
      <w:r>
        <w:rPr>
          <w:rFonts w:ascii="Times New Roman"/>
          <w:snapToGrid w:val="0"/>
          <w:spacing w:val="-6"/>
          <w:kern w:val="21"/>
        </w:rPr>
        <w:fldChar w:fldCharType="separate"/>
      </w:r>
      <w:r>
        <w:rPr>
          <w:rFonts w:hint="eastAsia" w:ascii="Times New Roman"/>
        </w:rPr>
        <w:t>④</w:t>
      </w:r>
      <w:r>
        <w:rPr>
          <w:rFonts w:ascii="Times New Roman"/>
          <w:snapToGrid w:val="0"/>
          <w:spacing w:val="-6"/>
          <w:kern w:val="21"/>
        </w:rPr>
        <w:fldChar w:fldCharType="end"/>
      </w:r>
      <w:r>
        <w:rPr>
          <w:rFonts w:ascii="Times New Roman"/>
          <w:snapToGrid w:val="0"/>
          <w:spacing w:val="-6"/>
          <w:kern w:val="21"/>
        </w:rPr>
        <w:t>-</w:t>
      </w:r>
      <w:r>
        <w:rPr>
          <w:rFonts w:ascii="Times New Roman"/>
          <w:snapToGrid w:val="0"/>
          <w:spacing w:val="-16"/>
          <w:kern w:val="21"/>
        </w:rPr>
        <w:fldChar w:fldCharType="begin"/>
      </w:r>
      <w:r>
        <w:rPr>
          <w:rFonts w:ascii="Times New Roman"/>
          <w:snapToGrid w:val="0"/>
          <w:spacing w:val="-16"/>
          <w:kern w:val="21"/>
        </w:rPr>
        <w:instrText xml:space="preserve"> = 5 \* GB3 \* MERGEFORMAT </w:instrText>
      </w:r>
      <w:r>
        <w:rPr>
          <w:rFonts w:ascii="Times New Roman"/>
          <w:snapToGrid w:val="0"/>
          <w:spacing w:val="-16"/>
          <w:kern w:val="21"/>
        </w:rPr>
        <w:fldChar w:fldCharType="separate"/>
      </w:r>
      <w:r>
        <w:rPr>
          <w:rFonts w:hint="eastAsia" w:ascii="Times New Roman"/>
        </w:rPr>
        <w:t>⑤</w:t>
      </w:r>
      <w:r>
        <w:rPr>
          <w:rFonts w:ascii="Times New Roman"/>
          <w:snapToGrid w:val="0"/>
          <w:spacing w:val="-16"/>
          <w:kern w:val="21"/>
        </w:rPr>
        <w:fldChar w:fldCharType="end"/>
      </w:r>
      <w:r>
        <w:rPr>
          <w:rFonts w:hint="eastAsia" w:ascii="Times New Roman"/>
          <w:snapToGrid w:val="0"/>
          <w:spacing w:val="-16"/>
          <w:kern w:val="21"/>
        </w:rPr>
        <w:t>；</w:t>
      </w:r>
      <w:r>
        <w:rPr>
          <w:rFonts w:ascii="Times New Roman"/>
          <w:snapToGrid w:val="0"/>
          <w:spacing w:val="-6"/>
          <w:kern w:val="21"/>
        </w:rPr>
        <w:fldChar w:fldCharType="begin"/>
      </w:r>
      <w:r>
        <w:rPr>
          <w:rFonts w:ascii="Times New Roman"/>
          <w:snapToGrid w:val="0"/>
          <w:spacing w:val="-6"/>
          <w:kern w:val="21"/>
        </w:rPr>
        <w:instrText xml:space="preserve"> = 7 \* GB3 \* MERGEFORMAT </w:instrText>
      </w:r>
      <w:r>
        <w:rPr>
          <w:rFonts w:ascii="Times New Roman"/>
          <w:snapToGrid w:val="0"/>
          <w:spacing w:val="-6"/>
          <w:kern w:val="21"/>
        </w:rPr>
        <w:fldChar w:fldCharType="separate"/>
      </w:r>
      <w:r>
        <w:rPr>
          <w:rFonts w:hint="eastAsia" w:ascii="Times New Roman"/>
        </w:rPr>
        <w:t>⑦</w:t>
      </w:r>
      <w:r>
        <w:rPr>
          <w:rFonts w:ascii="Times New Roman"/>
          <w:snapToGrid w:val="0"/>
          <w:spacing w:val="-6"/>
          <w:kern w:val="21"/>
        </w:rPr>
        <w:fldChar w:fldCharType="end"/>
      </w:r>
      <w:r>
        <w:rPr>
          <w:rFonts w:ascii="Times New Roman"/>
          <w:snapToGrid w:val="0"/>
          <w:spacing w:val="-6"/>
          <w:kern w:val="21"/>
        </w:rPr>
        <w:t>=</w:t>
      </w:r>
      <w:r>
        <w:rPr>
          <w:rFonts w:ascii="Times New Roman"/>
          <w:snapToGrid w:val="0"/>
          <w:spacing w:val="-16"/>
          <w:kern w:val="21"/>
        </w:rPr>
        <w:fldChar w:fldCharType="begin"/>
      </w:r>
      <w:r>
        <w:rPr>
          <w:rFonts w:ascii="Times New Roman"/>
          <w:snapToGrid w:val="0"/>
          <w:spacing w:val="-16"/>
          <w:kern w:val="21"/>
        </w:rPr>
        <w:instrText xml:space="preserve"> = 6 \* GB3 \* MERGEFORMAT </w:instrText>
      </w:r>
      <w:r>
        <w:rPr>
          <w:rFonts w:ascii="Times New Roman"/>
          <w:snapToGrid w:val="0"/>
          <w:spacing w:val="-16"/>
          <w:kern w:val="21"/>
        </w:rPr>
        <w:fldChar w:fldCharType="separate"/>
      </w:r>
      <w:r>
        <w:rPr>
          <w:rFonts w:hint="eastAsia" w:ascii="Times New Roman"/>
        </w:rPr>
        <w:t>⑥</w:t>
      </w:r>
      <w:r>
        <w:rPr>
          <w:rFonts w:ascii="Times New Roman"/>
          <w:snapToGrid w:val="0"/>
          <w:spacing w:val="-16"/>
          <w:kern w:val="21"/>
        </w:rPr>
        <w:fldChar w:fldCharType="end"/>
      </w:r>
      <w:r>
        <w:rPr>
          <w:rFonts w:ascii="Times New Roman"/>
          <w:snapToGrid w:val="0"/>
          <w:spacing w:val="-16"/>
          <w:kern w:val="21"/>
        </w:rPr>
        <w:t>-</w:t>
      </w:r>
      <w:r>
        <w:rPr>
          <w:rFonts w:ascii="Times New Roman"/>
          <w:snapToGrid w:val="0"/>
          <w:spacing w:val="-6"/>
          <w:kern w:val="21"/>
        </w:rPr>
        <w:fldChar w:fldCharType="begin"/>
      </w:r>
      <w:r>
        <w:rPr>
          <w:rFonts w:ascii="Times New Roman"/>
          <w:snapToGrid w:val="0"/>
          <w:spacing w:val="-6"/>
          <w:kern w:val="21"/>
        </w:rPr>
        <w:instrText xml:space="preserve"> = 1 \* GB3 \* MERGEFORMAT </w:instrText>
      </w:r>
      <w:r>
        <w:rPr>
          <w:rFonts w:ascii="Times New Roman"/>
          <w:snapToGrid w:val="0"/>
          <w:spacing w:val="-6"/>
          <w:kern w:val="21"/>
        </w:rPr>
        <w:fldChar w:fldCharType="separate"/>
      </w:r>
      <w:r>
        <w:rPr>
          <w:rFonts w:hint="eastAsia" w:ascii="Times New Roman"/>
        </w:rPr>
        <w:t>①</w:t>
      </w:r>
      <w:r>
        <w:rPr>
          <w:rFonts w:ascii="Times New Roman"/>
          <w:snapToGrid w:val="0"/>
          <w:spacing w:val="-6"/>
          <w:kern w:val="21"/>
        </w:rPr>
        <w:fldChar w:fldCharType="end"/>
      </w:r>
    </w:p>
    <w:p>
      <w:pPr>
        <w:adjustRightInd w:val="0"/>
        <w:snapToGrid w:val="0"/>
        <w:spacing w:line="640" w:lineRule="exact"/>
        <w:jc w:val="center"/>
        <w:rPr>
          <w:sz w:val="24"/>
          <w:szCs w:val="24"/>
        </w:rPr>
      </w:pPr>
    </w:p>
    <w:sectPr>
      <w:footerReference r:id="rId7" w:type="default"/>
      <w:pgSz w:w="16838" w:h="11906" w:orient="landscape"/>
      <w:pgMar w:top="1531" w:right="1701" w:bottom="1531" w:left="1701" w:header="851" w:footer="85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TimesNewRomanPSMT">
    <w:altName w:val="Times New Roman"/>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Wingdings 2">
    <w:altName w:val="Wingdings"/>
    <w:panose1 w:val="05020102010507070707"/>
    <w:charset w:val="02"/>
    <w:family w:val="roman"/>
    <w:pitch w:val="default"/>
    <w:sig w:usb0="00000000" w:usb1="00000000" w:usb2="00000000" w:usb3="00000000" w:csb0="80000000" w:csb1="00000000"/>
  </w:font>
  <w:font w:name="Cambria Math">
    <w:panose1 w:val="02040503050406030204"/>
    <w:charset w:val="00"/>
    <w:family w:val="roman"/>
    <w:pitch w:val="default"/>
    <w:sig w:usb0="E00002FF" w:usb1="420024FF" w:usb2="00000000" w:usb3="00000000" w:csb0="2000019F" w:csb1="00000000"/>
  </w:font>
  <w:font w:name="Wingdings">
    <w:panose1 w:val="05000000000000000000"/>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uto" w:vAnchor="text" w:hAnchor="margin" w:xAlign="outside" w:y="1"/>
      <w:rPr>
        <w:rStyle w:val="39"/>
        <w:rFonts w:ascii="宋体"/>
        <w:sz w:val="28"/>
        <w:szCs w:val="28"/>
      </w:rPr>
    </w:pPr>
    <w:r>
      <w:rPr>
        <w:rStyle w:val="39"/>
        <w:rFonts w:ascii="宋体" w:hAnsi="宋体" w:cs="宋体"/>
        <w:sz w:val="28"/>
        <w:szCs w:val="28"/>
      </w:rPr>
      <w:t>—</w:t>
    </w:r>
    <w:r>
      <w:rPr>
        <w:rStyle w:val="39"/>
        <w:rFonts w:ascii="宋体" w:hAnsi="宋体" w:cs="宋体"/>
        <w:sz w:val="26"/>
        <w:szCs w:val="26"/>
      </w:rPr>
      <w:fldChar w:fldCharType="begin"/>
    </w:r>
    <w:r>
      <w:rPr>
        <w:rStyle w:val="39"/>
        <w:rFonts w:ascii="宋体" w:hAnsi="宋体" w:cs="宋体"/>
        <w:sz w:val="26"/>
        <w:szCs w:val="26"/>
      </w:rPr>
      <w:instrText xml:space="preserve">PAGE  </w:instrText>
    </w:r>
    <w:r>
      <w:rPr>
        <w:rStyle w:val="39"/>
        <w:rFonts w:ascii="宋体" w:hAnsi="宋体" w:cs="宋体"/>
        <w:sz w:val="26"/>
        <w:szCs w:val="26"/>
      </w:rPr>
      <w:fldChar w:fldCharType="separate"/>
    </w:r>
    <w:r>
      <w:rPr>
        <w:rStyle w:val="39"/>
        <w:rFonts w:ascii="宋体" w:hAnsi="宋体" w:cs="宋体"/>
        <w:sz w:val="26"/>
        <w:szCs w:val="26"/>
      </w:rPr>
      <w:t>52</w:t>
    </w:r>
    <w:r>
      <w:rPr>
        <w:rStyle w:val="39"/>
        <w:rFonts w:ascii="宋体" w:hAnsi="宋体" w:cs="宋体"/>
        <w:sz w:val="26"/>
        <w:szCs w:val="26"/>
      </w:rPr>
      <w:fldChar w:fldCharType="end"/>
    </w:r>
    <w:r>
      <w:rPr>
        <w:rStyle w:val="39"/>
        <w:rFonts w:ascii="宋体" w:hAnsi="宋体" w:cs="宋体"/>
        <w:sz w:val="28"/>
        <w:szCs w:val="28"/>
      </w:rPr>
      <w:t>—</w:t>
    </w:r>
  </w:p>
  <w:p>
    <w:pPr>
      <w:pStyle w:val="20"/>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framePr w:wrap="auto" w:vAnchor="text" w:hAnchor="margin" w:xAlign="outside" w:y="1"/>
      <w:rPr>
        <w:rStyle w:val="39"/>
        <w:rFonts w:ascii="宋体"/>
        <w:sz w:val="28"/>
        <w:szCs w:val="28"/>
      </w:rPr>
    </w:pPr>
    <w:r>
      <w:rPr>
        <w:rStyle w:val="39"/>
        <w:rFonts w:ascii="宋体" w:hAnsi="宋体" w:cs="宋体"/>
        <w:sz w:val="28"/>
        <w:szCs w:val="28"/>
      </w:rPr>
      <w:t>—</w:t>
    </w:r>
    <w:r>
      <w:rPr>
        <w:rStyle w:val="39"/>
        <w:rFonts w:ascii="宋体" w:hAnsi="宋体" w:cs="宋体"/>
        <w:sz w:val="26"/>
        <w:szCs w:val="26"/>
      </w:rPr>
      <w:fldChar w:fldCharType="begin"/>
    </w:r>
    <w:r>
      <w:rPr>
        <w:rStyle w:val="39"/>
        <w:rFonts w:ascii="宋体" w:hAnsi="宋体" w:cs="宋体"/>
        <w:sz w:val="26"/>
        <w:szCs w:val="26"/>
      </w:rPr>
      <w:instrText xml:space="preserve">PAGE  </w:instrText>
    </w:r>
    <w:r>
      <w:rPr>
        <w:rStyle w:val="39"/>
        <w:rFonts w:ascii="宋体" w:hAnsi="宋体" w:cs="宋体"/>
        <w:sz w:val="26"/>
        <w:szCs w:val="26"/>
      </w:rPr>
      <w:fldChar w:fldCharType="separate"/>
    </w:r>
    <w:r>
      <w:rPr>
        <w:rStyle w:val="39"/>
        <w:rFonts w:ascii="宋体" w:hAnsi="宋体" w:cs="宋体"/>
        <w:sz w:val="26"/>
        <w:szCs w:val="26"/>
      </w:rPr>
      <w:t>53</w:t>
    </w:r>
    <w:r>
      <w:rPr>
        <w:rStyle w:val="39"/>
        <w:rFonts w:ascii="宋体" w:hAnsi="宋体" w:cs="宋体"/>
        <w:sz w:val="26"/>
        <w:szCs w:val="26"/>
      </w:rPr>
      <w:fldChar w:fldCharType="end"/>
    </w:r>
    <w:r>
      <w:rPr>
        <w:rStyle w:val="39"/>
        <w:rFonts w:ascii="宋体" w:hAnsi="宋体" w:cs="宋体"/>
        <w:sz w:val="28"/>
        <w:szCs w:val="28"/>
      </w:rPr>
      <w:t>—</w:t>
    </w:r>
  </w:p>
  <w:p>
    <w:pPr>
      <w:pStyle w:val="20"/>
      <w:ind w:right="360" w:firstLine="360"/>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440"/>
      <w:rPr>
        <w:sz w:val="21"/>
        <w:szCs w:val="21"/>
      </w:rPr>
    </w:pPr>
    <w:r>
      <w:rPr>
        <w:rFonts w:cs="宋体"/>
        <w:sz w:val="21"/>
        <w:szCs w:val="21"/>
      </w:rPr>
      <w:drawing>
        <wp:anchor distT="0" distB="0" distL="114300" distR="114300" simplePos="0" relativeHeight="251659264" behindDoc="0" locked="0" layoutInCell="1" allowOverlap="1">
          <wp:simplePos x="0" y="0"/>
          <wp:positionH relativeFrom="column">
            <wp:posOffset>43815</wp:posOffset>
          </wp:positionH>
          <wp:positionV relativeFrom="page">
            <wp:posOffset>361950</wp:posOffset>
          </wp:positionV>
          <wp:extent cx="488315" cy="466725"/>
          <wp:effectExtent l="0" t="0" r="6985" b="9525"/>
          <wp:wrapNone/>
          <wp:docPr id="2" name="图片 8" descr="定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定稿"/>
                  <pic:cNvPicPr>
                    <a:picLocks noChangeAspect="1"/>
                  </pic:cNvPicPr>
                </pic:nvPicPr>
                <pic:blipFill>
                  <a:blip r:embed="rId1"/>
                  <a:stretch>
                    <a:fillRect/>
                  </a:stretch>
                </pic:blipFill>
                <pic:spPr>
                  <a:xfrm>
                    <a:off x="0" y="0"/>
                    <a:ext cx="487908" cy="468503"/>
                  </a:xfrm>
                  <a:prstGeom prst="rect">
                    <a:avLst/>
                  </a:prstGeom>
                </pic:spPr>
              </pic:pic>
            </a:graphicData>
          </a:graphic>
        </wp:anchor>
      </w:drawing>
    </w:r>
    <w:r>
      <w:rPr>
        <w:rFonts w:hint="eastAsia" w:cs="宋体"/>
        <w:sz w:val="21"/>
        <w:szCs w:val="21"/>
      </w:rPr>
      <w:t>高强度复合纤维复合塑料生产建设项目环境影响报告表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9711F9"/>
    <w:multiLevelType w:val="multilevel"/>
    <w:tmpl w:val="709711F9"/>
    <w:lvl w:ilvl="0" w:tentative="0">
      <w:start w:val="1"/>
      <w:numFmt w:val="chineseCountingThousand"/>
      <w:suff w:val="space"/>
      <w:lvlText w:val="第%1章"/>
      <w:lvlJc w:val="left"/>
      <w:rPr>
        <w:rFonts w:hint="default" w:ascii="Times New Roman" w:hAnsi="Times New Roman" w:eastAsia="黑体"/>
        <w:b w:val="0"/>
        <w:bCs w:val="0"/>
        <w:i w:val="0"/>
        <w:iCs w:val="0"/>
        <w:sz w:val="32"/>
        <w:szCs w:val="32"/>
      </w:rPr>
    </w:lvl>
    <w:lvl w:ilvl="1" w:tentative="0">
      <w:start w:val="1"/>
      <w:numFmt w:val="chineseCountingThousand"/>
      <w:suff w:val="space"/>
      <w:lvlText w:val="第%2节"/>
      <w:lvlJc w:val="left"/>
      <w:rPr>
        <w:rFonts w:hint="default" w:ascii="Times New Roman" w:hAnsi="Times New Roman" w:eastAsia="宋体"/>
        <w:b/>
        <w:bCs/>
        <w:i w:val="0"/>
        <w:iCs w:val="0"/>
        <w:caps w:val="0"/>
        <w:smallCaps w:val="0"/>
        <w:strike w:val="0"/>
        <w:dstrike w:val="0"/>
        <w:vanish w:val="0"/>
        <w:spacing w:val="0"/>
        <w:kern w:val="0"/>
        <w:position w:val="0"/>
        <w:sz w:val="28"/>
        <w:szCs w:val="28"/>
        <w:u w:val="none"/>
        <w:vertAlign w:val="baseline"/>
      </w:rPr>
    </w:lvl>
    <w:lvl w:ilvl="2" w:tentative="0">
      <w:start w:val="1"/>
      <w:numFmt w:val="chineseCountingThousand"/>
      <w:pStyle w:val="5"/>
      <w:suff w:val="space"/>
      <w:lvlText w:val="%3、"/>
      <w:lvlJc w:val="left"/>
      <w:rPr>
        <w:rFonts w:hint="default" w:ascii="Times New Roman" w:hAnsi="Times New Roman" w:eastAsia="宋体"/>
        <w:b/>
        <w:bCs/>
        <w:i w:val="0"/>
        <w:iCs w:val="0"/>
        <w:caps w:val="0"/>
        <w:smallCaps w:val="0"/>
        <w:strike w:val="0"/>
        <w:dstrike w:val="0"/>
        <w:vanish w:val="0"/>
        <w:spacing w:val="0"/>
        <w:kern w:val="0"/>
        <w:position w:val="0"/>
        <w:sz w:val="24"/>
        <w:szCs w:val="24"/>
        <w:u w:val="none"/>
        <w:vertAlign w:val="baseline"/>
      </w:rPr>
    </w:lvl>
    <w:lvl w:ilvl="3" w:tentative="0">
      <w:start w:val="1"/>
      <w:numFmt w:val="chineseCountingThousand"/>
      <w:suff w:val="space"/>
      <w:lvlText w:val="%4、"/>
      <w:lvlJc w:val="left"/>
      <w:rPr>
        <w:rFonts w:hint="eastAsia"/>
      </w:rPr>
    </w:lvl>
    <w:lvl w:ilvl="4" w:tentative="0">
      <w:start w:val="1"/>
      <w:numFmt w:val="lowerLetter"/>
      <w:lvlText w:val="(%5)"/>
      <w:lvlJc w:val="left"/>
      <w:rPr>
        <w:rFonts w:hint="eastAsia"/>
      </w:rPr>
    </w:lvl>
    <w:lvl w:ilvl="5" w:tentative="0">
      <w:start w:val="1"/>
      <w:numFmt w:val="lowerRoman"/>
      <w:lvlText w:val="(%6)"/>
      <w:lvlJc w:val="left"/>
      <w:rPr>
        <w:rFonts w:hint="eastAsia"/>
      </w:rPr>
    </w:lvl>
    <w:lvl w:ilvl="6" w:tentative="0">
      <w:start w:val="1"/>
      <w:numFmt w:val="decimal"/>
      <w:lvlText w:val="%7."/>
      <w:lvlJc w:val="left"/>
      <w:rPr>
        <w:rFonts w:hint="eastAsia"/>
      </w:rPr>
    </w:lvl>
    <w:lvl w:ilvl="7" w:tentative="0">
      <w:start w:val="1"/>
      <w:numFmt w:val="lowerLetter"/>
      <w:lvlText w:val="%8."/>
      <w:lvlJc w:val="left"/>
      <w:rPr>
        <w:rFonts w:hint="eastAsia"/>
      </w:rPr>
    </w:lvl>
    <w:lvl w:ilvl="8" w:tentative="0">
      <w:start w:val="1"/>
      <w:numFmt w:val="decimal"/>
      <w:pStyle w:val="92"/>
      <w:isLgl/>
      <w:suff w:val="space"/>
      <w:lvlText w:val="表 %1.%9"/>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dit="trackedChange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NWYyYjZhMzQ1Mzk5M2I1YjBjYmFjNmExZWFiZmFkNTgifQ=="/>
  </w:docVars>
  <w:rsids>
    <w:rsidRoot w:val="00A14947"/>
    <w:rsid w:val="0000016E"/>
    <w:rsid w:val="000004CD"/>
    <w:rsid w:val="00000A8A"/>
    <w:rsid w:val="00000D95"/>
    <w:rsid w:val="0000125D"/>
    <w:rsid w:val="0000184B"/>
    <w:rsid w:val="00001CC0"/>
    <w:rsid w:val="00002BB1"/>
    <w:rsid w:val="00002BE6"/>
    <w:rsid w:val="000030C4"/>
    <w:rsid w:val="00003151"/>
    <w:rsid w:val="00003153"/>
    <w:rsid w:val="000040FD"/>
    <w:rsid w:val="000046E3"/>
    <w:rsid w:val="00004951"/>
    <w:rsid w:val="00004CB9"/>
    <w:rsid w:val="00004D77"/>
    <w:rsid w:val="00004E42"/>
    <w:rsid w:val="00005157"/>
    <w:rsid w:val="000060B3"/>
    <w:rsid w:val="0000627B"/>
    <w:rsid w:val="00006512"/>
    <w:rsid w:val="00006A1D"/>
    <w:rsid w:val="00006BAD"/>
    <w:rsid w:val="0000717F"/>
    <w:rsid w:val="00007CD0"/>
    <w:rsid w:val="00007D2A"/>
    <w:rsid w:val="00010041"/>
    <w:rsid w:val="00010183"/>
    <w:rsid w:val="00010497"/>
    <w:rsid w:val="00010696"/>
    <w:rsid w:val="00010808"/>
    <w:rsid w:val="00010941"/>
    <w:rsid w:val="00010E3E"/>
    <w:rsid w:val="0001125A"/>
    <w:rsid w:val="0001250E"/>
    <w:rsid w:val="00012519"/>
    <w:rsid w:val="000129A9"/>
    <w:rsid w:val="0001354A"/>
    <w:rsid w:val="000138F1"/>
    <w:rsid w:val="00013B85"/>
    <w:rsid w:val="00014460"/>
    <w:rsid w:val="000149F7"/>
    <w:rsid w:val="00015E9F"/>
    <w:rsid w:val="00015EEC"/>
    <w:rsid w:val="00016025"/>
    <w:rsid w:val="00016AA6"/>
    <w:rsid w:val="00016D59"/>
    <w:rsid w:val="00016E5E"/>
    <w:rsid w:val="00016ED5"/>
    <w:rsid w:val="00017227"/>
    <w:rsid w:val="0001761B"/>
    <w:rsid w:val="000179B9"/>
    <w:rsid w:val="00017AE1"/>
    <w:rsid w:val="00020433"/>
    <w:rsid w:val="0002060A"/>
    <w:rsid w:val="00020770"/>
    <w:rsid w:val="00020910"/>
    <w:rsid w:val="0002096A"/>
    <w:rsid w:val="0002146F"/>
    <w:rsid w:val="0002149B"/>
    <w:rsid w:val="00021536"/>
    <w:rsid w:val="00021B21"/>
    <w:rsid w:val="00022333"/>
    <w:rsid w:val="000224CE"/>
    <w:rsid w:val="00022A93"/>
    <w:rsid w:val="000233D7"/>
    <w:rsid w:val="00023734"/>
    <w:rsid w:val="00023863"/>
    <w:rsid w:val="00023B5C"/>
    <w:rsid w:val="00023CDD"/>
    <w:rsid w:val="00024242"/>
    <w:rsid w:val="00024257"/>
    <w:rsid w:val="0002429F"/>
    <w:rsid w:val="000242F8"/>
    <w:rsid w:val="00024360"/>
    <w:rsid w:val="000243F3"/>
    <w:rsid w:val="0002477C"/>
    <w:rsid w:val="00024E32"/>
    <w:rsid w:val="00024F6C"/>
    <w:rsid w:val="000256B9"/>
    <w:rsid w:val="00025ACD"/>
    <w:rsid w:val="0002773F"/>
    <w:rsid w:val="00027D42"/>
    <w:rsid w:val="00027F89"/>
    <w:rsid w:val="00030A59"/>
    <w:rsid w:val="000312D0"/>
    <w:rsid w:val="000317B1"/>
    <w:rsid w:val="00032EC2"/>
    <w:rsid w:val="00033009"/>
    <w:rsid w:val="00033103"/>
    <w:rsid w:val="000334EB"/>
    <w:rsid w:val="0003353F"/>
    <w:rsid w:val="000336D6"/>
    <w:rsid w:val="000339C1"/>
    <w:rsid w:val="00033F9B"/>
    <w:rsid w:val="000342E3"/>
    <w:rsid w:val="0003472B"/>
    <w:rsid w:val="00034913"/>
    <w:rsid w:val="00034A1B"/>
    <w:rsid w:val="00034A84"/>
    <w:rsid w:val="00034BE5"/>
    <w:rsid w:val="00034EFB"/>
    <w:rsid w:val="00035069"/>
    <w:rsid w:val="00036145"/>
    <w:rsid w:val="00036287"/>
    <w:rsid w:val="000367A9"/>
    <w:rsid w:val="00036834"/>
    <w:rsid w:val="00036C73"/>
    <w:rsid w:val="00036CB4"/>
    <w:rsid w:val="00037012"/>
    <w:rsid w:val="000376CF"/>
    <w:rsid w:val="000376D2"/>
    <w:rsid w:val="00037A11"/>
    <w:rsid w:val="00037A16"/>
    <w:rsid w:val="00037D84"/>
    <w:rsid w:val="000400F5"/>
    <w:rsid w:val="0004025A"/>
    <w:rsid w:val="00040360"/>
    <w:rsid w:val="00040D69"/>
    <w:rsid w:val="000413F2"/>
    <w:rsid w:val="0004171C"/>
    <w:rsid w:val="000418C5"/>
    <w:rsid w:val="00042DA5"/>
    <w:rsid w:val="0004316A"/>
    <w:rsid w:val="00043516"/>
    <w:rsid w:val="000435C7"/>
    <w:rsid w:val="0004364B"/>
    <w:rsid w:val="00043B14"/>
    <w:rsid w:val="00043BDB"/>
    <w:rsid w:val="00043C18"/>
    <w:rsid w:val="00043E3B"/>
    <w:rsid w:val="000446F1"/>
    <w:rsid w:val="000448DC"/>
    <w:rsid w:val="00044BC7"/>
    <w:rsid w:val="0004510C"/>
    <w:rsid w:val="00045B42"/>
    <w:rsid w:val="00045BF0"/>
    <w:rsid w:val="00046634"/>
    <w:rsid w:val="000470E8"/>
    <w:rsid w:val="0004753A"/>
    <w:rsid w:val="00047552"/>
    <w:rsid w:val="00047755"/>
    <w:rsid w:val="00050145"/>
    <w:rsid w:val="00050589"/>
    <w:rsid w:val="00050972"/>
    <w:rsid w:val="00051AF6"/>
    <w:rsid w:val="00051EB9"/>
    <w:rsid w:val="0005294E"/>
    <w:rsid w:val="000529EE"/>
    <w:rsid w:val="00052E06"/>
    <w:rsid w:val="00053050"/>
    <w:rsid w:val="00053362"/>
    <w:rsid w:val="000538FD"/>
    <w:rsid w:val="00053B2E"/>
    <w:rsid w:val="00053CAB"/>
    <w:rsid w:val="00054262"/>
    <w:rsid w:val="0005497D"/>
    <w:rsid w:val="00054C25"/>
    <w:rsid w:val="00054DDA"/>
    <w:rsid w:val="00055041"/>
    <w:rsid w:val="0005536F"/>
    <w:rsid w:val="00055459"/>
    <w:rsid w:val="00055812"/>
    <w:rsid w:val="0005595B"/>
    <w:rsid w:val="000572B0"/>
    <w:rsid w:val="000577D5"/>
    <w:rsid w:val="00057D4F"/>
    <w:rsid w:val="00057F17"/>
    <w:rsid w:val="0006014D"/>
    <w:rsid w:val="000611BF"/>
    <w:rsid w:val="000616A6"/>
    <w:rsid w:val="00061B1F"/>
    <w:rsid w:val="0006252B"/>
    <w:rsid w:val="000625FB"/>
    <w:rsid w:val="00062CF5"/>
    <w:rsid w:val="0006356C"/>
    <w:rsid w:val="000638C1"/>
    <w:rsid w:val="00063BCB"/>
    <w:rsid w:val="00063C7F"/>
    <w:rsid w:val="00063C9F"/>
    <w:rsid w:val="00063DF5"/>
    <w:rsid w:val="00063F30"/>
    <w:rsid w:val="00064330"/>
    <w:rsid w:val="000646C5"/>
    <w:rsid w:val="000649CD"/>
    <w:rsid w:val="0006526D"/>
    <w:rsid w:val="00065BA6"/>
    <w:rsid w:val="00066903"/>
    <w:rsid w:val="00066BC7"/>
    <w:rsid w:val="000674E2"/>
    <w:rsid w:val="00067B22"/>
    <w:rsid w:val="00070032"/>
    <w:rsid w:val="0007010A"/>
    <w:rsid w:val="0007044E"/>
    <w:rsid w:val="00070645"/>
    <w:rsid w:val="00070A49"/>
    <w:rsid w:val="000710B6"/>
    <w:rsid w:val="0007116E"/>
    <w:rsid w:val="0007153E"/>
    <w:rsid w:val="00071CCD"/>
    <w:rsid w:val="00072B34"/>
    <w:rsid w:val="00073119"/>
    <w:rsid w:val="0007334D"/>
    <w:rsid w:val="000733C4"/>
    <w:rsid w:val="000737FF"/>
    <w:rsid w:val="00073920"/>
    <w:rsid w:val="0007419A"/>
    <w:rsid w:val="0007472D"/>
    <w:rsid w:val="00074783"/>
    <w:rsid w:val="00074BF5"/>
    <w:rsid w:val="00074D09"/>
    <w:rsid w:val="000751B1"/>
    <w:rsid w:val="000751FE"/>
    <w:rsid w:val="0007565D"/>
    <w:rsid w:val="00075936"/>
    <w:rsid w:val="00075A8C"/>
    <w:rsid w:val="00076088"/>
    <w:rsid w:val="0007643D"/>
    <w:rsid w:val="000767E8"/>
    <w:rsid w:val="00076928"/>
    <w:rsid w:val="00077107"/>
    <w:rsid w:val="00077127"/>
    <w:rsid w:val="000775D1"/>
    <w:rsid w:val="0008047D"/>
    <w:rsid w:val="0008070B"/>
    <w:rsid w:val="000809FF"/>
    <w:rsid w:val="00080E1B"/>
    <w:rsid w:val="00080E98"/>
    <w:rsid w:val="000810AC"/>
    <w:rsid w:val="000815B6"/>
    <w:rsid w:val="00081A02"/>
    <w:rsid w:val="00081A18"/>
    <w:rsid w:val="00081FB4"/>
    <w:rsid w:val="00082231"/>
    <w:rsid w:val="00082273"/>
    <w:rsid w:val="000822ED"/>
    <w:rsid w:val="0008355A"/>
    <w:rsid w:val="0008382E"/>
    <w:rsid w:val="0008398A"/>
    <w:rsid w:val="00083D0B"/>
    <w:rsid w:val="00083E26"/>
    <w:rsid w:val="0008456B"/>
    <w:rsid w:val="00084AE0"/>
    <w:rsid w:val="00085376"/>
    <w:rsid w:val="00085AC9"/>
    <w:rsid w:val="0008675C"/>
    <w:rsid w:val="000868B1"/>
    <w:rsid w:val="000869BC"/>
    <w:rsid w:val="00086CAB"/>
    <w:rsid w:val="00086FCF"/>
    <w:rsid w:val="00087D3B"/>
    <w:rsid w:val="000905D9"/>
    <w:rsid w:val="0009096C"/>
    <w:rsid w:val="00090ECE"/>
    <w:rsid w:val="00090F15"/>
    <w:rsid w:val="00091322"/>
    <w:rsid w:val="00091435"/>
    <w:rsid w:val="000914A9"/>
    <w:rsid w:val="000918ED"/>
    <w:rsid w:val="00091933"/>
    <w:rsid w:val="00091C11"/>
    <w:rsid w:val="00091C32"/>
    <w:rsid w:val="00092BD7"/>
    <w:rsid w:val="00092D38"/>
    <w:rsid w:val="000931C7"/>
    <w:rsid w:val="0009377B"/>
    <w:rsid w:val="00093895"/>
    <w:rsid w:val="00093C92"/>
    <w:rsid w:val="000942F3"/>
    <w:rsid w:val="000955DC"/>
    <w:rsid w:val="000955DE"/>
    <w:rsid w:val="000959A8"/>
    <w:rsid w:val="00095D3A"/>
    <w:rsid w:val="00095E6C"/>
    <w:rsid w:val="00096BC8"/>
    <w:rsid w:val="00097C3D"/>
    <w:rsid w:val="00097ED6"/>
    <w:rsid w:val="000A079A"/>
    <w:rsid w:val="000A0B2A"/>
    <w:rsid w:val="000A110D"/>
    <w:rsid w:val="000A17DC"/>
    <w:rsid w:val="000A1E11"/>
    <w:rsid w:val="000A1F68"/>
    <w:rsid w:val="000A20C9"/>
    <w:rsid w:val="000A255C"/>
    <w:rsid w:val="000A3771"/>
    <w:rsid w:val="000A3A9E"/>
    <w:rsid w:val="000A3ED3"/>
    <w:rsid w:val="000A403D"/>
    <w:rsid w:val="000A4506"/>
    <w:rsid w:val="000A460D"/>
    <w:rsid w:val="000A4620"/>
    <w:rsid w:val="000A4702"/>
    <w:rsid w:val="000A4AE9"/>
    <w:rsid w:val="000A4D60"/>
    <w:rsid w:val="000A5803"/>
    <w:rsid w:val="000A5905"/>
    <w:rsid w:val="000A5E08"/>
    <w:rsid w:val="000A64FE"/>
    <w:rsid w:val="000A78E4"/>
    <w:rsid w:val="000A7CAE"/>
    <w:rsid w:val="000A7E02"/>
    <w:rsid w:val="000B04E5"/>
    <w:rsid w:val="000B0558"/>
    <w:rsid w:val="000B058F"/>
    <w:rsid w:val="000B0955"/>
    <w:rsid w:val="000B0D0C"/>
    <w:rsid w:val="000B19BE"/>
    <w:rsid w:val="000B1C50"/>
    <w:rsid w:val="000B1DE6"/>
    <w:rsid w:val="000B1F83"/>
    <w:rsid w:val="000B211E"/>
    <w:rsid w:val="000B24D6"/>
    <w:rsid w:val="000B2C0A"/>
    <w:rsid w:val="000B2CB2"/>
    <w:rsid w:val="000B2D16"/>
    <w:rsid w:val="000B2D8A"/>
    <w:rsid w:val="000B31BD"/>
    <w:rsid w:val="000B3572"/>
    <w:rsid w:val="000B37D8"/>
    <w:rsid w:val="000B3951"/>
    <w:rsid w:val="000B3D72"/>
    <w:rsid w:val="000B40E5"/>
    <w:rsid w:val="000B43A0"/>
    <w:rsid w:val="000B4467"/>
    <w:rsid w:val="000B44D0"/>
    <w:rsid w:val="000B4998"/>
    <w:rsid w:val="000B4C93"/>
    <w:rsid w:val="000B4DB9"/>
    <w:rsid w:val="000B556E"/>
    <w:rsid w:val="000B5777"/>
    <w:rsid w:val="000B6125"/>
    <w:rsid w:val="000B6658"/>
    <w:rsid w:val="000B68F7"/>
    <w:rsid w:val="000B6938"/>
    <w:rsid w:val="000B74A0"/>
    <w:rsid w:val="000B74FD"/>
    <w:rsid w:val="000B7CD9"/>
    <w:rsid w:val="000B7DFE"/>
    <w:rsid w:val="000C0379"/>
    <w:rsid w:val="000C04B0"/>
    <w:rsid w:val="000C07BB"/>
    <w:rsid w:val="000C09AC"/>
    <w:rsid w:val="000C1101"/>
    <w:rsid w:val="000C1CF6"/>
    <w:rsid w:val="000C44A1"/>
    <w:rsid w:val="000C4660"/>
    <w:rsid w:val="000C495D"/>
    <w:rsid w:val="000C4C84"/>
    <w:rsid w:val="000C56C3"/>
    <w:rsid w:val="000C57F9"/>
    <w:rsid w:val="000C5AB0"/>
    <w:rsid w:val="000C5BDC"/>
    <w:rsid w:val="000C5EF3"/>
    <w:rsid w:val="000C6830"/>
    <w:rsid w:val="000C6B16"/>
    <w:rsid w:val="000C72D6"/>
    <w:rsid w:val="000C767F"/>
    <w:rsid w:val="000C79AE"/>
    <w:rsid w:val="000C7D51"/>
    <w:rsid w:val="000D02E6"/>
    <w:rsid w:val="000D05ED"/>
    <w:rsid w:val="000D0637"/>
    <w:rsid w:val="000D0B75"/>
    <w:rsid w:val="000D1218"/>
    <w:rsid w:val="000D1387"/>
    <w:rsid w:val="000D19BB"/>
    <w:rsid w:val="000D1D72"/>
    <w:rsid w:val="000D20BA"/>
    <w:rsid w:val="000D30C3"/>
    <w:rsid w:val="000D32D7"/>
    <w:rsid w:val="000D33C6"/>
    <w:rsid w:val="000D35CA"/>
    <w:rsid w:val="000D365F"/>
    <w:rsid w:val="000D38F1"/>
    <w:rsid w:val="000D395A"/>
    <w:rsid w:val="000D3A12"/>
    <w:rsid w:val="000D3B00"/>
    <w:rsid w:val="000D4297"/>
    <w:rsid w:val="000D46AF"/>
    <w:rsid w:val="000D49FA"/>
    <w:rsid w:val="000D4C93"/>
    <w:rsid w:val="000D51DA"/>
    <w:rsid w:val="000D574A"/>
    <w:rsid w:val="000D5773"/>
    <w:rsid w:val="000D57B9"/>
    <w:rsid w:val="000D5A44"/>
    <w:rsid w:val="000D62E6"/>
    <w:rsid w:val="000D64DF"/>
    <w:rsid w:val="000D7358"/>
    <w:rsid w:val="000D7A2D"/>
    <w:rsid w:val="000D7B86"/>
    <w:rsid w:val="000E008D"/>
    <w:rsid w:val="000E0139"/>
    <w:rsid w:val="000E01E8"/>
    <w:rsid w:val="000E024B"/>
    <w:rsid w:val="000E06B8"/>
    <w:rsid w:val="000E0C8D"/>
    <w:rsid w:val="000E1536"/>
    <w:rsid w:val="000E172B"/>
    <w:rsid w:val="000E18B0"/>
    <w:rsid w:val="000E1A57"/>
    <w:rsid w:val="000E2130"/>
    <w:rsid w:val="000E26DE"/>
    <w:rsid w:val="000E2841"/>
    <w:rsid w:val="000E2C97"/>
    <w:rsid w:val="000E36CE"/>
    <w:rsid w:val="000E37B0"/>
    <w:rsid w:val="000E38A0"/>
    <w:rsid w:val="000E3D98"/>
    <w:rsid w:val="000E3ED2"/>
    <w:rsid w:val="000E3EDF"/>
    <w:rsid w:val="000E4E66"/>
    <w:rsid w:val="000E5463"/>
    <w:rsid w:val="000E549F"/>
    <w:rsid w:val="000E5E1D"/>
    <w:rsid w:val="000E5E99"/>
    <w:rsid w:val="000E642D"/>
    <w:rsid w:val="000E6583"/>
    <w:rsid w:val="000E6636"/>
    <w:rsid w:val="000E6DA4"/>
    <w:rsid w:val="000E6FFB"/>
    <w:rsid w:val="000E71C4"/>
    <w:rsid w:val="000E7540"/>
    <w:rsid w:val="000E78EF"/>
    <w:rsid w:val="000F0106"/>
    <w:rsid w:val="000F08C4"/>
    <w:rsid w:val="000F2010"/>
    <w:rsid w:val="000F2BB2"/>
    <w:rsid w:val="000F2D14"/>
    <w:rsid w:val="000F31CD"/>
    <w:rsid w:val="000F3408"/>
    <w:rsid w:val="000F37F2"/>
    <w:rsid w:val="000F3B18"/>
    <w:rsid w:val="000F3B40"/>
    <w:rsid w:val="000F3B86"/>
    <w:rsid w:val="000F3CD8"/>
    <w:rsid w:val="000F3E37"/>
    <w:rsid w:val="000F4C03"/>
    <w:rsid w:val="000F5108"/>
    <w:rsid w:val="000F5268"/>
    <w:rsid w:val="000F575D"/>
    <w:rsid w:val="000F58AB"/>
    <w:rsid w:val="000F5B70"/>
    <w:rsid w:val="000F6298"/>
    <w:rsid w:val="000F71B3"/>
    <w:rsid w:val="000F74CD"/>
    <w:rsid w:val="000F7671"/>
    <w:rsid w:val="000F7FBD"/>
    <w:rsid w:val="001000DB"/>
    <w:rsid w:val="0010028F"/>
    <w:rsid w:val="001002B7"/>
    <w:rsid w:val="00100730"/>
    <w:rsid w:val="00100BB4"/>
    <w:rsid w:val="00100C70"/>
    <w:rsid w:val="00101088"/>
    <w:rsid w:val="001016AE"/>
    <w:rsid w:val="00101935"/>
    <w:rsid w:val="00101AD5"/>
    <w:rsid w:val="00101B34"/>
    <w:rsid w:val="00102279"/>
    <w:rsid w:val="0010353D"/>
    <w:rsid w:val="00104E88"/>
    <w:rsid w:val="00104F75"/>
    <w:rsid w:val="001056FA"/>
    <w:rsid w:val="00105A57"/>
    <w:rsid w:val="00105D3C"/>
    <w:rsid w:val="001060B2"/>
    <w:rsid w:val="0010667A"/>
    <w:rsid w:val="001066CE"/>
    <w:rsid w:val="00106C82"/>
    <w:rsid w:val="00106CCE"/>
    <w:rsid w:val="001073E1"/>
    <w:rsid w:val="001078DF"/>
    <w:rsid w:val="00107C27"/>
    <w:rsid w:val="001100FA"/>
    <w:rsid w:val="001105FC"/>
    <w:rsid w:val="00110A08"/>
    <w:rsid w:val="00110B43"/>
    <w:rsid w:val="00110CB3"/>
    <w:rsid w:val="00110F84"/>
    <w:rsid w:val="001113FB"/>
    <w:rsid w:val="0011149E"/>
    <w:rsid w:val="00111FB1"/>
    <w:rsid w:val="001124AF"/>
    <w:rsid w:val="001124B2"/>
    <w:rsid w:val="0011274C"/>
    <w:rsid w:val="00112777"/>
    <w:rsid w:val="00112AFB"/>
    <w:rsid w:val="00112BB0"/>
    <w:rsid w:val="00112E80"/>
    <w:rsid w:val="0011523A"/>
    <w:rsid w:val="00115296"/>
    <w:rsid w:val="00115CAF"/>
    <w:rsid w:val="001166FB"/>
    <w:rsid w:val="00116C1F"/>
    <w:rsid w:val="00116D88"/>
    <w:rsid w:val="00116D95"/>
    <w:rsid w:val="001174FB"/>
    <w:rsid w:val="00117ACA"/>
    <w:rsid w:val="00117F51"/>
    <w:rsid w:val="00117F60"/>
    <w:rsid w:val="001200C5"/>
    <w:rsid w:val="00120178"/>
    <w:rsid w:val="00120459"/>
    <w:rsid w:val="00120AC8"/>
    <w:rsid w:val="00121191"/>
    <w:rsid w:val="0012128C"/>
    <w:rsid w:val="0012167F"/>
    <w:rsid w:val="001217A5"/>
    <w:rsid w:val="001217CA"/>
    <w:rsid w:val="00121B99"/>
    <w:rsid w:val="00122271"/>
    <w:rsid w:val="00122417"/>
    <w:rsid w:val="0012260E"/>
    <w:rsid w:val="0012287A"/>
    <w:rsid w:val="0012313A"/>
    <w:rsid w:val="001231D5"/>
    <w:rsid w:val="001232D6"/>
    <w:rsid w:val="001238A4"/>
    <w:rsid w:val="00123DB6"/>
    <w:rsid w:val="00124AD8"/>
    <w:rsid w:val="001258BD"/>
    <w:rsid w:val="00125916"/>
    <w:rsid w:val="00125984"/>
    <w:rsid w:val="001259A0"/>
    <w:rsid w:val="00125FBB"/>
    <w:rsid w:val="0012619B"/>
    <w:rsid w:val="00126436"/>
    <w:rsid w:val="00126DA0"/>
    <w:rsid w:val="00127827"/>
    <w:rsid w:val="00130B86"/>
    <w:rsid w:val="00130CDE"/>
    <w:rsid w:val="001310D1"/>
    <w:rsid w:val="001319D6"/>
    <w:rsid w:val="00131CF2"/>
    <w:rsid w:val="00131F42"/>
    <w:rsid w:val="0013240B"/>
    <w:rsid w:val="00132529"/>
    <w:rsid w:val="00132548"/>
    <w:rsid w:val="0013270C"/>
    <w:rsid w:val="00132B68"/>
    <w:rsid w:val="001331C9"/>
    <w:rsid w:val="00133635"/>
    <w:rsid w:val="00133679"/>
    <w:rsid w:val="00133F23"/>
    <w:rsid w:val="001345A7"/>
    <w:rsid w:val="00134D05"/>
    <w:rsid w:val="00134F22"/>
    <w:rsid w:val="00135027"/>
    <w:rsid w:val="001354E1"/>
    <w:rsid w:val="001357F1"/>
    <w:rsid w:val="001358D8"/>
    <w:rsid w:val="00135D54"/>
    <w:rsid w:val="00135FB9"/>
    <w:rsid w:val="00136488"/>
    <w:rsid w:val="0013687F"/>
    <w:rsid w:val="00136FA7"/>
    <w:rsid w:val="00137487"/>
    <w:rsid w:val="0013751F"/>
    <w:rsid w:val="0014074B"/>
    <w:rsid w:val="00140D9A"/>
    <w:rsid w:val="00140FA8"/>
    <w:rsid w:val="001418B7"/>
    <w:rsid w:val="001419CA"/>
    <w:rsid w:val="0014275B"/>
    <w:rsid w:val="00142D43"/>
    <w:rsid w:val="00142FEB"/>
    <w:rsid w:val="0014306A"/>
    <w:rsid w:val="00143426"/>
    <w:rsid w:val="0014357F"/>
    <w:rsid w:val="00143619"/>
    <w:rsid w:val="001439E3"/>
    <w:rsid w:val="00143A2D"/>
    <w:rsid w:val="00143C36"/>
    <w:rsid w:val="00144637"/>
    <w:rsid w:val="00144990"/>
    <w:rsid w:val="001456F4"/>
    <w:rsid w:val="00145785"/>
    <w:rsid w:val="00145A41"/>
    <w:rsid w:val="00145ADA"/>
    <w:rsid w:val="00145C4C"/>
    <w:rsid w:val="00145EB8"/>
    <w:rsid w:val="001465A0"/>
    <w:rsid w:val="001467D4"/>
    <w:rsid w:val="001469C8"/>
    <w:rsid w:val="00146C1A"/>
    <w:rsid w:val="00146CC1"/>
    <w:rsid w:val="001471B1"/>
    <w:rsid w:val="001476A2"/>
    <w:rsid w:val="0015155E"/>
    <w:rsid w:val="00151675"/>
    <w:rsid w:val="001528F6"/>
    <w:rsid w:val="00152C9C"/>
    <w:rsid w:val="00153E02"/>
    <w:rsid w:val="001540DD"/>
    <w:rsid w:val="00154255"/>
    <w:rsid w:val="0015461C"/>
    <w:rsid w:val="00154A5C"/>
    <w:rsid w:val="00154F60"/>
    <w:rsid w:val="001551A7"/>
    <w:rsid w:val="001551B1"/>
    <w:rsid w:val="0015522F"/>
    <w:rsid w:val="00155A8B"/>
    <w:rsid w:val="00155FB7"/>
    <w:rsid w:val="00156001"/>
    <w:rsid w:val="001563CE"/>
    <w:rsid w:val="00156A31"/>
    <w:rsid w:val="00156D38"/>
    <w:rsid w:val="001571CF"/>
    <w:rsid w:val="00157435"/>
    <w:rsid w:val="0015751D"/>
    <w:rsid w:val="00157D86"/>
    <w:rsid w:val="00160061"/>
    <w:rsid w:val="001605E7"/>
    <w:rsid w:val="00160A15"/>
    <w:rsid w:val="00160F1C"/>
    <w:rsid w:val="00161221"/>
    <w:rsid w:val="001613BB"/>
    <w:rsid w:val="00161B54"/>
    <w:rsid w:val="00162065"/>
    <w:rsid w:val="00162DFB"/>
    <w:rsid w:val="00163AAB"/>
    <w:rsid w:val="001642CC"/>
    <w:rsid w:val="0016483A"/>
    <w:rsid w:val="00164F4F"/>
    <w:rsid w:val="00165285"/>
    <w:rsid w:val="0016571A"/>
    <w:rsid w:val="00165D2C"/>
    <w:rsid w:val="00165D7B"/>
    <w:rsid w:val="001664A0"/>
    <w:rsid w:val="0016767F"/>
    <w:rsid w:val="00167718"/>
    <w:rsid w:val="00167C44"/>
    <w:rsid w:val="00167E02"/>
    <w:rsid w:val="001701A3"/>
    <w:rsid w:val="001702B1"/>
    <w:rsid w:val="00170C8B"/>
    <w:rsid w:val="001716D8"/>
    <w:rsid w:val="00171CD1"/>
    <w:rsid w:val="00171CE6"/>
    <w:rsid w:val="00172587"/>
    <w:rsid w:val="0017273F"/>
    <w:rsid w:val="001738C8"/>
    <w:rsid w:val="001739A2"/>
    <w:rsid w:val="0017416E"/>
    <w:rsid w:val="0017441F"/>
    <w:rsid w:val="00174518"/>
    <w:rsid w:val="001745AC"/>
    <w:rsid w:val="001749FA"/>
    <w:rsid w:val="00174BCE"/>
    <w:rsid w:val="00174CD9"/>
    <w:rsid w:val="00174E12"/>
    <w:rsid w:val="0017503E"/>
    <w:rsid w:val="0017504D"/>
    <w:rsid w:val="0017552D"/>
    <w:rsid w:val="00175ABA"/>
    <w:rsid w:val="001762C2"/>
    <w:rsid w:val="0017637E"/>
    <w:rsid w:val="0017671A"/>
    <w:rsid w:val="00176ADD"/>
    <w:rsid w:val="00176EF4"/>
    <w:rsid w:val="00176F22"/>
    <w:rsid w:val="0017732B"/>
    <w:rsid w:val="00177422"/>
    <w:rsid w:val="00177AE8"/>
    <w:rsid w:val="00177C44"/>
    <w:rsid w:val="00177DB7"/>
    <w:rsid w:val="00177F3A"/>
    <w:rsid w:val="001808E9"/>
    <w:rsid w:val="00180B34"/>
    <w:rsid w:val="00180C05"/>
    <w:rsid w:val="00180CF3"/>
    <w:rsid w:val="00182062"/>
    <w:rsid w:val="0018208D"/>
    <w:rsid w:val="001822B4"/>
    <w:rsid w:val="00182594"/>
    <w:rsid w:val="001825D8"/>
    <w:rsid w:val="00182FDF"/>
    <w:rsid w:val="001840DD"/>
    <w:rsid w:val="001842DB"/>
    <w:rsid w:val="00184327"/>
    <w:rsid w:val="00184590"/>
    <w:rsid w:val="00184938"/>
    <w:rsid w:val="00184B31"/>
    <w:rsid w:val="00184DE1"/>
    <w:rsid w:val="0018519F"/>
    <w:rsid w:val="00185546"/>
    <w:rsid w:val="0018575E"/>
    <w:rsid w:val="001858B6"/>
    <w:rsid w:val="00185A23"/>
    <w:rsid w:val="00185F84"/>
    <w:rsid w:val="00186976"/>
    <w:rsid w:val="00186E1F"/>
    <w:rsid w:val="001870D1"/>
    <w:rsid w:val="001874A1"/>
    <w:rsid w:val="001877B2"/>
    <w:rsid w:val="001877D9"/>
    <w:rsid w:val="0018781E"/>
    <w:rsid w:val="00187E8B"/>
    <w:rsid w:val="001901CB"/>
    <w:rsid w:val="0019094A"/>
    <w:rsid w:val="00190A5D"/>
    <w:rsid w:val="00190C4D"/>
    <w:rsid w:val="00191C0E"/>
    <w:rsid w:val="0019252B"/>
    <w:rsid w:val="00192619"/>
    <w:rsid w:val="0019262D"/>
    <w:rsid w:val="00192882"/>
    <w:rsid w:val="00192C3A"/>
    <w:rsid w:val="001936CD"/>
    <w:rsid w:val="00193972"/>
    <w:rsid w:val="00193B36"/>
    <w:rsid w:val="00194142"/>
    <w:rsid w:val="00194A11"/>
    <w:rsid w:val="00194CF3"/>
    <w:rsid w:val="00194CF4"/>
    <w:rsid w:val="001964E7"/>
    <w:rsid w:val="00196D5E"/>
    <w:rsid w:val="0019716B"/>
    <w:rsid w:val="001975C7"/>
    <w:rsid w:val="00197893"/>
    <w:rsid w:val="00197B7E"/>
    <w:rsid w:val="00197D01"/>
    <w:rsid w:val="00197D90"/>
    <w:rsid w:val="001A1B35"/>
    <w:rsid w:val="001A1DEF"/>
    <w:rsid w:val="001A21EB"/>
    <w:rsid w:val="001A28C6"/>
    <w:rsid w:val="001A29C1"/>
    <w:rsid w:val="001A3011"/>
    <w:rsid w:val="001A3134"/>
    <w:rsid w:val="001A341D"/>
    <w:rsid w:val="001A3EAA"/>
    <w:rsid w:val="001A42E6"/>
    <w:rsid w:val="001A44D8"/>
    <w:rsid w:val="001A48A2"/>
    <w:rsid w:val="001A49FB"/>
    <w:rsid w:val="001A4A3D"/>
    <w:rsid w:val="001A4C60"/>
    <w:rsid w:val="001A5BF2"/>
    <w:rsid w:val="001A5D09"/>
    <w:rsid w:val="001A6257"/>
    <w:rsid w:val="001A6956"/>
    <w:rsid w:val="001A6BA9"/>
    <w:rsid w:val="001A6F61"/>
    <w:rsid w:val="001A7695"/>
    <w:rsid w:val="001A78B6"/>
    <w:rsid w:val="001A7DB5"/>
    <w:rsid w:val="001B0A44"/>
    <w:rsid w:val="001B0BAA"/>
    <w:rsid w:val="001B0F2F"/>
    <w:rsid w:val="001B0F66"/>
    <w:rsid w:val="001B247C"/>
    <w:rsid w:val="001B2582"/>
    <w:rsid w:val="001B2869"/>
    <w:rsid w:val="001B290E"/>
    <w:rsid w:val="001B2A08"/>
    <w:rsid w:val="001B32A4"/>
    <w:rsid w:val="001B337B"/>
    <w:rsid w:val="001B3686"/>
    <w:rsid w:val="001B3DD7"/>
    <w:rsid w:val="001B40C8"/>
    <w:rsid w:val="001B43FE"/>
    <w:rsid w:val="001B4A6E"/>
    <w:rsid w:val="001B4E8C"/>
    <w:rsid w:val="001B529D"/>
    <w:rsid w:val="001B6E28"/>
    <w:rsid w:val="001B72B8"/>
    <w:rsid w:val="001C0384"/>
    <w:rsid w:val="001C06CC"/>
    <w:rsid w:val="001C0DDD"/>
    <w:rsid w:val="001C0E47"/>
    <w:rsid w:val="001C149C"/>
    <w:rsid w:val="001C1A6F"/>
    <w:rsid w:val="001C3374"/>
    <w:rsid w:val="001C3C76"/>
    <w:rsid w:val="001C3CAB"/>
    <w:rsid w:val="001C4109"/>
    <w:rsid w:val="001C4CB7"/>
    <w:rsid w:val="001C4D74"/>
    <w:rsid w:val="001C4D96"/>
    <w:rsid w:val="001C4F2C"/>
    <w:rsid w:val="001C5D8D"/>
    <w:rsid w:val="001C613C"/>
    <w:rsid w:val="001C69B3"/>
    <w:rsid w:val="001C6B42"/>
    <w:rsid w:val="001C6B45"/>
    <w:rsid w:val="001C7340"/>
    <w:rsid w:val="001C79B9"/>
    <w:rsid w:val="001C7A5D"/>
    <w:rsid w:val="001C7D82"/>
    <w:rsid w:val="001C7EED"/>
    <w:rsid w:val="001D046F"/>
    <w:rsid w:val="001D072C"/>
    <w:rsid w:val="001D088F"/>
    <w:rsid w:val="001D0B09"/>
    <w:rsid w:val="001D0BF6"/>
    <w:rsid w:val="001D0D2C"/>
    <w:rsid w:val="001D1224"/>
    <w:rsid w:val="001D1466"/>
    <w:rsid w:val="001D14C8"/>
    <w:rsid w:val="001D16FA"/>
    <w:rsid w:val="001D1A26"/>
    <w:rsid w:val="001D2603"/>
    <w:rsid w:val="001D2EE4"/>
    <w:rsid w:val="001D32CC"/>
    <w:rsid w:val="001D33D6"/>
    <w:rsid w:val="001D3B01"/>
    <w:rsid w:val="001D3CF5"/>
    <w:rsid w:val="001D3FA8"/>
    <w:rsid w:val="001D462E"/>
    <w:rsid w:val="001D4792"/>
    <w:rsid w:val="001D492F"/>
    <w:rsid w:val="001D4D94"/>
    <w:rsid w:val="001D54FD"/>
    <w:rsid w:val="001D5595"/>
    <w:rsid w:val="001D584F"/>
    <w:rsid w:val="001D5A63"/>
    <w:rsid w:val="001D5C01"/>
    <w:rsid w:val="001D5CDE"/>
    <w:rsid w:val="001D669F"/>
    <w:rsid w:val="001D68E6"/>
    <w:rsid w:val="001D7874"/>
    <w:rsid w:val="001D78DA"/>
    <w:rsid w:val="001D7B4C"/>
    <w:rsid w:val="001D7F22"/>
    <w:rsid w:val="001E01D6"/>
    <w:rsid w:val="001E0390"/>
    <w:rsid w:val="001E05CD"/>
    <w:rsid w:val="001E05EA"/>
    <w:rsid w:val="001E0953"/>
    <w:rsid w:val="001E0B03"/>
    <w:rsid w:val="001E0CAB"/>
    <w:rsid w:val="001E10B6"/>
    <w:rsid w:val="001E1938"/>
    <w:rsid w:val="001E3049"/>
    <w:rsid w:val="001E30C8"/>
    <w:rsid w:val="001E32A4"/>
    <w:rsid w:val="001E3723"/>
    <w:rsid w:val="001E38A7"/>
    <w:rsid w:val="001E3A75"/>
    <w:rsid w:val="001E4F81"/>
    <w:rsid w:val="001E4F9E"/>
    <w:rsid w:val="001E5356"/>
    <w:rsid w:val="001E573F"/>
    <w:rsid w:val="001E5820"/>
    <w:rsid w:val="001E5846"/>
    <w:rsid w:val="001E5ACA"/>
    <w:rsid w:val="001E66DB"/>
    <w:rsid w:val="001E6A08"/>
    <w:rsid w:val="001E6C30"/>
    <w:rsid w:val="001E7037"/>
    <w:rsid w:val="001E715A"/>
    <w:rsid w:val="001F0354"/>
    <w:rsid w:val="001F035B"/>
    <w:rsid w:val="001F0F17"/>
    <w:rsid w:val="001F1088"/>
    <w:rsid w:val="001F10EA"/>
    <w:rsid w:val="001F2278"/>
    <w:rsid w:val="001F22A1"/>
    <w:rsid w:val="001F234A"/>
    <w:rsid w:val="001F2A60"/>
    <w:rsid w:val="001F331B"/>
    <w:rsid w:val="001F3347"/>
    <w:rsid w:val="001F34F5"/>
    <w:rsid w:val="001F4666"/>
    <w:rsid w:val="001F48BD"/>
    <w:rsid w:val="001F4E9F"/>
    <w:rsid w:val="001F5D0D"/>
    <w:rsid w:val="001F5EFA"/>
    <w:rsid w:val="001F653D"/>
    <w:rsid w:val="001F69E4"/>
    <w:rsid w:val="001F6C7A"/>
    <w:rsid w:val="001F73EB"/>
    <w:rsid w:val="001F78B3"/>
    <w:rsid w:val="002006E7"/>
    <w:rsid w:val="00200ACD"/>
    <w:rsid w:val="002014E4"/>
    <w:rsid w:val="00201CE6"/>
    <w:rsid w:val="00201DAB"/>
    <w:rsid w:val="00201F23"/>
    <w:rsid w:val="00202358"/>
    <w:rsid w:val="00202E19"/>
    <w:rsid w:val="002031AC"/>
    <w:rsid w:val="00203E4B"/>
    <w:rsid w:val="00204820"/>
    <w:rsid w:val="002048D0"/>
    <w:rsid w:val="00205363"/>
    <w:rsid w:val="00205640"/>
    <w:rsid w:val="002056B2"/>
    <w:rsid w:val="002064EC"/>
    <w:rsid w:val="0020699A"/>
    <w:rsid w:val="00206AF3"/>
    <w:rsid w:val="00206E16"/>
    <w:rsid w:val="002079F9"/>
    <w:rsid w:val="00207A31"/>
    <w:rsid w:val="00207A84"/>
    <w:rsid w:val="00207AF2"/>
    <w:rsid w:val="00207CFA"/>
    <w:rsid w:val="00210494"/>
    <w:rsid w:val="002104DA"/>
    <w:rsid w:val="00210C1F"/>
    <w:rsid w:val="00211854"/>
    <w:rsid w:val="00211D22"/>
    <w:rsid w:val="00211F06"/>
    <w:rsid w:val="002125B4"/>
    <w:rsid w:val="00212765"/>
    <w:rsid w:val="00212988"/>
    <w:rsid w:val="00213A63"/>
    <w:rsid w:val="002141E4"/>
    <w:rsid w:val="002142C5"/>
    <w:rsid w:val="0021520C"/>
    <w:rsid w:val="002155B8"/>
    <w:rsid w:val="0021596F"/>
    <w:rsid w:val="00215CE2"/>
    <w:rsid w:val="00215D6E"/>
    <w:rsid w:val="002161F4"/>
    <w:rsid w:val="002165BE"/>
    <w:rsid w:val="002169B7"/>
    <w:rsid w:val="00220B99"/>
    <w:rsid w:val="0022158F"/>
    <w:rsid w:val="00221795"/>
    <w:rsid w:val="0022184D"/>
    <w:rsid w:val="002218CB"/>
    <w:rsid w:val="002218E6"/>
    <w:rsid w:val="00222232"/>
    <w:rsid w:val="00222758"/>
    <w:rsid w:val="00222FF7"/>
    <w:rsid w:val="002238FF"/>
    <w:rsid w:val="00223905"/>
    <w:rsid w:val="00223B74"/>
    <w:rsid w:val="00224589"/>
    <w:rsid w:val="00224839"/>
    <w:rsid w:val="002249B2"/>
    <w:rsid w:val="00224AB5"/>
    <w:rsid w:val="00224B11"/>
    <w:rsid w:val="00225370"/>
    <w:rsid w:val="0022550E"/>
    <w:rsid w:val="00225630"/>
    <w:rsid w:val="002257A9"/>
    <w:rsid w:val="00225851"/>
    <w:rsid w:val="00225B04"/>
    <w:rsid w:val="00225E7E"/>
    <w:rsid w:val="00225F06"/>
    <w:rsid w:val="00226574"/>
    <w:rsid w:val="00226A79"/>
    <w:rsid w:val="002276A5"/>
    <w:rsid w:val="002276CE"/>
    <w:rsid w:val="002278EC"/>
    <w:rsid w:val="002279CA"/>
    <w:rsid w:val="00230677"/>
    <w:rsid w:val="002308F0"/>
    <w:rsid w:val="00230A83"/>
    <w:rsid w:val="00230EB0"/>
    <w:rsid w:val="002318EF"/>
    <w:rsid w:val="00231AE2"/>
    <w:rsid w:val="00231E7A"/>
    <w:rsid w:val="00232034"/>
    <w:rsid w:val="002323C3"/>
    <w:rsid w:val="0023280E"/>
    <w:rsid w:val="0023285E"/>
    <w:rsid w:val="00232902"/>
    <w:rsid w:val="00233678"/>
    <w:rsid w:val="00233ED5"/>
    <w:rsid w:val="0023471C"/>
    <w:rsid w:val="002347EF"/>
    <w:rsid w:val="002349F4"/>
    <w:rsid w:val="00234B74"/>
    <w:rsid w:val="00234C52"/>
    <w:rsid w:val="00234F91"/>
    <w:rsid w:val="002359DD"/>
    <w:rsid w:val="00236734"/>
    <w:rsid w:val="0023686E"/>
    <w:rsid w:val="00236A51"/>
    <w:rsid w:val="00237260"/>
    <w:rsid w:val="002374FA"/>
    <w:rsid w:val="0023763F"/>
    <w:rsid w:val="002377D1"/>
    <w:rsid w:val="00237839"/>
    <w:rsid w:val="00237A54"/>
    <w:rsid w:val="00237C58"/>
    <w:rsid w:val="00237ED4"/>
    <w:rsid w:val="00240532"/>
    <w:rsid w:val="002409AA"/>
    <w:rsid w:val="00240A0C"/>
    <w:rsid w:val="002423A9"/>
    <w:rsid w:val="00242CB7"/>
    <w:rsid w:val="00243241"/>
    <w:rsid w:val="00243DCC"/>
    <w:rsid w:val="00243F9E"/>
    <w:rsid w:val="002446AE"/>
    <w:rsid w:val="00244AF3"/>
    <w:rsid w:val="00244C80"/>
    <w:rsid w:val="00244FED"/>
    <w:rsid w:val="00245445"/>
    <w:rsid w:val="002455B1"/>
    <w:rsid w:val="00246459"/>
    <w:rsid w:val="0024679E"/>
    <w:rsid w:val="002472D0"/>
    <w:rsid w:val="0024759E"/>
    <w:rsid w:val="002475C3"/>
    <w:rsid w:val="00247781"/>
    <w:rsid w:val="00247CB6"/>
    <w:rsid w:val="00247CEE"/>
    <w:rsid w:val="00247D24"/>
    <w:rsid w:val="00247D97"/>
    <w:rsid w:val="00247DDC"/>
    <w:rsid w:val="00250137"/>
    <w:rsid w:val="00250594"/>
    <w:rsid w:val="002506BC"/>
    <w:rsid w:val="002507D7"/>
    <w:rsid w:val="00250AFB"/>
    <w:rsid w:val="00251377"/>
    <w:rsid w:val="002515CB"/>
    <w:rsid w:val="00251796"/>
    <w:rsid w:val="002519CF"/>
    <w:rsid w:val="002525F6"/>
    <w:rsid w:val="00252C7C"/>
    <w:rsid w:val="00253055"/>
    <w:rsid w:val="00253802"/>
    <w:rsid w:val="00253F3D"/>
    <w:rsid w:val="00254051"/>
    <w:rsid w:val="00254345"/>
    <w:rsid w:val="002545C5"/>
    <w:rsid w:val="00254E01"/>
    <w:rsid w:val="00254F33"/>
    <w:rsid w:val="00255086"/>
    <w:rsid w:val="00255185"/>
    <w:rsid w:val="00255C19"/>
    <w:rsid w:val="00255CBE"/>
    <w:rsid w:val="00256EB3"/>
    <w:rsid w:val="00257059"/>
    <w:rsid w:val="002571A5"/>
    <w:rsid w:val="00257812"/>
    <w:rsid w:val="00257869"/>
    <w:rsid w:val="002578B6"/>
    <w:rsid w:val="00257C68"/>
    <w:rsid w:val="00257C92"/>
    <w:rsid w:val="00257EDE"/>
    <w:rsid w:val="002600FF"/>
    <w:rsid w:val="002604EB"/>
    <w:rsid w:val="00260B99"/>
    <w:rsid w:val="00260E4F"/>
    <w:rsid w:val="0026135E"/>
    <w:rsid w:val="002613F4"/>
    <w:rsid w:val="00261504"/>
    <w:rsid w:val="002624BF"/>
    <w:rsid w:val="002631DE"/>
    <w:rsid w:val="002633EE"/>
    <w:rsid w:val="00263D5B"/>
    <w:rsid w:val="00263DB6"/>
    <w:rsid w:val="002640BE"/>
    <w:rsid w:val="00264557"/>
    <w:rsid w:val="002647F2"/>
    <w:rsid w:val="0026495B"/>
    <w:rsid w:val="00264A49"/>
    <w:rsid w:val="00264CD6"/>
    <w:rsid w:val="00264F47"/>
    <w:rsid w:val="00265015"/>
    <w:rsid w:val="002650AD"/>
    <w:rsid w:val="002656EE"/>
    <w:rsid w:val="0026579E"/>
    <w:rsid w:val="00265F6D"/>
    <w:rsid w:val="002665B5"/>
    <w:rsid w:val="002668ED"/>
    <w:rsid w:val="00266B7E"/>
    <w:rsid w:val="00267935"/>
    <w:rsid w:val="00267E5E"/>
    <w:rsid w:val="002704B9"/>
    <w:rsid w:val="00270586"/>
    <w:rsid w:val="002709C2"/>
    <w:rsid w:val="0027129D"/>
    <w:rsid w:val="00271C90"/>
    <w:rsid w:val="00271ED0"/>
    <w:rsid w:val="002720A3"/>
    <w:rsid w:val="0027241E"/>
    <w:rsid w:val="00272879"/>
    <w:rsid w:val="00272A11"/>
    <w:rsid w:val="00273209"/>
    <w:rsid w:val="002736DE"/>
    <w:rsid w:val="00273FFB"/>
    <w:rsid w:val="002745D9"/>
    <w:rsid w:val="002747DD"/>
    <w:rsid w:val="00274CAC"/>
    <w:rsid w:val="00274F8F"/>
    <w:rsid w:val="002753E4"/>
    <w:rsid w:val="00275822"/>
    <w:rsid w:val="00275DF9"/>
    <w:rsid w:val="00275EDA"/>
    <w:rsid w:val="00275F02"/>
    <w:rsid w:val="00276CCD"/>
    <w:rsid w:val="00276D24"/>
    <w:rsid w:val="002771F4"/>
    <w:rsid w:val="0027720F"/>
    <w:rsid w:val="00277CC5"/>
    <w:rsid w:val="00280350"/>
    <w:rsid w:val="002805AB"/>
    <w:rsid w:val="002808AD"/>
    <w:rsid w:val="00281094"/>
    <w:rsid w:val="00281707"/>
    <w:rsid w:val="00281936"/>
    <w:rsid w:val="00281BC8"/>
    <w:rsid w:val="00281BD2"/>
    <w:rsid w:val="00281CE4"/>
    <w:rsid w:val="00282334"/>
    <w:rsid w:val="002825B2"/>
    <w:rsid w:val="00282AEC"/>
    <w:rsid w:val="00282FAA"/>
    <w:rsid w:val="0028330E"/>
    <w:rsid w:val="00283312"/>
    <w:rsid w:val="002837CC"/>
    <w:rsid w:val="00283B86"/>
    <w:rsid w:val="00283B9D"/>
    <w:rsid w:val="00283C2F"/>
    <w:rsid w:val="00284204"/>
    <w:rsid w:val="0028442A"/>
    <w:rsid w:val="00284621"/>
    <w:rsid w:val="002847B0"/>
    <w:rsid w:val="002848CD"/>
    <w:rsid w:val="002849FA"/>
    <w:rsid w:val="00284C08"/>
    <w:rsid w:val="00284CDB"/>
    <w:rsid w:val="00284F3C"/>
    <w:rsid w:val="0028549F"/>
    <w:rsid w:val="00286D78"/>
    <w:rsid w:val="00286F87"/>
    <w:rsid w:val="0028736B"/>
    <w:rsid w:val="0028797F"/>
    <w:rsid w:val="00287B6B"/>
    <w:rsid w:val="00287CF7"/>
    <w:rsid w:val="00290287"/>
    <w:rsid w:val="002902C8"/>
    <w:rsid w:val="00290BC5"/>
    <w:rsid w:val="00290C9F"/>
    <w:rsid w:val="00290D35"/>
    <w:rsid w:val="00291773"/>
    <w:rsid w:val="00292D31"/>
    <w:rsid w:val="00293121"/>
    <w:rsid w:val="00293271"/>
    <w:rsid w:val="0029342A"/>
    <w:rsid w:val="00293C9E"/>
    <w:rsid w:val="00293E12"/>
    <w:rsid w:val="0029408E"/>
    <w:rsid w:val="002942FB"/>
    <w:rsid w:val="002946F9"/>
    <w:rsid w:val="00295817"/>
    <w:rsid w:val="00296269"/>
    <w:rsid w:val="002A02B2"/>
    <w:rsid w:val="002A0773"/>
    <w:rsid w:val="002A08F7"/>
    <w:rsid w:val="002A0A5D"/>
    <w:rsid w:val="002A0BE9"/>
    <w:rsid w:val="002A0D7F"/>
    <w:rsid w:val="002A0E97"/>
    <w:rsid w:val="002A1245"/>
    <w:rsid w:val="002A168C"/>
    <w:rsid w:val="002A1756"/>
    <w:rsid w:val="002A2894"/>
    <w:rsid w:val="002A2EFD"/>
    <w:rsid w:val="002A3551"/>
    <w:rsid w:val="002A35A3"/>
    <w:rsid w:val="002A3DC7"/>
    <w:rsid w:val="002A3EC3"/>
    <w:rsid w:val="002A3F19"/>
    <w:rsid w:val="002A427B"/>
    <w:rsid w:val="002A4921"/>
    <w:rsid w:val="002A5517"/>
    <w:rsid w:val="002A5933"/>
    <w:rsid w:val="002A5E76"/>
    <w:rsid w:val="002A61D7"/>
    <w:rsid w:val="002A6430"/>
    <w:rsid w:val="002A6DAF"/>
    <w:rsid w:val="002A6FD8"/>
    <w:rsid w:val="002A7041"/>
    <w:rsid w:val="002A75C7"/>
    <w:rsid w:val="002B025B"/>
    <w:rsid w:val="002B02DA"/>
    <w:rsid w:val="002B03D7"/>
    <w:rsid w:val="002B07DC"/>
    <w:rsid w:val="002B09EE"/>
    <w:rsid w:val="002B0B72"/>
    <w:rsid w:val="002B0C21"/>
    <w:rsid w:val="002B1734"/>
    <w:rsid w:val="002B1C54"/>
    <w:rsid w:val="002B1E65"/>
    <w:rsid w:val="002B1F0E"/>
    <w:rsid w:val="002B275F"/>
    <w:rsid w:val="002B3840"/>
    <w:rsid w:val="002B392A"/>
    <w:rsid w:val="002B3BB7"/>
    <w:rsid w:val="002B40E3"/>
    <w:rsid w:val="002B49E2"/>
    <w:rsid w:val="002B4EA0"/>
    <w:rsid w:val="002B531C"/>
    <w:rsid w:val="002B6853"/>
    <w:rsid w:val="002B7411"/>
    <w:rsid w:val="002B742B"/>
    <w:rsid w:val="002B75B3"/>
    <w:rsid w:val="002B75FF"/>
    <w:rsid w:val="002B775B"/>
    <w:rsid w:val="002B7B00"/>
    <w:rsid w:val="002B7C09"/>
    <w:rsid w:val="002B7C44"/>
    <w:rsid w:val="002B7FA3"/>
    <w:rsid w:val="002C0094"/>
    <w:rsid w:val="002C01E6"/>
    <w:rsid w:val="002C0B7B"/>
    <w:rsid w:val="002C27CC"/>
    <w:rsid w:val="002C2B17"/>
    <w:rsid w:val="002C2F34"/>
    <w:rsid w:val="002C2F90"/>
    <w:rsid w:val="002C3832"/>
    <w:rsid w:val="002C38F7"/>
    <w:rsid w:val="002C3DF6"/>
    <w:rsid w:val="002C3E38"/>
    <w:rsid w:val="002C408B"/>
    <w:rsid w:val="002C4373"/>
    <w:rsid w:val="002C462D"/>
    <w:rsid w:val="002C4A2D"/>
    <w:rsid w:val="002C4EC5"/>
    <w:rsid w:val="002C4F61"/>
    <w:rsid w:val="002C516E"/>
    <w:rsid w:val="002C52B9"/>
    <w:rsid w:val="002C5337"/>
    <w:rsid w:val="002C5E4C"/>
    <w:rsid w:val="002C687F"/>
    <w:rsid w:val="002C7729"/>
    <w:rsid w:val="002C78D5"/>
    <w:rsid w:val="002C790E"/>
    <w:rsid w:val="002C7BDD"/>
    <w:rsid w:val="002C7C0D"/>
    <w:rsid w:val="002C7D44"/>
    <w:rsid w:val="002D0376"/>
    <w:rsid w:val="002D069E"/>
    <w:rsid w:val="002D07C7"/>
    <w:rsid w:val="002D082F"/>
    <w:rsid w:val="002D0E60"/>
    <w:rsid w:val="002D1B31"/>
    <w:rsid w:val="002D1E2B"/>
    <w:rsid w:val="002D2426"/>
    <w:rsid w:val="002D243E"/>
    <w:rsid w:val="002D24F4"/>
    <w:rsid w:val="002D26B3"/>
    <w:rsid w:val="002D26E8"/>
    <w:rsid w:val="002D2849"/>
    <w:rsid w:val="002D38B4"/>
    <w:rsid w:val="002D3DD0"/>
    <w:rsid w:val="002D4637"/>
    <w:rsid w:val="002D47A6"/>
    <w:rsid w:val="002D49FD"/>
    <w:rsid w:val="002D5811"/>
    <w:rsid w:val="002D60F3"/>
    <w:rsid w:val="002D694A"/>
    <w:rsid w:val="002D69FB"/>
    <w:rsid w:val="002D6AA8"/>
    <w:rsid w:val="002D72C8"/>
    <w:rsid w:val="002D7831"/>
    <w:rsid w:val="002D7B89"/>
    <w:rsid w:val="002E04FB"/>
    <w:rsid w:val="002E06DB"/>
    <w:rsid w:val="002E080E"/>
    <w:rsid w:val="002E1618"/>
    <w:rsid w:val="002E1F3A"/>
    <w:rsid w:val="002E2125"/>
    <w:rsid w:val="002E234E"/>
    <w:rsid w:val="002E248B"/>
    <w:rsid w:val="002E2914"/>
    <w:rsid w:val="002E298A"/>
    <w:rsid w:val="002E359C"/>
    <w:rsid w:val="002E3631"/>
    <w:rsid w:val="002E413C"/>
    <w:rsid w:val="002E427E"/>
    <w:rsid w:val="002E4300"/>
    <w:rsid w:val="002E4A8A"/>
    <w:rsid w:val="002E5293"/>
    <w:rsid w:val="002E557E"/>
    <w:rsid w:val="002E5E92"/>
    <w:rsid w:val="002E62A1"/>
    <w:rsid w:val="002E63A9"/>
    <w:rsid w:val="002E6772"/>
    <w:rsid w:val="002E7229"/>
    <w:rsid w:val="002E7763"/>
    <w:rsid w:val="002E793E"/>
    <w:rsid w:val="002E7A49"/>
    <w:rsid w:val="002F0409"/>
    <w:rsid w:val="002F0AEA"/>
    <w:rsid w:val="002F18AC"/>
    <w:rsid w:val="002F1A7F"/>
    <w:rsid w:val="002F1CFB"/>
    <w:rsid w:val="002F1F4B"/>
    <w:rsid w:val="002F2AF3"/>
    <w:rsid w:val="002F2B6F"/>
    <w:rsid w:val="002F2CDE"/>
    <w:rsid w:val="002F2DF4"/>
    <w:rsid w:val="002F2E87"/>
    <w:rsid w:val="002F33D3"/>
    <w:rsid w:val="002F3C1A"/>
    <w:rsid w:val="002F3E00"/>
    <w:rsid w:val="002F3E79"/>
    <w:rsid w:val="002F4AA9"/>
    <w:rsid w:val="002F4DB3"/>
    <w:rsid w:val="002F638A"/>
    <w:rsid w:val="002F63CE"/>
    <w:rsid w:val="002F6928"/>
    <w:rsid w:val="002F69F0"/>
    <w:rsid w:val="002F6DA9"/>
    <w:rsid w:val="002F706D"/>
    <w:rsid w:val="002F773E"/>
    <w:rsid w:val="002F775A"/>
    <w:rsid w:val="002F7C0B"/>
    <w:rsid w:val="002F7D5A"/>
    <w:rsid w:val="00300148"/>
    <w:rsid w:val="00300673"/>
    <w:rsid w:val="0030077C"/>
    <w:rsid w:val="00300A30"/>
    <w:rsid w:val="00300AED"/>
    <w:rsid w:val="003010A1"/>
    <w:rsid w:val="00301978"/>
    <w:rsid w:val="00301DD4"/>
    <w:rsid w:val="003023A3"/>
    <w:rsid w:val="00302446"/>
    <w:rsid w:val="003032BD"/>
    <w:rsid w:val="0030332C"/>
    <w:rsid w:val="0030493E"/>
    <w:rsid w:val="00304DB9"/>
    <w:rsid w:val="003051C2"/>
    <w:rsid w:val="003051FF"/>
    <w:rsid w:val="00305665"/>
    <w:rsid w:val="0030586F"/>
    <w:rsid w:val="00305A69"/>
    <w:rsid w:val="003065AB"/>
    <w:rsid w:val="00306833"/>
    <w:rsid w:val="00306CFB"/>
    <w:rsid w:val="00306F6A"/>
    <w:rsid w:val="003077B8"/>
    <w:rsid w:val="00307CCB"/>
    <w:rsid w:val="00307D9D"/>
    <w:rsid w:val="00307F21"/>
    <w:rsid w:val="003107AB"/>
    <w:rsid w:val="003109E1"/>
    <w:rsid w:val="00310D57"/>
    <w:rsid w:val="0031124A"/>
    <w:rsid w:val="00311757"/>
    <w:rsid w:val="0031182B"/>
    <w:rsid w:val="00311C0F"/>
    <w:rsid w:val="00312296"/>
    <w:rsid w:val="00312547"/>
    <w:rsid w:val="003125BF"/>
    <w:rsid w:val="003126D1"/>
    <w:rsid w:val="00312E8E"/>
    <w:rsid w:val="00313AF0"/>
    <w:rsid w:val="00313C64"/>
    <w:rsid w:val="00313C6A"/>
    <w:rsid w:val="003143CD"/>
    <w:rsid w:val="003143E3"/>
    <w:rsid w:val="00314D99"/>
    <w:rsid w:val="00314F0E"/>
    <w:rsid w:val="00315085"/>
    <w:rsid w:val="00315B57"/>
    <w:rsid w:val="00315F66"/>
    <w:rsid w:val="00315F8D"/>
    <w:rsid w:val="0031653D"/>
    <w:rsid w:val="003169DE"/>
    <w:rsid w:val="003171FB"/>
    <w:rsid w:val="00317921"/>
    <w:rsid w:val="0032000C"/>
    <w:rsid w:val="003200F5"/>
    <w:rsid w:val="00320254"/>
    <w:rsid w:val="00320AE2"/>
    <w:rsid w:val="00321283"/>
    <w:rsid w:val="0032139A"/>
    <w:rsid w:val="00321D35"/>
    <w:rsid w:val="00321D8E"/>
    <w:rsid w:val="00321E2D"/>
    <w:rsid w:val="00321F1E"/>
    <w:rsid w:val="00322164"/>
    <w:rsid w:val="00322A10"/>
    <w:rsid w:val="00322AF6"/>
    <w:rsid w:val="00322CB8"/>
    <w:rsid w:val="00322CF9"/>
    <w:rsid w:val="003230B8"/>
    <w:rsid w:val="003233C8"/>
    <w:rsid w:val="0032350D"/>
    <w:rsid w:val="0032371B"/>
    <w:rsid w:val="003238C0"/>
    <w:rsid w:val="00323E1B"/>
    <w:rsid w:val="003243AE"/>
    <w:rsid w:val="003246BA"/>
    <w:rsid w:val="00324741"/>
    <w:rsid w:val="00324C1B"/>
    <w:rsid w:val="00324F2F"/>
    <w:rsid w:val="0032522B"/>
    <w:rsid w:val="00325928"/>
    <w:rsid w:val="00325DB5"/>
    <w:rsid w:val="003261EC"/>
    <w:rsid w:val="00326204"/>
    <w:rsid w:val="003264CA"/>
    <w:rsid w:val="003264D2"/>
    <w:rsid w:val="00326770"/>
    <w:rsid w:val="0032769B"/>
    <w:rsid w:val="003276D1"/>
    <w:rsid w:val="00327F52"/>
    <w:rsid w:val="003302DD"/>
    <w:rsid w:val="00330BA0"/>
    <w:rsid w:val="003315CB"/>
    <w:rsid w:val="00331749"/>
    <w:rsid w:val="0033196D"/>
    <w:rsid w:val="00331DCF"/>
    <w:rsid w:val="00331EFA"/>
    <w:rsid w:val="00331F55"/>
    <w:rsid w:val="0033219F"/>
    <w:rsid w:val="00332863"/>
    <w:rsid w:val="00332965"/>
    <w:rsid w:val="00332D00"/>
    <w:rsid w:val="00332F20"/>
    <w:rsid w:val="0033412B"/>
    <w:rsid w:val="00334286"/>
    <w:rsid w:val="00334519"/>
    <w:rsid w:val="00334ABA"/>
    <w:rsid w:val="00334AE9"/>
    <w:rsid w:val="00334CB9"/>
    <w:rsid w:val="00335195"/>
    <w:rsid w:val="00335485"/>
    <w:rsid w:val="00335823"/>
    <w:rsid w:val="00335CA9"/>
    <w:rsid w:val="00335ED8"/>
    <w:rsid w:val="00335F80"/>
    <w:rsid w:val="0033637A"/>
    <w:rsid w:val="0033684D"/>
    <w:rsid w:val="00336D9F"/>
    <w:rsid w:val="0033774C"/>
    <w:rsid w:val="00337B42"/>
    <w:rsid w:val="00340303"/>
    <w:rsid w:val="00340320"/>
    <w:rsid w:val="00340395"/>
    <w:rsid w:val="00340A44"/>
    <w:rsid w:val="00340A7E"/>
    <w:rsid w:val="00340BF2"/>
    <w:rsid w:val="003418B8"/>
    <w:rsid w:val="0034197D"/>
    <w:rsid w:val="00341B42"/>
    <w:rsid w:val="00342735"/>
    <w:rsid w:val="00342AF5"/>
    <w:rsid w:val="003433AB"/>
    <w:rsid w:val="0034348F"/>
    <w:rsid w:val="00343553"/>
    <w:rsid w:val="00343D68"/>
    <w:rsid w:val="00344313"/>
    <w:rsid w:val="003445CD"/>
    <w:rsid w:val="00344A7A"/>
    <w:rsid w:val="00344AF6"/>
    <w:rsid w:val="00344D50"/>
    <w:rsid w:val="003450B5"/>
    <w:rsid w:val="003453FD"/>
    <w:rsid w:val="0034544E"/>
    <w:rsid w:val="00345B3A"/>
    <w:rsid w:val="0034642A"/>
    <w:rsid w:val="00346BD2"/>
    <w:rsid w:val="00346BDF"/>
    <w:rsid w:val="00346C61"/>
    <w:rsid w:val="00346E31"/>
    <w:rsid w:val="00346EA3"/>
    <w:rsid w:val="00347621"/>
    <w:rsid w:val="00347689"/>
    <w:rsid w:val="00347710"/>
    <w:rsid w:val="00347BAB"/>
    <w:rsid w:val="00350371"/>
    <w:rsid w:val="00350825"/>
    <w:rsid w:val="003511C6"/>
    <w:rsid w:val="00351325"/>
    <w:rsid w:val="00351703"/>
    <w:rsid w:val="00351CAF"/>
    <w:rsid w:val="00352172"/>
    <w:rsid w:val="003522BB"/>
    <w:rsid w:val="003524F1"/>
    <w:rsid w:val="00352780"/>
    <w:rsid w:val="00353581"/>
    <w:rsid w:val="0035360C"/>
    <w:rsid w:val="003536D3"/>
    <w:rsid w:val="00353F06"/>
    <w:rsid w:val="00354166"/>
    <w:rsid w:val="00354289"/>
    <w:rsid w:val="003554F6"/>
    <w:rsid w:val="00356539"/>
    <w:rsid w:val="00356653"/>
    <w:rsid w:val="00357390"/>
    <w:rsid w:val="0035743F"/>
    <w:rsid w:val="003578AF"/>
    <w:rsid w:val="00357BE2"/>
    <w:rsid w:val="003602C4"/>
    <w:rsid w:val="00360503"/>
    <w:rsid w:val="00360669"/>
    <w:rsid w:val="00360C20"/>
    <w:rsid w:val="0036103F"/>
    <w:rsid w:val="003610F0"/>
    <w:rsid w:val="0036154C"/>
    <w:rsid w:val="0036170C"/>
    <w:rsid w:val="003619AE"/>
    <w:rsid w:val="00361B1F"/>
    <w:rsid w:val="00362B94"/>
    <w:rsid w:val="00362BED"/>
    <w:rsid w:val="00362DD0"/>
    <w:rsid w:val="00362F9A"/>
    <w:rsid w:val="0036315D"/>
    <w:rsid w:val="0036364A"/>
    <w:rsid w:val="00363A66"/>
    <w:rsid w:val="00363F10"/>
    <w:rsid w:val="0036451E"/>
    <w:rsid w:val="00364DA5"/>
    <w:rsid w:val="003652FB"/>
    <w:rsid w:val="00365B0E"/>
    <w:rsid w:val="00365C4D"/>
    <w:rsid w:val="00365E2A"/>
    <w:rsid w:val="003664DE"/>
    <w:rsid w:val="00366B9D"/>
    <w:rsid w:val="00366E0F"/>
    <w:rsid w:val="00366F3D"/>
    <w:rsid w:val="00367D35"/>
    <w:rsid w:val="00367E1B"/>
    <w:rsid w:val="00370119"/>
    <w:rsid w:val="00370239"/>
    <w:rsid w:val="003702F9"/>
    <w:rsid w:val="00370335"/>
    <w:rsid w:val="00370403"/>
    <w:rsid w:val="00370504"/>
    <w:rsid w:val="0037057F"/>
    <w:rsid w:val="003706C6"/>
    <w:rsid w:val="00370DB2"/>
    <w:rsid w:val="00370E73"/>
    <w:rsid w:val="00371013"/>
    <w:rsid w:val="0037127D"/>
    <w:rsid w:val="003714A8"/>
    <w:rsid w:val="00371AD6"/>
    <w:rsid w:val="0037215E"/>
    <w:rsid w:val="00372893"/>
    <w:rsid w:val="00372924"/>
    <w:rsid w:val="00372C1D"/>
    <w:rsid w:val="00373121"/>
    <w:rsid w:val="00373178"/>
    <w:rsid w:val="00373378"/>
    <w:rsid w:val="00373FF8"/>
    <w:rsid w:val="003740E3"/>
    <w:rsid w:val="003742B0"/>
    <w:rsid w:val="00374961"/>
    <w:rsid w:val="00374BE6"/>
    <w:rsid w:val="00375018"/>
    <w:rsid w:val="0037504A"/>
    <w:rsid w:val="0037556A"/>
    <w:rsid w:val="003755EE"/>
    <w:rsid w:val="00375827"/>
    <w:rsid w:val="00375B20"/>
    <w:rsid w:val="0037620B"/>
    <w:rsid w:val="00376610"/>
    <w:rsid w:val="00377654"/>
    <w:rsid w:val="00377B5E"/>
    <w:rsid w:val="00377D17"/>
    <w:rsid w:val="0038027E"/>
    <w:rsid w:val="003803A9"/>
    <w:rsid w:val="00380A17"/>
    <w:rsid w:val="00381399"/>
    <w:rsid w:val="00381786"/>
    <w:rsid w:val="00381A72"/>
    <w:rsid w:val="00381B71"/>
    <w:rsid w:val="00381DFC"/>
    <w:rsid w:val="003823CD"/>
    <w:rsid w:val="00382F53"/>
    <w:rsid w:val="00382FBA"/>
    <w:rsid w:val="0038303E"/>
    <w:rsid w:val="0038328B"/>
    <w:rsid w:val="00383399"/>
    <w:rsid w:val="00383758"/>
    <w:rsid w:val="00383AD0"/>
    <w:rsid w:val="0038438F"/>
    <w:rsid w:val="00384676"/>
    <w:rsid w:val="003846E0"/>
    <w:rsid w:val="003847F6"/>
    <w:rsid w:val="003851B9"/>
    <w:rsid w:val="00385479"/>
    <w:rsid w:val="003857C9"/>
    <w:rsid w:val="00386100"/>
    <w:rsid w:val="00386B81"/>
    <w:rsid w:val="003871A3"/>
    <w:rsid w:val="00387FB1"/>
    <w:rsid w:val="00390014"/>
    <w:rsid w:val="00390857"/>
    <w:rsid w:val="00390AC7"/>
    <w:rsid w:val="00390C00"/>
    <w:rsid w:val="00390F98"/>
    <w:rsid w:val="00391528"/>
    <w:rsid w:val="003915E4"/>
    <w:rsid w:val="00391AC3"/>
    <w:rsid w:val="00391CD2"/>
    <w:rsid w:val="0039227C"/>
    <w:rsid w:val="003923C6"/>
    <w:rsid w:val="00392974"/>
    <w:rsid w:val="00392BB1"/>
    <w:rsid w:val="003934B9"/>
    <w:rsid w:val="00393B0A"/>
    <w:rsid w:val="00393F8F"/>
    <w:rsid w:val="00394174"/>
    <w:rsid w:val="00394261"/>
    <w:rsid w:val="0039428A"/>
    <w:rsid w:val="0039511A"/>
    <w:rsid w:val="00395BE6"/>
    <w:rsid w:val="003962A2"/>
    <w:rsid w:val="003965DC"/>
    <w:rsid w:val="003965EC"/>
    <w:rsid w:val="00396C64"/>
    <w:rsid w:val="0039716A"/>
    <w:rsid w:val="003973C9"/>
    <w:rsid w:val="003977E6"/>
    <w:rsid w:val="00397A34"/>
    <w:rsid w:val="003A028F"/>
    <w:rsid w:val="003A0416"/>
    <w:rsid w:val="003A10C1"/>
    <w:rsid w:val="003A12FB"/>
    <w:rsid w:val="003A1A39"/>
    <w:rsid w:val="003A1B16"/>
    <w:rsid w:val="003A1E12"/>
    <w:rsid w:val="003A1EDF"/>
    <w:rsid w:val="003A2380"/>
    <w:rsid w:val="003A2A56"/>
    <w:rsid w:val="003A2D3B"/>
    <w:rsid w:val="003A301E"/>
    <w:rsid w:val="003A3053"/>
    <w:rsid w:val="003A30AB"/>
    <w:rsid w:val="003A3347"/>
    <w:rsid w:val="003A3B75"/>
    <w:rsid w:val="003A3D34"/>
    <w:rsid w:val="003A3DEC"/>
    <w:rsid w:val="003A4116"/>
    <w:rsid w:val="003A4419"/>
    <w:rsid w:val="003A448A"/>
    <w:rsid w:val="003A44C9"/>
    <w:rsid w:val="003A4BF3"/>
    <w:rsid w:val="003A4D9C"/>
    <w:rsid w:val="003A4E6E"/>
    <w:rsid w:val="003A50C4"/>
    <w:rsid w:val="003A5A87"/>
    <w:rsid w:val="003A5E43"/>
    <w:rsid w:val="003A61EA"/>
    <w:rsid w:val="003A67F4"/>
    <w:rsid w:val="003A6D72"/>
    <w:rsid w:val="003A7E5A"/>
    <w:rsid w:val="003A7E83"/>
    <w:rsid w:val="003B057B"/>
    <w:rsid w:val="003B0B76"/>
    <w:rsid w:val="003B17C3"/>
    <w:rsid w:val="003B19FE"/>
    <w:rsid w:val="003B1A0C"/>
    <w:rsid w:val="003B1B2B"/>
    <w:rsid w:val="003B226E"/>
    <w:rsid w:val="003B24DF"/>
    <w:rsid w:val="003B2824"/>
    <w:rsid w:val="003B2DF6"/>
    <w:rsid w:val="003B2E14"/>
    <w:rsid w:val="003B33BC"/>
    <w:rsid w:val="003B3A7E"/>
    <w:rsid w:val="003B420D"/>
    <w:rsid w:val="003B45EE"/>
    <w:rsid w:val="003B4847"/>
    <w:rsid w:val="003B5097"/>
    <w:rsid w:val="003B5112"/>
    <w:rsid w:val="003B5161"/>
    <w:rsid w:val="003B529D"/>
    <w:rsid w:val="003B5611"/>
    <w:rsid w:val="003B607D"/>
    <w:rsid w:val="003B6222"/>
    <w:rsid w:val="003B65DE"/>
    <w:rsid w:val="003B67B0"/>
    <w:rsid w:val="003B6E6F"/>
    <w:rsid w:val="003B6ECB"/>
    <w:rsid w:val="003B73B9"/>
    <w:rsid w:val="003B7713"/>
    <w:rsid w:val="003C077B"/>
    <w:rsid w:val="003C09D0"/>
    <w:rsid w:val="003C0B53"/>
    <w:rsid w:val="003C0EE1"/>
    <w:rsid w:val="003C0EEE"/>
    <w:rsid w:val="003C0F7D"/>
    <w:rsid w:val="003C181C"/>
    <w:rsid w:val="003C1CCA"/>
    <w:rsid w:val="003C2163"/>
    <w:rsid w:val="003C22AB"/>
    <w:rsid w:val="003C2AD7"/>
    <w:rsid w:val="003C3202"/>
    <w:rsid w:val="003C32AA"/>
    <w:rsid w:val="003C3350"/>
    <w:rsid w:val="003C418C"/>
    <w:rsid w:val="003C497B"/>
    <w:rsid w:val="003C4DAF"/>
    <w:rsid w:val="003C56AA"/>
    <w:rsid w:val="003C5740"/>
    <w:rsid w:val="003C601D"/>
    <w:rsid w:val="003C6694"/>
    <w:rsid w:val="003C68D4"/>
    <w:rsid w:val="003C6A1B"/>
    <w:rsid w:val="003C6C16"/>
    <w:rsid w:val="003C7377"/>
    <w:rsid w:val="003C7A07"/>
    <w:rsid w:val="003C7D9E"/>
    <w:rsid w:val="003C7F71"/>
    <w:rsid w:val="003C7FC4"/>
    <w:rsid w:val="003D0127"/>
    <w:rsid w:val="003D01B3"/>
    <w:rsid w:val="003D0D3D"/>
    <w:rsid w:val="003D1264"/>
    <w:rsid w:val="003D13B9"/>
    <w:rsid w:val="003D1441"/>
    <w:rsid w:val="003D2012"/>
    <w:rsid w:val="003D203D"/>
    <w:rsid w:val="003D2090"/>
    <w:rsid w:val="003D22D7"/>
    <w:rsid w:val="003D23C8"/>
    <w:rsid w:val="003D2420"/>
    <w:rsid w:val="003D2671"/>
    <w:rsid w:val="003D269F"/>
    <w:rsid w:val="003D2B3C"/>
    <w:rsid w:val="003D2F44"/>
    <w:rsid w:val="003D2F8A"/>
    <w:rsid w:val="003D3335"/>
    <w:rsid w:val="003D3C77"/>
    <w:rsid w:val="003D44AF"/>
    <w:rsid w:val="003D4679"/>
    <w:rsid w:val="003D4CDC"/>
    <w:rsid w:val="003D5380"/>
    <w:rsid w:val="003D53E7"/>
    <w:rsid w:val="003D572F"/>
    <w:rsid w:val="003D58AA"/>
    <w:rsid w:val="003D5E49"/>
    <w:rsid w:val="003D62AE"/>
    <w:rsid w:val="003D64AC"/>
    <w:rsid w:val="003D6537"/>
    <w:rsid w:val="003D6A34"/>
    <w:rsid w:val="003D794D"/>
    <w:rsid w:val="003E00F3"/>
    <w:rsid w:val="003E0138"/>
    <w:rsid w:val="003E03FE"/>
    <w:rsid w:val="003E0514"/>
    <w:rsid w:val="003E0786"/>
    <w:rsid w:val="003E0998"/>
    <w:rsid w:val="003E1A66"/>
    <w:rsid w:val="003E2554"/>
    <w:rsid w:val="003E2B13"/>
    <w:rsid w:val="003E2D03"/>
    <w:rsid w:val="003E2D13"/>
    <w:rsid w:val="003E3058"/>
    <w:rsid w:val="003E33A2"/>
    <w:rsid w:val="003E341D"/>
    <w:rsid w:val="003E3660"/>
    <w:rsid w:val="003E3F99"/>
    <w:rsid w:val="003E3FAF"/>
    <w:rsid w:val="003E4073"/>
    <w:rsid w:val="003E42A7"/>
    <w:rsid w:val="003E4887"/>
    <w:rsid w:val="003E4DB8"/>
    <w:rsid w:val="003E50A7"/>
    <w:rsid w:val="003E583C"/>
    <w:rsid w:val="003E61BA"/>
    <w:rsid w:val="003E63C5"/>
    <w:rsid w:val="003E67C7"/>
    <w:rsid w:val="003E6F0F"/>
    <w:rsid w:val="003E6F7B"/>
    <w:rsid w:val="003E6FEF"/>
    <w:rsid w:val="003E73D8"/>
    <w:rsid w:val="003E76A9"/>
    <w:rsid w:val="003E7BB1"/>
    <w:rsid w:val="003F0809"/>
    <w:rsid w:val="003F0F93"/>
    <w:rsid w:val="003F1306"/>
    <w:rsid w:val="003F1615"/>
    <w:rsid w:val="003F1765"/>
    <w:rsid w:val="003F1874"/>
    <w:rsid w:val="003F1FAA"/>
    <w:rsid w:val="003F2038"/>
    <w:rsid w:val="003F2043"/>
    <w:rsid w:val="003F22FF"/>
    <w:rsid w:val="003F24F3"/>
    <w:rsid w:val="003F2531"/>
    <w:rsid w:val="003F2CB3"/>
    <w:rsid w:val="003F32BF"/>
    <w:rsid w:val="003F32C5"/>
    <w:rsid w:val="003F3961"/>
    <w:rsid w:val="003F3AE2"/>
    <w:rsid w:val="003F3C8E"/>
    <w:rsid w:val="003F3E3B"/>
    <w:rsid w:val="003F41A6"/>
    <w:rsid w:val="003F42B9"/>
    <w:rsid w:val="003F43C1"/>
    <w:rsid w:val="003F49AC"/>
    <w:rsid w:val="003F53C4"/>
    <w:rsid w:val="003F56C2"/>
    <w:rsid w:val="003F60FA"/>
    <w:rsid w:val="003F6238"/>
    <w:rsid w:val="003F646E"/>
    <w:rsid w:val="003F6A72"/>
    <w:rsid w:val="003F6A8C"/>
    <w:rsid w:val="003F6C1F"/>
    <w:rsid w:val="003F755C"/>
    <w:rsid w:val="003F78CF"/>
    <w:rsid w:val="0040016B"/>
    <w:rsid w:val="00400695"/>
    <w:rsid w:val="00400C93"/>
    <w:rsid w:val="00400DC7"/>
    <w:rsid w:val="004022E1"/>
    <w:rsid w:val="00402D77"/>
    <w:rsid w:val="00402E5A"/>
    <w:rsid w:val="0040374E"/>
    <w:rsid w:val="00403928"/>
    <w:rsid w:val="00403AC9"/>
    <w:rsid w:val="004040ED"/>
    <w:rsid w:val="00404B8C"/>
    <w:rsid w:val="0040534C"/>
    <w:rsid w:val="004055EF"/>
    <w:rsid w:val="00406548"/>
    <w:rsid w:val="00406AD2"/>
    <w:rsid w:val="00406F01"/>
    <w:rsid w:val="00406F31"/>
    <w:rsid w:val="00407415"/>
    <w:rsid w:val="00407659"/>
    <w:rsid w:val="004078DE"/>
    <w:rsid w:val="00407D80"/>
    <w:rsid w:val="00407E55"/>
    <w:rsid w:val="00407F8F"/>
    <w:rsid w:val="00410E43"/>
    <w:rsid w:val="00411622"/>
    <w:rsid w:val="00411772"/>
    <w:rsid w:val="00411A72"/>
    <w:rsid w:val="00411D99"/>
    <w:rsid w:val="00411E15"/>
    <w:rsid w:val="00412950"/>
    <w:rsid w:val="00412CC2"/>
    <w:rsid w:val="00413D7C"/>
    <w:rsid w:val="00413FB0"/>
    <w:rsid w:val="0041417B"/>
    <w:rsid w:val="0041476A"/>
    <w:rsid w:val="00414838"/>
    <w:rsid w:val="00414A84"/>
    <w:rsid w:val="00414EDB"/>
    <w:rsid w:val="00415124"/>
    <w:rsid w:val="00415392"/>
    <w:rsid w:val="0041588B"/>
    <w:rsid w:val="00415E08"/>
    <w:rsid w:val="00415E25"/>
    <w:rsid w:val="004160E0"/>
    <w:rsid w:val="0041636E"/>
    <w:rsid w:val="0041662F"/>
    <w:rsid w:val="00416836"/>
    <w:rsid w:val="004169A2"/>
    <w:rsid w:val="00416D50"/>
    <w:rsid w:val="00416DE5"/>
    <w:rsid w:val="00416FD5"/>
    <w:rsid w:val="004174F5"/>
    <w:rsid w:val="004176A7"/>
    <w:rsid w:val="004176C3"/>
    <w:rsid w:val="004176FD"/>
    <w:rsid w:val="00417771"/>
    <w:rsid w:val="00417772"/>
    <w:rsid w:val="00417897"/>
    <w:rsid w:val="0042052C"/>
    <w:rsid w:val="00420833"/>
    <w:rsid w:val="0042085E"/>
    <w:rsid w:val="00420C28"/>
    <w:rsid w:val="00420D0C"/>
    <w:rsid w:val="00420E6A"/>
    <w:rsid w:val="00421172"/>
    <w:rsid w:val="00421474"/>
    <w:rsid w:val="0042158E"/>
    <w:rsid w:val="004219B9"/>
    <w:rsid w:val="00421CF0"/>
    <w:rsid w:val="00421DFE"/>
    <w:rsid w:val="00422590"/>
    <w:rsid w:val="00422946"/>
    <w:rsid w:val="00422B86"/>
    <w:rsid w:val="00422DC9"/>
    <w:rsid w:val="00422E8E"/>
    <w:rsid w:val="00422F4B"/>
    <w:rsid w:val="00423AD0"/>
    <w:rsid w:val="00423DB8"/>
    <w:rsid w:val="004240F1"/>
    <w:rsid w:val="0042442A"/>
    <w:rsid w:val="00424FFA"/>
    <w:rsid w:val="004252CA"/>
    <w:rsid w:val="004252F8"/>
    <w:rsid w:val="00425636"/>
    <w:rsid w:val="00425A9E"/>
    <w:rsid w:val="00425D5B"/>
    <w:rsid w:val="00425ED7"/>
    <w:rsid w:val="004262B9"/>
    <w:rsid w:val="00426D6B"/>
    <w:rsid w:val="00427630"/>
    <w:rsid w:val="0042764E"/>
    <w:rsid w:val="00427687"/>
    <w:rsid w:val="004303DC"/>
    <w:rsid w:val="00430CCA"/>
    <w:rsid w:val="00430EBE"/>
    <w:rsid w:val="00431D3A"/>
    <w:rsid w:val="00431E6C"/>
    <w:rsid w:val="0043202D"/>
    <w:rsid w:val="00432138"/>
    <w:rsid w:val="00432195"/>
    <w:rsid w:val="00432377"/>
    <w:rsid w:val="00432778"/>
    <w:rsid w:val="00432AC3"/>
    <w:rsid w:val="0043316D"/>
    <w:rsid w:val="004335BA"/>
    <w:rsid w:val="00433CE7"/>
    <w:rsid w:val="00433F82"/>
    <w:rsid w:val="00434FF2"/>
    <w:rsid w:val="00435623"/>
    <w:rsid w:val="004358A1"/>
    <w:rsid w:val="00435943"/>
    <w:rsid w:val="00435FB9"/>
    <w:rsid w:val="0043635F"/>
    <w:rsid w:val="00436590"/>
    <w:rsid w:val="00436CCF"/>
    <w:rsid w:val="00436D08"/>
    <w:rsid w:val="00436DE1"/>
    <w:rsid w:val="00437515"/>
    <w:rsid w:val="004405FF"/>
    <w:rsid w:val="004407C4"/>
    <w:rsid w:val="00441183"/>
    <w:rsid w:val="00441433"/>
    <w:rsid w:val="004414F2"/>
    <w:rsid w:val="00441631"/>
    <w:rsid w:val="00441A04"/>
    <w:rsid w:val="00441CCB"/>
    <w:rsid w:val="004423B3"/>
    <w:rsid w:val="004426DE"/>
    <w:rsid w:val="0044276C"/>
    <w:rsid w:val="00442BAC"/>
    <w:rsid w:val="00442D12"/>
    <w:rsid w:val="00442FE5"/>
    <w:rsid w:val="0044326B"/>
    <w:rsid w:val="004438E8"/>
    <w:rsid w:val="004447F5"/>
    <w:rsid w:val="00444991"/>
    <w:rsid w:val="00444CC3"/>
    <w:rsid w:val="00444EB5"/>
    <w:rsid w:val="00444EDA"/>
    <w:rsid w:val="00445657"/>
    <w:rsid w:val="00445830"/>
    <w:rsid w:val="0044647F"/>
    <w:rsid w:val="004464EC"/>
    <w:rsid w:val="004468A4"/>
    <w:rsid w:val="00447274"/>
    <w:rsid w:val="0044733B"/>
    <w:rsid w:val="00447472"/>
    <w:rsid w:val="00447586"/>
    <w:rsid w:val="00447A6C"/>
    <w:rsid w:val="00447C33"/>
    <w:rsid w:val="00447EBE"/>
    <w:rsid w:val="00450150"/>
    <w:rsid w:val="0045052D"/>
    <w:rsid w:val="004505BD"/>
    <w:rsid w:val="00450A89"/>
    <w:rsid w:val="00450BA0"/>
    <w:rsid w:val="00450DC6"/>
    <w:rsid w:val="00450F29"/>
    <w:rsid w:val="00451757"/>
    <w:rsid w:val="00452738"/>
    <w:rsid w:val="004539DA"/>
    <w:rsid w:val="00453DC1"/>
    <w:rsid w:val="00453EAA"/>
    <w:rsid w:val="00453FDC"/>
    <w:rsid w:val="00454879"/>
    <w:rsid w:val="00454CB6"/>
    <w:rsid w:val="00455734"/>
    <w:rsid w:val="00455910"/>
    <w:rsid w:val="00455E4C"/>
    <w:rsid w:val="00456091"/>
    <w:rsid w:val="0045679B"/>
    <w:rsid w:val="00456BAD"/>
    <w:rsid w:val="00456F0E"/>
    <w:rsid w:val="00456F3B"/>
    <w:rsid w:val="00456F48"/>
    <w:rsid w:val="00457B1F"/>
    <w:rsid w:val="00457F53"/>
    <w:rsid w:val="00460164"/>
    <w:rsid w:val="00460278"/>
    <w:rsid w:val="004604FE"/>
    <w:rsid w:val="004608AB"/>
    <w:rsid w:val="0046092A"/>
    <w:rsid w:val="00460AF7"/>
    <w:rsid w:val="00460D62"/>
    <w:rsid w:val="00460E61"/>
    <w:rsid w:val="00460F20"/>
    <w:rsid w:val="00461A52"/>
    <w:rsid w:val="00461CBC"/>
    <w:rsid w:val="00462039"/>
    <w:rsid w:val="00462F56"/>
    <w:rsid w:val="00463463"/>
    <w:rsid w:val="00463465"/>
    <w:rsid w:val="00463501"/>
    <w:rsid w:val="00463D3F"/>
    <w:rsid w:val="00464056"/>
    <w:rsid w:val="00464691"/>
    <w:rsid w:val="00464C86"/>
    <w:rsid w:val="00464E56"/>
    <w:rsid w:val="00465394"/>
    <w:rsid w:val="004655B7"/>
    <w:rsid w:val="00465CD4"/>
    <w:rsid w:val="00465CEB"/>
    <w:rsid w:val="00466321"/>
    <w:rsid w:val="00466486"/>
    <w:rsid w:val="0046656D"/>
    <w:rsid w:val="00466614"/>
    <w:rsid w:val="00466BA2"/>
    <w:rsid w:val="00466D61"/>
    <w:rsid w:val="004672F8"/>
    <w:rsid w:val="004674CE"/>
    <w:rsid w:val="00467B14"/>
    <w:rsid w:val="00467FF3"/>
    <w:rsid w:val="004703B1"/>
    <w:rsid w:val="0047084A"/>
    <w:rsid w:val="004709AF"/>
    <w:rsid w:val="004712AA"/>
    <w:rsid w:val="00471389"/>
    <w:rsid w:val="0047138D"/>
    <w:rsid w:val="004716C7"/>
    <w:rsid w:val="00471763"/>
    <w:rsid w:val="00471F51"/>
    <w:rsid w:val="004723E9"/>
    <w:rsid w:val="00472A18"/>
    <w:rsid w:val="0047385C"/>
    <w:rsid w:val="004738EE"/>
    <w:rsid w:val="00473AD7"/>
    <w:rsid w:val="00474134"/>
    <w:rsid w:val="00474793"/>
    <w:rsid w:val="00474944"/>
    <w:rsid w:val="004749B2"/>
    <w:rsid w:val="00474CDD"/>
    <w:rsid w:val="00475167"/>
    <w:rsid w:val="00475540"/>
    <w:rsid w:val="004755E8"/>
    <w:rsid w:val="00475E4D"/>
    <w:rsid w:val="00476047"/>
    <w:rsid w:val="004761FE"/>
    <w:rsid w:val="00476411"/>
    <w:rsid w:val="004768E6"/>
    <w:rsid w:val="00476A0B"/>
    <w:rsid w:val="00476CBF"/>
    <w:rsid w:val="00476D62"/>
    <w:rsid w:val="00476E02"/>
    <w:rsid w:val="0047751F"/>
    <w:rsid w:val="00477D4D"/>
    <w:rsid w:val="004806DA"/>
    <w:rsid w:val="00481082"/>
    <w:rsid w:val="00481418"/>
    <w:rsid w:val="00481631"/>
    <w:rsid w:val="004816C8"/>
    <w:rsid w:val="00481D61"/>
    <w:rsid w:val="0048352C"/>
    <w:rsid w:val="0048354D"/>
    <w:rsid w:val="00483685"/>
    <w:rsid w:val="004839A2"/>
    <w:rsid w:val="00483A2A"/>
    <w:rsid w:val="004841A9"/>
    <w:rsid w:val="00484B2B"/>
    <w:rsid w:val="00484B9B"/>
    <w:rsid w:val="00484FA4"/>
    <w:rsid w:val="004855F6"/>
    <w:rsid w:val="00485B57"/>
    <w:rsid w:val="00485E82"/>
    <w:rsid w:val="004863E9"/>
    <w:rsid w:val="0048644B"/>
    <w:rsid w:val="0048661E"/>
    <w:rsid w:val="00486767"/>
    <w:rsid w:val="00486879"/>
    <w:rsid w:val="00486B9D"/>
    <w:rsid w:val="00486D0C"/>
    <w:rsid w:val="00487612"/>
    <w:rsid w:val="00487ACB"/>
    <w:rsid w:val="00487C01"/>
    <w:rsid w:val="00487FDF"/>
    <w:rsid w:val="00490609"/>
    <w:rsid w:val="00490B31"/>
    <w:rsid w:val="00490B36"/>
    <w:rsid w:val="00490BEB"/>
    <w:rsid w:val="00491335"/>
    <w:rsid w:val="00491346"/>
    <w:rsid w:val="00491A8F"/>
    <w:rsid w:val="0049287D"/>
    <w:rsid w:val="004929CB"/>
    <w:rsid w:val="00492EA0"/>
    <w:rsid w:val="004930DF"/>
    <w:rsid w:val="00493329"/>
    <w:rsid w:val="00494670"/>
    <w:rsid w:val="00494935"/>
    <w:rsid w:val="00494A4B"/>
    <w:rsid w:val="00494A67"/>
    <w:rsid w:val="00494B25"/>
    <w:rsid w:val="00494CD5"/>
    <w:rsid w:val="004950DF"/>
    <w:rsid w:val="004953D3"/>
    <w:rsid w:val="00495408"/>
    <w:rsid w:val="00495613"/>
    <w:rsid w:val="0049598C"/>
    <w:rsid w:val="00495FAC"/>
    <w:rsid w:val="00496018"/>
    <w:rsid w:val="00496135"/>
    <w:rsid w:val="00496269"/>
    <w:rsid w:val="00496CF1"/>
    <w:rsid w:val="00496DA4"/>
    <w:rsid w:val="00497DB3"/>
    <w:rsid w:val="004A03A3"/>
    <w:rsid w:val="004A0560"/>
    <w:rsid w:val="004A0602"/>
    <w:rsid w:val="004A0924"/>
    <w:rsid w:val="004A0E91"/>
    <w:rsid w:val="004A2382"/>
    <w:rsid w:val="004A23A1"/>
    <w:rsid w:val="004A23D8"/>
    <w:rsid w:val="004A2642"/>
    <w:rsid w:val="004A2B42"/>
    <w:rsid w:val="004A303B"/>
    <w:rsid w:val="004A3823"/>
    <w:rsid w:val="004A3CC5"/>
    <w:rsid w:val="004A41DB"/>
    <w:rsid w:val="004A45ED"/>
    <w:rsid w:val="004A51D0"/>
    <w:rsid w:val="004A5FC5"/>
    <w:rsid w:val="004A66D4"/>
    <w:rsid w:val="004A6721"/>
    <w:rsid w:val="004A6C46"/>
    <w:rsid w:val="004A72FB"/>
    <w:rsid w:val="004A746E"/>
    <w:rsid w:val="004A74EF"/>
    <w:rsid w:val="004A7F7D"/>
    <w:rsid w:val="004B0122"/>
    <w:rsid w:val="004B0686"/>
    <w:rsid w:val="004B13C8"/>
    <w:rsid w:val="004B14D6"/>
    <w:rsid w:val="004B1860"/>
    <w:rsid w:val="004B1C5A"/>
    <w:rsid w:val="004B2CA3"/>
    <w:rsid w:val="004B2CE5"/>
    <w:rsid w:val="004B2F01"/>
    <w:rsid w:val="004B3159"/>
    <w:rsid w:val="004B35CC"/>
    <w:rsid w:val="004B48A7"/>
    <w:rsid w:val="004B49CE"/>
    <w:rsid w:val="004B4B28"/>
    <w:rsid w:val="004B4B3C"/>
    <w:rsid w:val="004B4FBB"/>
    <w:rsid w:val="004B4FD7"/>
    <w:rsid w:val="004B538D"/>
    <w:rsid w:val="004B53AA"/>
    <w:rsid w:val="004B53BF"/>
    <w:rsid w:val="004B5427"/>
    <w:rsid w:val="004B5DF6"/>
    <w:rsid w:val="004B5E73"/>
    <w:rsid w:val="004B5FC2"/>
    <w:rsid w:val="004B67C5"/>
    <w:rsid w:val="004B691F"/>
    <w:rsid w:val="004B77E1"/>
    <w:rsid w:val="004B7B2B"/>
    <w:rsid w:val="004B7CBF"/>
    <w:rsid w:val="004B7FE6"/>
    <w:rsid w:val="004C0834"/>
    <w:rsid w:val="004C0F41"/>
    <w:rsid w:val="004C1194"/>
    <w:rsid w:val="004C15F6"/>
    <w:rsid w:val="004C18FF"/>
    <w:rsid w:val="004C1F15"/>
    <w:rsid w:val="004C255B"/>
    <w:rsid w:val="004C2979"/>
    <w:rsid w:val="004C377F"/>
    <w:rsid w:val="004C398C"/>
    <w:rsid w:val="004C3E25"/>
    <w:rsid w:val="004C3E82"/>
    <w:rsid w:val="004C44FE"/>
    <w:rsid w:val="004C4D49"/>
    <w:rsid w:val="004C582E"/>
    <w:rsid w:val="004C6E56"/>
    <w:rsid w:val="004C6F27"/>
    <w:rsid w:val="004C758F"/>
    <w:rsid w:val="004C7B70"/>
    <w:rsid w:val="004D00C5"/>
    <w:rsid w:val="004D0343"/>
    <w:rsid w:val="004D0F91"/>
    <w:rsid w:val="004D1786"/>
    <w:rsid w:val="004D17E6"/>
    <w:rsid w:val="004D235E"/>
    <w:rsid w:val="004D2B4A"/>
    <w:rsid w:val="004D2DE5"/>
    <w:rsid w:val="004D2DEF"/>
    <w:rsid w:val="004D30C7"/>
    <w:rsid w:val="004D32E5"/>
    <w:rsid w:val="004D3922"/>
    <w:rsid w:val="004D3B52"/>
    <w:rsid w:val="004D4559"/>
    <w:rsid w:val="004D4800"/>
    <w:rsid w:val="004D4D42"/>
    <w:rsid w:val="004D504B"/>
    <w:rsid w:val="004D57D0"/>
    <w:rsid w:val="004D5A0C"/>
    <w:rsid w:val="004D5D89"/>
    <w:rsid w:val="004D6171"/>
    <w:rsid w:val="004D6225"/>
    <w:rsid w:val="004D67B4"/>
    <w:rsid w:val="004D74AD"/>
    <w:rsid w:val="004D753E"/>
    <w:rsid w:val="004D7AAE"/>
    <w:rsid w:val="004E00B2"/>
    <w:rsid w:val="004E01D0"/>
    <w:rsid w:val="004E0933"/>
    <w:rsid w:val="004E11BD"/>
    <w:rsid w:val="004E1220"/>
    <w:rsid w:val="004E13EC"/>
    <w:rsid w:val="004E152A"/>
    <w:rsid w:val="004E1871"/>
    <w:rsid w:val="004E19E3"/>
    <w:rsid w:val="004E2024"/>
    <w:rsid w:val="004E20F9"/>
    <w:rsid w:val="004E24B6"/>
    <w:rsid w:val="004E305B"/>
    <w:rsid w:val="004E3CEA"/>
    <w:rsid w:val="004E3FE8"/>
    <w:rsid w:val="004E50CD"/>
    <w:rsid w:val="004E5490"/>
    <w:rsid w:val="004E55F0"/>
    <w:rsid w:val="004E57AF"/>
    <w:rsid w:val="004E5A7E"/>
    <w:rsid w:val="004E5E5C"/>
    <w:rsid w:val="004E5FD5"/>
    <w:rsid w:val="004E5FFF"/>
    <w:rsid w:val="004E68AE"/>
    <w:rsid w:val="004E6946"/>
    <w:rsid w:val="004E7517"/>
    <w:rsid w:val="004E776E"/>
    <w:rsid w:val="004E7783"/>
    <w:rsid w:val="004E7833"/>
    <w:rsid w:val="004F00AD"/>
    <w:rsid w:val="004F0650"/>
    <w:rsid w:val="004F0E77"/>
    <w:rsid w:val="004F109A"/>
    <w:rsid w:val="004F1214"/>
    <w:rsid w:val="004F1394"/>
    <w:rsid w:val="004F1AD8"/>
    <w:rsid w:val="004F1B47"/>
    <w:rsid w:val="004F2311"/>
    <w:rsid w:val="004F25D0"/>
    <w:rsid w:val="004F35CE"/>
    <w:rsid w:val="004F3860"/>
    <w:rsid w:val="004F3873"/>
    <w:rsid w:val="004F39C9"/>
    <w:rsid w:val="004F5884"/>
    <w:rsid w:val="004F62B7"/>
    <w:rsid w:val="004F63E1"/>
    <w:rsid w:val="004F716F"/>
    <w:rsid w:val="004F7290"/>
    <w:rsid w:val="004F7308"/>
    <w:rsid w:val="004F74D7"/>
    <w:rsid w:val="004F7883"/>
    <w:rsid w:val="0050022F"/>
    <w:rsid w:val="00500794"/>
    <w:rsid w:val="00500883"/>
    <w:rsid w:val="00500B16"/>
    <w:rsid w:val="00500BB0"/>
    <w:rsid w:val="00500D83"/>
    <w:rsid w:val="005010A1"/>
    <w:rsid w:val="00501613"/>
    <w:rsid w:val="00501627"/>
    <w:rsid w:val="005018EE"/>
    <w:rsid w:val="0050199E"/>
    <w:rsid w:val="00501CA3"/>
    <w:rsid w:val="005027D8"/>
    <w:rsid w:val="00502959"/>
    <w:rsid w:val="00502984"/>
    <w:rsid w:val="00502DFE"/>
    <w:rsid w:val="00503028"/>
    <w:rsid w:val="00503201"/>
    <w:rsid w:val="005032F9"/>
    <w:rsid w:val="005032FC"/>
    <w:rsid w:val="005039CB"/>
    <w:rsid w:val="00503AE6"/>
    <w:rsid w:val="00503B9C"/>
    <w:rsid w:val="00504120"/>
    <w:rsid w:val="00504CC4"/>
    <w:rsid w:val="00504F15"/>
    <w:rsid w:val="00505023"/>
    <w:rsid w:val="005054D2"/>
    <w:rsid w:val="0050558F"/>
    <w:rsid w:val="00505864"/>
    <w:rsid w:val="00505B1A"/>
    <w:rsid w:val="00505C3D"/>
    <w:rsid w:val="005061EB"/>
    <w:rsid w:val="00506286"/>
    <w:rsid w:val="00506454"/>
    <w:rsid w:val="00506642"/>
    <w:rsid w:val="00506B23"/>
    <w:rsid w:val="00506D05"/>
    <w:rsid w:val="00506D0E"/>
    <w:rsid w:val="0050778F"/>
    <w:rsid w:val="0050796F"/>
    <w:rsid w:val="00507BB6"/>
    <w:rsid w:val="005104BE"/>
    <w:rsid w:val="00510813"/>
    <w:rsid w:val="005109CC"/>
    <w:rsid w:val="005109F7"/>
    <w:rsid w:val="00510D9E"/>
    <w:rsid w:val="005111D3"/>
    <w:rsid w:val="005112C6"/>
    <w:rsid w:val="005115EE"/>
    <w:rsid w:val="005116B8"/>
    <w:rsid w:val="0051183A"/>
    <w:rsid w:val="00511990"/>
    <w:rsid w:val="00511CEF"/>
    <w:rsid w:val="00511DE0"/>
    <w:rsid w:val="005128AE"/>
    <w:rsid w:val="00513157"/>
    <w:rsid w:val="005131DF"/>
    <w:rsid w:val="00513354"/>
    <w:rsid w:val="005136C7"/>
    <w:rsid w:val="005137AC"/>
    <w:rsid w:val="00513AA3"/>
    <w:rsid w:val="00514276"/>
    <w:rsid w:val="005146C9"/>
    <w:rsid w:val="005147AF"/>
    <w:rsid w:val="00514870"/>
    <w:rsid w:val="00514B9B"/>
    <w:rsid w:val="00514C2A"/>
    <w:rsid w:val="0051516F"/>
    <w:rsid w:val="005154CE"/>
    <w:rsid w:val="005155AE"/>
    <w:rsid w:val="00515712"/>
    <w:rsid w:val="005158EA"/>
    <w:rsid w:val="0051674E"/>
    <w:rsid w:val="005173F0"/>
    <w:rsid w:val="00517520"/>
    <w:rsid w:val="005178CF"/>
    <w:rsid w:val="00517BF4"/>
    <w:rsid w:val="00517F02"/>
    <w:rsid w:val="00520039"/>
    <w:rsid w:val="0052009F"/>
    <w:rsid w:val="005200B1"/>
    <w:rsid w:val="00520246"/>
    <w:rsid w:val="00520358"/>
    <w:rsid w:val="00520373"/>
    <w:rsid w:val="005205F2"/>
    <w:rsid w:val="00520640"/>
    <w:rsid w:val="00520649"/>
    <w:rsid w:val="00520657"/>
    <w:rsid w:val="00520AAF"/>
    <w:rsid w:val="00520C83"/>
    <w:rsid w:val="00520CA3"/>
    <w:rsid w:val="00521F7F"/>
    <w:rsid w:val="005227BE"/>
    <w:rsid w:val="005227C3"/>
    <w:rsid w:val="00522C3E"/>
    <w:rsid w:val="00522F28"/>
    <w:rsid w:val="005237F0"/>
    <w:rsid w:val="00524303"/>
    <w:rsid w:val="00524424"/>
    <w:rsid w:val="005246A6"/>
    <w:rsid w:val="00524A2B"/>
    <w:rsid w:val="005258A2"/>
    <w:rsid w:val="00525BFF"/>
    <w:rsid w:val="00525D59"/>
    <w:rsid w:val="00525D71"/>
    <w:rsid w:val="00526D74"/>
    <w:rsid w:val="00527556"/>
    <w:rsid w:val="00527561"/>
    <w:rsid w:val="00530745"/>
    <w:rsid w:val="00530900"/>
    <w:rsid w:val="005315C9"/>
    <w:rsid w:val="00531648"/>
    <w:rsid w:val="00531DEE"/>
    <w:rsid w:val="005324FF"/>
    <w:rsid w:val="00532B8F"/>
    <w:rsid w:val="00533365"/>
    <w:rsid w:val="00533480"/>
    <w:rsid w:val="0053372C"/>
    <w:rsid w:val="005345FF"/>
    <w:rsid w:val="00534D15"/>
    <w:rsid w:val="00534F0B"/>
    <w:rsid w:val="00535556"/>
    <w:rsid w:val="005361C9"/>
    <w:rsid w:val="005373C9"/>
    <w:rsid w:val="00537B1F"/>
    <w:rsid w:val="00537BE3"/>
    <w:rsid w:val="00537D2B"/>
    <w:rsid w:val="00540124"/>
    <w:rsid w:val="005401AE"/>
    <w:rsid w:val="005405D4"/>
    <w:rsid w:val="00540B24"/>
    <w:rsid w:val="00541029"/>
    <w:rsid w:val="0054106B"/>
    <w:rsid w:val="00541F18"/>
    <w:rsid w:val="0054207F"/>
    <w:rsid w:val="0054268D"/>
    <w:rsid w:val="005427FE"/>
    <w:rsid w:val="00542AD2"/>
    <w:rsid w:val="00542CCC"/>
    <w:rsid w:val="00542E07"/>
    <w:rsid w:val="005434E1"/>
    <w:rsid w:val="00543C07"/>
    <w:rsid w:val="00543C6F"/>
    <w:rsid w:val="0054441A"/>
    <w:rsid w:val="00544850"/>
    <w:rsid w:val="00545424"/>
    <w:rsid w:val="00545B7A"/>
    <w:rsid w:val="00545BA5"/>
    <w:rsid w:val="00545C25"/>
    <w:rsid w:val="00545E2D"/>
    <w:rsid w:val="00546437"/>
    <w:rsid w:val="005469AF"/>
    <w:rsid w:val="00546BDB"/>
    <w:rsid w:val="00546F93"/>
    <w:rsid w:val="00547163"/>
    <w:rsid w:val="00547565"/>
    <w:rsid w:val="00550554"/>
    <w:rsid w:val="0055091C"/>
    <w:rsid w:val="00550FA4"/>
    <w:rsid w:val="00551223"/>
    <w:rsid w:val="00551501"/>
    <w:rsid w:val="00551900"/>
    <w:rsid w:val="00551FDA"/>
    <w:rsid w:val="005521C1"/>
    <w:rsid w:val="005523E0"/>
    <w:rsid w:val="005525DC"/>
    <w:rsid w:val="005525EE"/>
    <w:rsid w:val="00552C52"/>
    <w:rsid w:val="00552F6B"/>
    <w:rsid w:val="00553234"/>
    <w:rsid w:val="005534D5"/>
    <w:rsid w:val="00553B4A"/>
    <w:rsid w:val="00553F40"/>
    <w:rsid w:val="0055423B"/>
    <w:rsid w:val="0055498B"/>
    <w:rsid w:val="00554A7B"/>
    <w:rsid w:val="00554A90"/>
    <w:rsid w:val="00554BBF"/>
    <w:rsid w:val="00554CBE"/>
    <w:rsid w:val="00555255"/>
    <w:rsid w:val="005552A5"/>
    <w:rsid w:val="0055572C"/>
    <w:rsid w:val="005557C3"/>
    <w:rsid w:val="00555A7A"/>
    <w:rsid w:val="00555D77"/>
    <w:rsid w:val="0055643E"/>
    <w:rsid w:val="00556E95"/>
    <w:rsid w:val="005571B3"/>
    <w:rsid w:val="00557402"/>
    <w:rsid w:val="00557738"/>
    <w:rsid w:val="00557F32"/>
    <w:rsid w:val="00560164"/>
    <w:rsid w:val="005601CF"/>
    <w:rsid w:val="00560249"/>
    <w:rsid w:val="00560333"/>
    <w:rsid w:val="0056076D"/>
    <w:rsid w:val="00560A83"/>
    <w:rsid w:val="00560A97"/>
    <w:rsid w:val="0056106A"/>
    <w:rsid w:val="00561EB5"/>
    <w:rsid w:val="00561EEF"/>
    <w:rsid w:val="0056224A"/>
    <w:rsid w:val="00562674"/>
    <w:rsid w:val="005627AE"/>
    <w:rsid w:val="0056294A"/>
    <w:rsid w:val="00562BAA"/>
    <w:rsid w:val="005635C2"/>
    <w:rsid w:val="00563923"/>
    <w:rsid w:val="005639E4"/>
    <w:rsid w:val="005641E0"/>
    <w:rsid w:val="00564377"/>
    <w:rsid w:val="0056448D"/>
    <w:rsid w:val="0056473A"/>
    <w:rsid w:val="00564785"/>
    <w:rsid w:val="00564FCF"/>
    <w:rsid w:val="0056510F"/>
    <w:rsid w:val="0056526A"/>
    <w:rsid w:val="00566605"/>
    <w:rsid w:val="0056681C"/>
    <w:rsid w:val="005670A4"/>
    <w:rsid w:val="00567825"/>
    <w:rsid w:val="00567949"/>
    <w:rsid w:val="00567A7D"/>
    <w:rsid w:val="00570113"/>
    <w:rsid w:val="005703E8"/>
    <w:rsid w:val="0057092A"/>
    <w:rsid w:val="00570A89"/>
    <w:rsid w:val="0057137A"/>
    <w:rsid w:val="00571565"/>
    <w:rsid w:val="00571EFE"/>
    <w:rsid w:val="0057201A"/>
    <w:rsid w:val="005720AE"/>
    <w:rsid w:val="00572576"/>
    <w:rsid w:val="005729B2"/>
    <w:rsid w:val="00572FA4"/>
    <w:rsid w:val="00572FEE"/>
    <w:rsid w:val="00573D54"/>
    <w:rsid w:val="00574020"/>
    <w:rsid w:val="0057407C"/>
    <w:rsid w:val="00574370"/>
    <w:rsid w:val="00574502"/>
    <w:rsid w:val="005745DD"/>
    <w:rsid w:val="00574795"/>
    <w:rsid w:val="005752AD"/>
    <w:rsid w:val="005752F8"/>
    <w:rsid w:val="0057564E"/>
    <w:rsid w:val="005762A7"/>
    <w:rsid w:val="00576421"/>
    <w:rsid w:val="00576651"/>
    <w:rsid w:val="0057668C"/>
    <w:rsid w:val="00576919"/>
    <w:rsid w:val="00576CE7"/>
    <w:rsid w:val="0057703D"/>
    <w:rsid w:val="00577582"/>
    <w:rsid w:val="00577830"/>
    <w:rsid w:val="005778C9"/>
    <w:rsid w:val="00577B36"/>
    <w:rsid w:val="00577BC9"/>
    <w:rsid w:val="00577EA6"/>
    <w:rsid w:val="00577ECF"/>
    <w:rsid w:val="00580189"/>
    <w:rsid w:val="0058031E"/>
    <w:rsid w:val="0058069F"/>
    <w:rsid w:val="00580B21"/>
    <w:rsid w:val="005819DE"/>
    <w:rsid w:val="00582353"/>
    <w:rsid w:val="00582590"/>
    <w:rsid w:val="005826AD"/>
    <w:rsid w:val="005826CE"/>
    <w:rsid w:val="005837C0"/>
    <w:rsid w:val="00583BA3"/>
    <w:rsid w:val="00584C43"/>
    <w:rsid w:val="00584DC6"/>
    <w:rsid w:val="005852D4"/>
    <w:rsid w:val="00585383"/>
    <w:rsid w:val="00585574"/>
    <w:rsid w:val="00585CBD"/>
    <w:rsid w:val="00585D63"/>
    <w:rsid w:val="00586071"/>
    <w:rsid w:val="0058622D"/>
    <w:rsid w:val="005862C1"/>
    <w:rsid w:val="00586BA1"/>
    <w:rsid w:val="00586D38"/>
    <w:rsid w:val="0058725E"/>
    <w:rsid w:val="00587261"/>
    <w:rsid w:val="00590226"/>
    <w:rsid w:val="0059054E"/>
    <w:rsid w:val="00590FC1"/>
    <w:rsid w:val="005910D6"/>
    <w:rsid w:val="00591164"/>
    <w:rsid w:val="0059118A"/>
    <w:rsid w:val="00591196"/>
    <w:rsid w:val="00591C5E"/>
    <w:rsid w:val="00592223"/>
    <w:rsid w:val="0059236C"/>
    <w:rsid w:val="005937CF"/>
    <w:rsid w:val="00593D29"/>
    <w:rsid w:val="005944C5"/>
    <w:rsid w:val="005946D3"/>
    <w:rsid w:val="00594AF1"/>
    <w:rsid w:val="00594D77"/>
    <w:rsid w:val="00594FF1"/>
    <w:rsid w:val="00595477"/>
    <w:rsid w:val="005954B9"/>
    <w:rsid w:val="00595A9C"/>
    <w:rsid w:val="0059655C"/>
    <w:rsid w:val="00596944"/>
    <w:rsid w:val="005969E4"/>
    <w:rsid w:val="00596B70"/>
    <w:rsid w:val="00596BFD"/>
    <w:rsid w:val="005970C6"/>
    <w:rsid w:val="00597F07"/>
    <w:rsid w:val="005A06B7"/>
    <w:rsid w:val="005A09B7"/>
    <w:rsid w:val="005A1759"/>
    <w:rsid w:val="005A179E"/>
    <w:rsid w:val="005A19F9"/>
    <w:rsid w:val="005A1BFE"/>
    <w:rsid w:val="005A291F"/>
    <w:rsid w:val="005A2B93"/>
    <w:rsid w:val="005A4414"/>
    <w:rsid w:val="005A51DD"/>
    <w:rsid w:val="005A52C2"/>
    <w:rsid w:val="005A55F7"/>
    <w:rsid w:val="005A566D"/>
    <w:rsid w:val="005A57FC"/>
    <w:rsid w:val="005A5C81"/>
    <w:rsid w:val="005A5E21"/>
    <w:rsid w:val="005A6660"/>
    <w:rsid w:val="005A68A7"/>
    <w:rsid w:val="005A68EB"/>
    <w:rsid w:val="005A6BB9"/>
    <w:rsid w:val="005A7026"/>
    <w:rsid w:val="005A7095"/>
    <w:rsid w:val="005A72A3"/>
    <w:rsid w:val="005A7547"/>
    <w:rsid w:val="005A754B"/>
    <w:rsid w:val="005A78F3"/>
    <w:rsid w:val="005A792A"/>
    <w:rsid w:val="005B0B9B"/>
    <w:rsid w:val="005B0C1B"/>
    <w:rsid w:val="005B0EE1"/>
    <w:rsid w:val="005B1500"/>
    <w:rsid w:val="005B1A6F"/>
    <w:rsid w:val="005B1C72"/>
    <w:rsid w:val="005B1D7A"/>
    <w:rsid w:val="005B2043"/>
    <w:rsid w:val="005B27BE"/>
    <w:rsid w:val="005B2AB9"/>
    <w:rsid w:val="005B31AD"/>
    <w:rsid w:val="005B35AB"/>
    <w:rsid w:val="005B4B66"/>
    <w:rsid w:val="005B5F51"/>
    <w:rsid w:val="005B5F57"/>
    <w:rsid w:val="005B62E5"/>
    <w:rsid w:val="005B62F8"/>
    <w:rsid w:val="005B6FB5"/>
    <w:rsid w:val="005B7060"/>
    <w:rsid w:val="005B7837"/>
    <w:rsid w:val="005B7AC6"/>
    <w:rsid w:val="005B7B3B"/>
    <w:rsid w:val="005C081A"/>
    <w:rsid w:val="005C0B20"/>
    <w:rsid w:val="005C0B6A"/>
    <w:rsid w:val="005C0FB1"/>
    <w:rsid w:val="005C1118"/>
    <w:rsid w:val="005C2251"/>
    <w:rsid w:val="005C23C0"/>
    <w:rsid w:val="005C2667"/>
    <w:rsid w:val="005C27B5"/>
    <w:rsid w:val="005C2DA8"/>
    <w:rsid w:val="005C2E2F"/>
    <w:rsid w:val="005C2ED6"/>
    <w:rsid w:val="005C2FF5"/>
    <w:rsid w:val="005C3922"/>
    <w:rsid w:val="005C4766"/>
    <w:rsid w:val="005C4CCB"/>
    <w:rsid w:val="005C594D"/>
    <w:rsid w:val="005C68FE"/>
    <w:rsid w:val="005C6945"/>
    <w:rsid w:val="005C6A6B"/>
    <w:rsid w:val="005C6CFD"/>
    <w:rsid w:val="005C70A1"/>
    <w:rsid w:val="005C7349"/>
    <w:rsid w:val="005C73F5"/>
    <w:rsid w:val="005C75A1"/>
    <w:rsid w:val="005C75DD"/>
    <w:rsid w:val="005C7E75"/>
    <w:rsid w:val="005D04CA"/>
    <w:rsid w:val="005D0665"/>
    <w:rsid w:val="005D08DF"/>
    <w:rsid w:val="005D1379"/>
    <w:rsid w:val="005D16CA"/>
    <w:rsid w:val="005D1AC5"/>
    <w:rsid w:val="005D1BFD"/>
    <w:rsid w:val="005D1F48"/>
    <w:rsid w:val="005D2ABB"/>
    <w:rsid w:val="005D2EF2"/>
    <w:rsid w:val="005D2F34"/>
    <w:rsid w:val="005D331E"/>
    <w:rsid w:val="005D336E"/>
    <w:rsid w:val="005D36AB"/>
    <w:rsid w:val="005D3793"/>
    <w:rsid w:val="005D3CD1"/>
    <w:rsid w:val="005D3DE6"/>
    <w:rsid w:val="005D3ED6"/>
    <w:rsid w:val="005D42D8"/>
    <w:rsid w:val="005D54E8"/>
    <w:rsid w:val="005D55C1"/>
    <w:rsid w:val="005D59EA"/>
    <w:rsid w:val="005D5D4D"/>
    <w:rsid w:val="005D688E"/>
    <w:rsid w:val="005D68F6"/>
    <w:rsid w:val="005D6F31"/>
    <w:rsid w:val="005D751C"/>
    <w:rsid w:val="005D7F9E"/>
    <w:rsid w:val="005E02F2"/>
    <w:rsid w:val="005E0354"/>
    <w:rsid w:val="005E067E"/>
    <w:rsid w:val="005E084F"/>
    <w:rsid w:val="005E0F72"/>
    <w:rsid w:val="005E116A"/>
    <w:rsid w:val="005E1444"/>
    <w:rsid w:val="005E14B7"/>
    <w:rsid w:val="005E1A78"/>
    <w:rsid w:val="005E1B4A"/>
    <w:rsid w:val="005E1D8F"/>
    <w:rsid w:val="005E1F26"/>
    <w:rsid w:val="005E2399"/>
    <w:rsid w:val="005E2670"/>
    <w:rsid w:val="005E2D94"/>
    <w:rsid w:val="005E2E80"/>
    <w:rsid w:val="005E35CE"/>
    <w:rsid w:val="005E3A57"/>
    <w:rsid w:val="005E3C09"/>
    <w:rsid w:val="005E4156"/>
    <w:rsid w:val="005E41BE"/>
    <w:rsid w:val="005E422C"/>
    <w:rsid w:val="005E4D07"/>
    <w:rsid w:val="005E54BD"/>
    <w:rsid w:val="005E606C"/>
    <w:rsid w:val="005E66A7"/>
    <w:rsid w:val="005E6B48"/>
    <w:rsid w:val="005E72FD"/>
    <w:rsid w:val="005E7BC6"/>
    <w:rsid w:val="005E7CF3"/>
    <w:rsid w:val="005F0283"/>
    <w:rsid w:val="005F042E"/>
    <w:rsid w:val="005F080D"/>
    <w:rsid w:val="005F0904"/>
    <w:rsid w:val="005F1139"/>
    <w:rsid w:val="005F134A"/>
    <w:rsid w:val="005F20E4"/>
    <w:rsid w:val="005F2D25"/>
    <w:rsid w:val="005F306F"/>
    <w:rsid w:val="005F3648"/>
    <w:rsid w:val="005F3B06"/>
    <w:rsid w:val="005F3ED6"/>
    <w:rsid w:val="005F56A4"/>
    <w:rsid w:val="005F5ACB"/>
    <w:rsid w:val="005F5AF7"/>
    <w:rsid w:val="005F5B5F"/>
    <w:rsid w:val="005F5F94"/>
    <w:rsid w:val="005F627F"/>
    <w:rsid w:val="005F6311"/>
    <w:rsid w:val="005F722C"/>
    <w:rsid w:val="005F7598"/>
    <w:rsid w:val="006010AD"/>
    <w:rsid w:val="006019A2"/>
    <w:rsid w:val="00601CC8"/>
    <w:rsid w:val="00601D18"/>
    <w:rsid w:val="006023ED"/>
    <w:rsid w:val="00602A39"/>
    <w:rsid w:val="006035C1"/>
    <w:rsid w:val="00603BF0"/>
    <w:rsid w:val="00604033"/>
    <w:rsid w:val="006045A8"/>
    <w:rsid w:val="00604709"/>
    <w:rsid w:val="006047CF"/>
    <w:rsid w:val="0060488F"/>
    <w:rsid w:val="00604E3B"/>
    <w:rsid w:val="00604E9E"/>
    <w:rsid w:val="0060572A"/>
    <w:rsid w:val="0060599A"/>
    <w:rsid w:val="00605B9B"/>
    <w:rsid w:val="00605C15"/>
    <w:rsid w:val="00605E5C"/>
    <w:rsid w:val="0060733F"/>
    <w:rsid w:val="00607455"/>
    <w:rsid w:val="00607DDB"/>
    <w:rsid w:val="00611736"/>
    <w:rsid w:val="00611B12"/>
    <w:rsid w:val="0061221F"/>
    <w:rsid w:val="0061234B"/>
    <w:rsid w:val="0061248D"/>
    <w:rsid w:val="00612F01"/>
    <w:rsid w:val="00613087"/>
    <w:rsid w:val="00613538"/>
    <w:rsid w:val="0061359B"/>
    <w:rsid w:val="00613E31"/>
    <w:rsid w:val="006146DB"/>
    <w:rsid w:val="00614A4A"/>
    <w:rsid w:val="00614AD6"/>
    <w:rsid w:val="00614DEF"/>
    <w:rsid w:val="00614F1E"/>
    <w:rsid w:val="006154FD"/>
    <w:rsid w:val="00615A77"/>
    <w:rsid w:val="00615DBB"/>
    <w:rsid w:val="00616137"/>
    <w:rsid w:val="006166F7"/>
    <w:rsid w:val="00616724"/>
    <w:rsid w:val="0061729F"/>
    <w:rsid w:val="00617727"/>
    <w:rsid w:val="00617A26"/>
    <w:rsid w:val="00617CC3"/>
    <w:rsid w:val="00620337"/>
    <w:rsid w:val="006203D6"/>
    <w:rsid w:val="00620B2E"/>
    <w:rsid w:val="00620B49"/>
    <w:rsid w:val="00620CD9"/>
    <w:rsid w:val="00620D89"/>
    <w:rsid w:val="00621075"/>
    <w:rsid w:val="00621458"/>
    <w:rsid w:val="0062157C"/>
    <w:rsid w:val="00621747"/>
    <w:rsid w:val="0062199F"/>
    <w:rsid w:val="00621F67"/>
    <w:rsid w:val="00622722"/>
    <w:rsid w:val="00622765"/>
    <w:rsid w:val="006229A2"/>
    <w:rsid w:val="00622C26"/>
    <w:rsid w:val="00623202"/>
    <w:rsid w:val="006236DB"/>
    <w:rsid w:val="00623CB3"/>
    <w:rsid w:val="00624017"/>
    <w:rsid w:val="00624456"/>
    <w:rsid w:val="00624B89"/>
    <w:rsid w:val="00626330"/>
    <w:rsid w:val="00626A47"/>
    <w:rsid w:val="00626C61"/>
    <w:rsid w:val="00627012"/>
    <w:rsid w:val="00627056"/>
    <w:rsid w:val="00627EF8"/>
    <w:rsid w:val="00630E35"/>
    <w:rsid w:val="00631209"/>
    <w:rsid w:val="00631988"/>
    <w:rsid w:val="00632455"/>
    <w:rsid w:val="006325BE"/>
    <w:rsid w:val="0063278C"/>
    <w:rsid w:val="006329D5"/>
    <w:rsid w:val="006335EB"/>
    <w:rsid w:val="00634132"/>
    <w:rsid w:val="00634933"/>
    <w:rsid w:val="00634B54"/>
    <w:rsid w:val="00634DE2"/>
    <w:rsid w:val="006353CA"/>
    <w:rsid w:val="00635420"/>
    <w:rsid w:val="00635A8F"/>
    <w:rsid w:val="0063603F"/>
    <w:rsid w:val="006367F9"/>
    <w:rsid w:val="00636FE4"/>
    <w:rsid w:val="006372DE"/>
    <w:rsid w:val="0063776F"/>
    <w:rsid w:val="006377A6"/>
    <w:rsid w:val="00637818"/>
    <w:rsid w:val="006378E2"/>
    <w:rsid w:val="00637978"/>
    <w:rsid w:val="00637A3D"/>
    <w:rsid w:val="00637DC6"/>
    <w:rsid w:val="0064002D"/>
    <w:rsid w:val="0064118D"/>
    <w:rsid w:val="006411EF"/>
    <w:rsid w:val="00641C39"/>
    <w:rsid w:val="0064233E"/>
    <w:rsid w:val="00642409"/>
    <w:rsid w:val="0064251A"/>
    <w:rsid w:val="006439F2"/>
    <w:rsid w:val="00644562"/>
    <w:rsid w:val="0064461C"/>
    <w:rsid w:val="00644ACE"/>
    <w:rsid w:val="00644C26"/>
    <w:rsid w:val="00645072"/>
    <w:rsid w:val="00645081"/>
    <w:rsid w:val="006460E6"/>
    <w:rsid w:val="006464B2"/>
    <w:rsid w:val="006467B2"/>
    <w:rsid w:val="00646ECC"/>
    <w:rsid w:val="006476A8"/>
    <w:rsid w:val="00647835"/>
    <w:rsid w:val="00647E45"/>
    <w:rsid w:val="00650AA5"/>
    <w:rsid w:val="0065109D"/>
    <w:rsid w:val="00651103"/>
    <w:rsid w:val="006511DF"/>
    <w:rsid w:val="006515EC"/>
    <w:rsid w:val="00651D79"/>
    <w:rsid w:val="0065252B"/>
    <w:rsid w:val="00652DFB"/>
    <w:rsid w:val="00652EEF"/>
    <w:rsid w:val="0065353A"/>
    <w:rsid w:val="00653BE6"/>
    <w:rsid w:val="00653C02"/>
    <w:rsid w:val="00653D9A"/>
    <w:rsid w:val="0065485C"/>
    <w:rsid w:val="006549D0"/>
    <w:rsid w:val="00654F75"/>
    <w:rsid w:val="0065561C"/>
    <w:rsid w:val="00656715"/>
    <w:rsid w:val="00656ABE"/>
    <w:rsid w:val="00656EE7"/>
    <w:rsid w:val="00657282"/>
    <w:rsid w:val="00657343"/>
    <w:rsid w:val="00657D29"/>
    <w:rsid w:val="006601F8"/>
    <w:rsid w:val="0066022F"/>
    <w:rsid w:val="006602C0"/>
    <w:rsid w:val="00660453"/>
    <w:rsid w:val="006606DF"/>
    <w:rsid w:val="00660901"/>
    <w:rsid w:val="00660C47"/>
    <w:rsid w:val="0066103B"/>
    <w:rsid w:val="00661247"/>
    <w:rsid w:val="006614E9"/>
    <w:rsid w:val="00661853"/>
    <w:rsid w:val="00662475"/>
    <w:rsid w:val="006624D6"/>
    <w:rsid w:val="00662C64"/>
    <w:rsid w:val="00662CD8"/>
    <w:rsid w:val="00662D9E"/>
    <w:rsid w:val="00662E60"/>
    <w:rsid w:val="00663250"/>
    <w:rsid w:val="00663662"/>
    <w:rsid w:val="00663984"/>
    <w:rsid w:val="00663C0E"/>
    <w:rsid w:val="006640C9"/>
    <w:rsid w:val="0066582F"/>
    <w:rsid w:val="00666270"/>
    <w:rsid w:val="006668FB"/>
    <w:rsid w:val="00666A0B"/>
    <w:rsid w:val="00666C3D"/>
    <w:rsid w:val="00666D1D"/>
    <w:rsid w:val="00666ED1"/>
    <w:rsid w:val="0066706A"/>
    <w:rsid w:val="00670BA9"/>
    <w:rsid w:val="006712C9"/>
    <w:rsid w:val="00671367"/>
    <w:rsid w:val="00671A24"/>
    <w:rsid w:val="00672772"/>
    <w:rsid w:val="00672B87"/>
    <w:rsid w:val="0067321F"/>
    <w:rsid w:val="00673CAF"/>
    <w:rsid w:val="00673FAF"/>
    <w:rsid w:val="006742A5"/>
    <w:rsid w:val="006747EF"/>
    <w:rsid w:val="006748B8"/>
    <w:rsid w:val="00674972"/>
    <w:rsid w:val="0067673E"/>
    <w:rsid w:val="0067702F"/>
    <w:rsid w:val="006775C3"/>
    <w:rsid w:val="00677608"/>
    <w:rsid w:val="00677FAB"/>
    <w:rsid w:val="00680259"/>
    <w:rsid w:val="00680800"/>
    <w:rsid w:val="0068081F"/>
    <w:rsid w:val="00680953"/>
    <w:rsid w:val="00680A72"/>
    <w:rsid w:val="00680E93"/>
    <w:rsid w:val="0068128E"/>
    <w:rsid w:val="00681DA8"/>
    <w:rsid w:val="006824AD"/>
    <w:rsid w:val="0068260C"/>
    <w:rsid w:val="00682A70"/>
    <w:rsid w:val="00683019"/>
    <w:rsid w:val="0068433C"/>
    <w:rsid w:val="00684B7E"/>
    <w:rsid w:val="00685378"/>
    <w:rsid w:val="00685E21"/>
    <w:rsid w:val="00686C80"/>
    <w:rsid w:val="00687076"/>
    <w:rsid w:val="0068768C"/>
    <w:rsid w:val="006903CA"/>
    <w:rsid w:val="006905FB"/>
    <w:rsid w:val="00690D39"/>
    <w:rsid w:val="006911C6"/>
    <w:rsid w:val="00691A35"/>
    <w:rsid w:val="0069290A"/>
    <w:rsid w:val="006935C5"/>
    <w:rsid w:val="006938D6"/>
    <w:rsid w:val="006938E8"/>
    <w:rsid w:val="006939E5"/>
    <w:rsid w:val="006946A7"/>
    <w:rsid w:val="00694922"/>
    <w:rsid w:val="00694ADA"/>
    <w:rsid w:val="00695056"/>
    <w:rsid w:val="006950E9"/>
    <w:rsid w:val="00695245"/>
    <w:rsid w:val="00695A25"/>
    <w:rsid w:val="006962CB"/>
    <w:rsid w:val="00696CC0"/>
    <w:rsid w:val="006976D8"/>
    <w:rsid w:val="006976E8"/>
    <w:rsid w:val="00697739"/>
    <w:rsid w:val="0069775A"/>
    <w:rsid w:val="00697813"/>
    <w:rsid w:val="00697BBE"/>
    <w:rsid w:val="00697BCF"/>
    <w:rsid w:val="00697BFE"/>
    <w:rsid w:val="006A0B38"/>
    <w:rsid w:val="006A10F4"/>
    <w:rsid w:val="006A12A8"/>
    <w:rsid w:val="006A1C78"/>
    <w:rsid w:val="006A2176"/>
    <w:rsid w:val="006A297A"/>
    <w:rsid w:val="006A2CBE"/>
    <w:rsid w:val="006A3384"/>
    <w:rsid w:val="006A356D"/>
    <w:rsid w:val="006A3BC2"/>
    <w:rsid w:val="006A3E95"/>
    <w:rsid w:val="006A3EE8"/>
    <w:rsid w:val="006A426B"/>
    <w:rsid w:val="006A464B"/>
    <w:rsid w:val="006A49F6"/>
    <w:rsid w:val="006A4BED"/>
    <w:rsid w:val="006A4CD6"/>
    <w:rsid w:val="006A5D1F"/>
    <w:rsid w:val="006A60BF"/>
    <w:rsid w:val="006A6154"/>
    <w:rsid w:val="006A63C1"/>
    <w:rsid w:val="006A66C2"/>
    <w:rsid w:val="006A6727"/>
    <w:rsid w:val="006A6BC6"/>
    <w:rsid w:val="006A6BD3"/>
    <w:rsid w:val="006A72BF"/>
    <w:rsid w:val="006A767C"/>
    <w:rsid w:val="006A7A9B"/>
    <w:rsid w:val="006A7F2E"/>
    <w:rsid w:val="006B03F2"/>
    <w:rsid w:val="006B0A6A"/>
    <w:rsid w:val="006B0F9A"/>
    <w:rsid w:val="006B13C1"/>
    <w:rsid w:val="006B17EC"/>
    <w:rsid w:val="006B18B8"/>
    <w:rsid w:val="006B1E3D"/>
    <w:rsid w:val="006B232D"/>
    <w:rsid w:val="006B2F1F"/>
    <w:rsid w:val="006B2FB8"/>
    <w:rsid w:val="006B3358"/>
    <w:rsid w:val="006B34A0"/>
    <w:rsid w:val="006B369E"/>
    <w:rsid w:val="006B37DC"/>
    <w:rsid w:val="006B3EFE"/>
    <w:rsid w:val="006B48D3"/>
    <w:rsid w:val="006B4B71"/>
    <w:rsid w:val="006B4F68"/>
    <w:rsid w:val="006B5482"/>
    <w:rsid w:val="006B5707"/>
    <w:rsid w:val="006B5A17"/>
    <w:rsid w:val="006B66DB"/>
    <w:rsid w:val="006B67F3"/>
    <w:rsid w:val="006B6830"/>
    <w:rsid w:val="006B71EB"/>
    <w:rsid w:val="006B753A"/>
    <w:rsid w:val="006B75CE"/>
    <w:rsid w:val="006B77F5"/>
    <w:rsid w:val="006B7AC5"/>
    <w:rsid w:val="006C057C"/>
    <w:rsid w:val="006C0592"/>
    <w:rsid w:val="006C0647"/>
    <w:rsid w:val="006C0B39"/>
    <w:rsid w:val="006C0F27"/>
    <w:rsid w:val="006C128B"/>
    <w:rsid w:val="006C19CF"/>
    <w:rsid w:val="006C272E"/>
    <w:rsid w:val="006C29E4"/>
    <w:rsid w:val="006C2B26"/>
    <w:rsid w:val="006C3914"/>
    <w:rsid w:val="006C3B3F"/>
    <w:rsid w:val="006C4042"/>
    <w:rsid w:val="006C40F0"/>
    <w:rsid w:val="006C4899"/>
    <w:rsid w:val="006C4D3F"/>
    <w:rsid w:val="006C4F1D"/>
    <w:rsid w:val="006C5120"/>
    <w:rsid w:val="006C51A6"/>
    <w:rsid w:val="006C5479"/>
    <w:rsid w:val="006C5A89"/>
    <w:rsid w:val="006C5C34"/>
    <w:rsid w:val="006C623C"/>
    <w:rsid w:val="006C66ED"/>
    <w:rsid w:val="006C6980"/>
    <w:rsid w:val="006C6CD4"/>
    <w:rsid w:val="006C70F4"/>
    <w:rsid w:val="006C7359"/>
    <w:rsid w:val="006C77E6"/>
    <w:rsid w:val="006C7802"/>
    <w:rsid w:val="006C79B7"/>
    <w:rsid w:val="006C7B26"/>
    <w:rsid w:val="006D063F"/>
    <w:rsid w:val="006D0CC8"/>
    <w:rsid w:val="006D13B5"/>
    <w:rsid w:val="006D15A9"/>
    <w:rsid w:val="006D1849"/>
    <w:rsid w:val="006D1E5A"/>
    <w:rsid w:val="006D2488"/>
    <w:rsid w:val="006D25DF"/>
    <w:rsid w:val="006D27B7"/>
    <w:rsid w:val="006D3039"/>
    <w:rsid w:val="006D319C"/>
    <w:rsid w:val="006D4B21"/>
    <w:rsid w:val="006D4BD8"/>
    <w:rsid w:val="006D50A0"/>
    <w:rsid w:val="006D5122"/>
    <w:rsid w:val="006D5218"/>
    <w:rsid w:val="006D53D4"/>
    <w:rsid w:val="006D5DED"/>
    <w:rsid w:val="006D6746"/>
    <w:rsid w:val="006D6DDC"/>
    <w:rsid w:val="006D6E25"/>
    <w:rsid w:val="006D71DC"/>
    <w:rsid w:val="006D730B"/>
    <w:rsid w:val="006D78D5"/>
    <w:rsid w:val="006E016D"/>
    <w:rsid w:val="006E0354"/>
    <w:rsid w:val="006E0488"/>
    <w:rsid w:val="006E05AC"/>
    <w:rsid w:val="006E0985"/>
    <w:rsid w:val="006E0F59"/>
    <w:rsid w:val="006E12FF"/>
    <w:rsid w:val="006E14BE"/>
    <w:rsid w:val="006E1607"/>
    <w:rsid w:val="006E1BDE"/>
    <w:rsid w:val="006E265B"/>
    <w:rsid w:val="006E2D65"/>
    <w:rsid w:val="006E2D82"/>
    <w:rsid w:val="006E30BD"/>
    <w:rsid w:val="006E38F4"/>
    <w:rsid w:val="006E4533"/>
    <w:rsid w:val="006E4768"/>
    <w:rsid w:val="006E48E0"/>
    <w:rsid w:val="006E53B7"/>
    <w:rsid w:val="006E6038"/>
    <w:rsid w:val="006E6045"/>
    <w:rsid w:val="006E607E"/>
    <w:rsid w:val="006E624A"/>
    <w:rsid w:val="006E643E"/>
    <w:rsid w:val="006E6482"/>
    <w:rsid w:val="006E66EF"/>
    <w:rsid w:val="006E6746"/>
    <w:rsid w:val="006E7347"/>
    <w:rsid w:val="006E765A"/>
    <w:rsid w:val="006E781A"/>
    <w:rsid w:val="006F0701"/>
    <w:rsid w:val="006F082B"/>
    <w:rsid w:val="006F154D"/>
    <w:rsid w:val="006F1694"/>
    <w:rsid w:val="006F20B8"/>
    <w:rsid w:val="006F2BB1"/>
    <w:rsid w:val="006F2BF3"/>
    <w:rsid w:val="006F310D"/>
    <w:rsid w:val="006F4830"/>
    <w:rsid w:val="006F5003"/>
    <w:rsid w:val="006F50D5"/>
    <w:rsid w:val="006F52BC"/>
    <w:rsid w:val="006F630F"/>
    <w:rsid w:val="006F668B"/>
    <w:rsid w:val="006F687B"/>
    <w:rsid w:val="006F6E93"/>
    <w:rsid w:val="006F75CD"/>
    <w:rsid w:val="0070046D"/>
    <w:rsid w:val="007006A5"/>
    <w:rsid w:val="007007B3"/>
    <w:rsid w:val="007007F3"/>
    <w:rsid w:val="007009CA"/>
    <w:rsid w:val="00700BCF"/>
    <w:rsid w:val="00700D31"/>
    <w:rsid w:val="007010FA"/>
    <w:rsid w:val="00701214"/>
    <w:rsid w:val="007012AF"/>
    <w:rsid w:val="00701368"/>
    <w:rsid w:val="00701A7F"/>
    <w:rsid w:val="00701AD7"/>
    <w:rsid w:val="00701CC4"/>
    <w:rsid w:val="00701D28"/>
    <w:rsid w:val="007023E2"/>
    <w:rsid w:val="00702F56"/>
    <w:rsid w:val="00703006"/>
    <w:rsid w:val="0070307B"/>
    <w:rsid w:val="007032BE"/>
    <w:rsid w:val="00703635"/>
    <w:rsid w:val="00703780"/>
    <w:rsid w:val="007037A2"/>
    <w:rsid w:val="00704008"/>
    <w:rsid w:val="007041FF"/>
    <w:rsid w:val="0070479B"/>
    <w:rsid w:val="007048CA"/>
    <w:rsid w:val="00704C52"/>
    <w:rsid w:val="007051C7"/>
    <w:rsid w:val="00705869"/>
    <w:rsid w:val="00705BD9"/>
    <w:rsid w:val="00705DA0"/>
    <w:rsid w:val="007064A6"/>
    <w:rsid w:val="00706596"/>
    <w:rsid w:val="00706C5D"/>
    <w:rsid w:val="007077D1"/>
    <w:rsid w:val="007103A8"/>
    <w:rsid w:val="00710774"/>
    <w:rsid w:val="00710AD3"/>
    <w:rsid w:val="00710C82"/>
    <w:rsid w:val="007114A6"/>
    <w:rsid w:val="0071226D"/>
    <w:rsid w:val="0071284E"/>
    <w:rsid w:val="007130D9"/>
    <w:rsid w:val="007135AC"/>
    <w:rsid w:val="007135BA"/>
    <w:rsid w:val="00713626"/>
    <w:rsid w:val="00713864"/>
    <w:rsid w:val="00713C5D"/>
    <w:rsid w:val="00714087"/>
    <w:rsid w:val="007141F0"/>
    <w:rsid w:val="007142B9"/>
    <w:rsid w:val="00714721"/>
    <w:rsid w:val="00714990"/>
    <w:rsid w:val="00714C2E"/>
    <w:rsid w:val="00715009"/>
    <w:rsid w:val="007152FA"/>
    <w:rsid w:val="00715D6C"/>
    <w:rsid w:val="00715F36"/>
    <w:rsid w:val="00716197"/>
    <w:rsid w:val="00716896"/>
    <w:rsid w:val="00716982"/>
    <w:rsid w:val="00716F3C"/>
    <w:rsid w:val="007179F6"/>
    <w:rsid w:val="00720027"/>
    <w:rsid w:val="00720497"/>
    <w:rsid w:val="007204C4"/>
    <w:rsid w:val="00720508"/>
    <w:rsid w:val="00720CC5"/>
    <w:rsid w:val="0072139B"/>
    <w:rsid w:val="007216F0"/>
    <w:rsid w:val="00721A0D"/>
    <w:rsid w:val="00721AF2"/>
    <w:rsid w:val="00721CFB"/>
    <w:rsid w:val="007225AB"/>
    <w:rsid w:val="00722678"/>
    <w:rsid w:val="00722B16"/>
    <w:rsid w:val="00723417"/>
    <w:rsid w:val="007237C8"/>
    <w:rsid w:val="00724041"/>
    <w:rsid w:val="00724268"/>
    <w:rsid w:val="007247E7"/>
    <w:rsid w:val="007248B8"/>
    <w:rsid w:val="00724984"/>
    <w:rsid w:val="00725F1C"/>
    <w:rsid w:val="00725F93"/>
    <w:rsid w:val="0072680A"/>
    <w:rsid w:val="007269D6"/>
    <w:rsid w:val="00726B70"/>
    <w:rsid w:val="00726C86"/>
    <w:rsid w:val="007271D1"/>
    <w:rsid w:val="00727D7F"/>
    <w:rsid w:val="00730081"/>
    <w:rsid w:val="00730307"/>
    <w:rsid w:val="007310D9"/>
    <w:rsid w:val="007319CF"/>
    <w:rsid w:val="00732530"/>
    <w:rsid w:val="00732862"/>
    <w:rsid w:val="00732922"/>
    <w:rsid w:val="00733464"/>
    <w:rsid w:val="007337CE"/>
    <w:rsid w:val="007338BF"/>
    <w:rsid w:val="00733911"/>
    <w:rsid w:val="007341EF"/>
    <w:rsid w:val="007343F6"/>
    <w:rsid w:val="00734C08"/>
    <w:rsid w:val="0073502C"/>
    <w:rsid w:val="007355C5"/>
    <w:rsid w:val="007356D8"/>
    <w:rsid w:val="00735736"/>
    <w:rsid w:val="00735B79"/>
    <w:rsid w:val="00735F42"/>
    <w:rsid w:val="00736140"/>
    <w:rsid w:val="00736967"/>
    <w:rsid w:val="00736A9A"/>
    <w:rsid w:val="00737180"/>
    <w:rsid w:val="00737343"/>
    <w:rsid w:val="00737461"/>
    <w:rsid w:val="007377E8"/>
    <w:rsid w:val="00737AA9"/>
    <w:rsid w:val="00740353"/>
    <w:rsid w:val="00740BA4"/>
    <w:rsid w:val="0074139C"/>
    <w:rsid w:val="0074175A"/>
    <w:rsid w:val="00741D1C"/>
    <w:rsid w:val="0074211A"/>
    <w:rsid w:val="00742259"/>
    <w:rsid w:val="007426AA"/>
    <w:rsid w:val="00742AEC"/>
    <w:rsid w:val="00742B5D"/>
    <w:rsid w:val="007434D5"/>
    <w:rsid w:val="00744FF1"/>
    <w:rsid w:val="0074504C"/>
    <w:rsid w:val="00745541"/>
    <w:rsid w:val="00745636"/>
    <w:rsid w:val="00745918"/>
    <w:rsid w:val="0074591A"/>
    <w:rsid w:val="00746C28"/>
    <w:rsid w:val="007473C1"/>
    <w:rsid w:val="007477DB"/>
    <w:rsid w:val="00747818"/>
    <w:rsid w:val="00747B33"/>
    <w:rsid w:val="007506C8"/>
    <w:rsid w:val="0075162E"/>
    <w:rsid w:val="007517A4"/>
    <w:rsid w:val="00751E3F"/>
    <w:rsid w:val="007529DE"/>
    <w:rsid w:val="00752FCA"/>
    <w:rsid w:val="00753083"/>
    <w:rsid w:val="007539CD"/>
    <w:rsid w:val="00753D2B"/>
    <w:rsid w:val="00754034"/>
    <w:rsid w:val="00754B66"/>
    <w:rsid w:val="00754FFE"/>
    <w:rsid w:val="007554E5"/>
    <w:rsid w:val="00755BEB"/>
    <w:rsid w:val="00755BF0"/>
    <w:rsid w:val="00755F81"/>
    <w:rsid w:val="007560B8"/>
    <w:rsid w:val="00756556"/>
    <w:rsid w:val="007567B1"/>
    <w:rsid w:val="0075696A"/>
    <w:rsid w:val="007570FB"/>
    <w:rsid w:val="007572B7"/>
    <w:rsid w:val="00757785"/>
    <w:rsid w:val="007579BE"/>
    <w:rsid w:val="00757B32"/>
    <w:rsid w:val="00757D78"/>
    <w:rsid w:val="00760080"/>
    <w:rsid w:val="00760994"/>
    <w:rsid w:val="00760A5E"/>
    <w:rsid w:val="00760B55"/>
    <w:rsid w:val="00760BD7"/>
    <w:rsid w:val="00760D9D"/>
    <w:rsid w:val="00760FD4"/>
    <w:rsid w:val="0076146C"/>
    <w:rsid w:val="007616B8"/>
    <w:rsid w:val="007618C4"/>
    <w:rsid w:val="00762043"/>
    <w:rsid w:val="00762050"/>
    <w:rsid w:val="00762AD0"/>
    <w:rsid w:val="00762E4C"/>
    <w:rsid w:val="00762F17"/>
    <w:rsid w:val="00763671"/>
    <w:rsid w:val="007639C8"/>
    <w:rsid w:val="00763B19"/>
    <w:rsid w:val="00764433"/>
    <w:rsid w:val="007645F4"/>
    <w:rsid w:val="00764900"/>
    <w:rsid w:val="007650BC"/>
    <w:rsid w:val="00765332"/>
    <w:rsid w:val="007655DC"/>
    <w:rsid w:val="00765729"/>
    <w:rsid w:val="007658FD"/>
    <w:rsid w:val="0076638C"/>
    <w:rsid w:val="007673A7"/>
    <w:rsid w:val="007676FA"/>
    <w:rsid w:val="00767980"/>
    <w:rsid w:val="007700E8"/>
    <w:rsid w:val="0077064A"/>
    <w:rsid w:val="007709F1"/>
    <w:rsid w:val="00770B19"/>
    <w:rsid w:val="00770D7D"/>
    <w:rsid w:val="00770FA0"/>
    <w:rsid w:val="00771839"/>
    <w:rsid w:val="0077223B"/>
    <w:rsid w:val="00772B48"/>
    <w:rsid w:val="007735E7"/>
    <w:rsid w:val="007736CB"/>
    <w:rsid w:val="00773B6B"/>
    <w:rsid w:val="00773FA6"/>
    <w:rsid w:val="0077463F"/>
    <w:rsid w:val="00774B3D"/>
    <w:rsid w:val="00774EED"/>
    <w:rsid w:val="00775088"/>
    <w:rsid w:val="00775182"/>
    <w:rsid w:val="007759AB"/>
    <w:rsid w:val="00775B25"/>
    <w:rsid w:val="00775F27"/>
    <w:rsid w:val="00775FC1"/>
    <w:rsid w:val="0077645F"/>
    <w:rsid w:val="007766BA"/>
    <w:rsid w:val="00776B88"/>
    <w:rsid w:val="00780555"/>
    <w:rsid w:val="00780906"/>
    <w:rsid w:val="007823DB"/>
    <w:rsid w:val="007828ED"/>
    <w:rsid w:val="00782933"/>
    <w:rsid w:val="00782A7F"/>
    <w:rsid w:val="00782BF4"/>
    <w:rsid w:val="0078300E"/>
    <w:rsid w:val="00783085"/>
    <w:rsid w:val="007833E2"/>
    <w:rsid w:val="00783656"/>
    <w:rsid w:val="007836EA"/>
    <w:rsid w:val="00783CEA"/>
    <w:rsid w:val="00783DA5"/>
    <w:rsid w:val="00783E06"/>
    <w:rsid w:val="0078467F"/>
    <w:rsid w:val="007846C9"/>
    <w:rsid w:val="00784CDA"/>
    <w:rsid w:val="007850BC"/>
    <w:rsid w:val="0078516E"/>
    <w:rsid w:val="007855E2"/>
    <w:rsid w:val="007855F2"/>
    <w:rsid w:val="00785B49"/>
    <w:rsid w:val="00785FFE"/>
    <w:rsid w:val="0078723F"/>
    <w:rsid w:val="0078774B"/>
    <w:rsid w:val="0079008A"/>
    <w:rsid w:val="00790254"/>
    <w:rsid w:val="00790352"/>
    <w:rsid w:val="007906C4"/>
    <w:rsid w:val="00790C2F"/>
    <w:rsid w:val="00790C4E"/>
    <w:rsid w:val="00791C67"/>
    <w:rsid w:val="00791ECF"/>
    <w:rsid w:val="00792DEA"/>
    <w:rsid w:val="00792E76"/>
    <w:rsid w:val="00792F18"/>
    <w:rsid w:val="007936A8"/>
    <w:rsid w:val="007936B2"/>
    <w:rsid w:val="007940EA"/>
    <w:rsid w:val="007949EA"/>
    <w:rsid w:val="007949EF"/>
    <w:rsid w:val="00794E0E"/>
    <w:rsid w:val="00795DA7"/>
    <w:rsid w:val="00796059"/>
    <w:rsid w:val="00796377"/>
    <w:rsid w:val="00796739"/>
    <w:rsid w:val="007967E8"/>
    <w:rsid w:val="007976B5"/>
    <w:rsid w:val="007A02F7"/>
    <w:rsid w:val="007A0900"/>
    <w:rsid w:val="007A0ABD"/>
    <w:rsid w:val="007A0B18"/>
    <w:rsid w:val="007A0E07"/>
    <w:rsid w:val="007A118C"/>
    <w:rsid w:val="007A1717"/>
    <w:rsid w:val="007A2170"/>
    <w:rsid w:val="007A22BF"/>
    <w:rsid w:val="007A2D89"/>
    <w:rsid w:val="007A3323"/>
    <w:rsid w:val="007A364D"/>
    <w:rsid w:val="007A36D3"/>
    <w:rsid w:val="007A3906"/>
    <w:rsid w:val="007A3B5F"/>
    <w:rsid w:val="007A49A5"/>
    <w:rsid w:val="007A4E07"/>
    <w:rsid w:val="007A5020"/>
    <w:rsid w:val="007A52B6"/>
    <w:rsid w:val="007A53F3"/>
    <w:rsid w:val="007A594E"/>
    <w:rsid w:val="007A6022"/>
    <w:rsid w:val="007A64B8"/>
    <w:rsid w:val="007A65E0"/>
    <w:rsid w:val="007A6879"/>
    <w:rsid w:val="007A6B76"/>
    <w:rsid w:val="007A6E12"/>
    <w:rsid w:val="007A6E6E"/>
    <w:rsid w:val="007A7014"/>
    <w:rsid w:val="007A7785"/>
    <w:rsid w:val="007A7B24"/>
    <w:rsid w:val="007A7C5B"/>
    <w:rsid w:val="007B02AD"/>
    <w:rsid w:val="007B0FBC"/>
    <w:rsid w:val="007B137C"/>
    <w:rsid w:val="007B2579"/>
    <w:rsid w:val="007B28C0"/>
    <w:rsid w:val="007B3264"/>
    <w:rsid w:val="007B3273"/>
    <w:rsid w:val="007B340F"/>
    <w:rsid w:val="007B358B"/>
    <w:rsid w:val="007B3AA5"/>
    <w:rsid w:val="007B3DFF"/>
    <w:rsid w:val="007B3F53"/>
    <w:rsid w:val="007B4250"/>
    <w:rsid w:val="007B4C62"/>
    <w:rsid w:val="007B4E10"/>
    <w:rsid w:val="007B611A"/>
    <w:rsid w:val="007B656B"/>
    <w:rsid w:val="007B699F"/>
    <w:rsid w:val="007B6B62"/>
    <w:rsid w:val="007B6BF3"/>
    <w:rsid w:val="007B6D2A"/>
    <w:rsid w:val="007B6DC6"/>
    <w:rsid w:val="007B6FD1"/>
    <w:rsid w:val="007B72B8"/>
    <w:rsid w:val="007B7A58"/>
    <w:rsid w:val="007B7C5F"/>
    <w:rsid w:val="007B7F69"/>
    <w:rsid w:val="007C00DE"/>
    <w:rsid w:val="007C0262"/>
    <w:rsid w:val="007C027D"/>
    <w:rsid w:val="007C0808"/>
    <w:rsid w:val="007C194D"/>
    <w:rsid w:val="007C1A9D"/>
    <w:rsid w:val="007C1D11"/>
    <w:rsid w:val="007C1F07"/>
    <w:rsid w:val="007C21B5"/>
    <w:rsid w:val="007C240B"/>
    <w:rsid w:val="007C289C"/>
    <w:rsid w:val="007C29C1"/>
    <w:rsid w:val="007C2EA6"/>
    <w:rsid w:val="007C3410"/>
    <w:rsid w:val="007C3A14"/>
    <w:rsid w:val="007C3DBD"/>
    <w:rsid w:val="007C4031"/>
    <w:rsid w:val="007C4F54"/>
    <w:rsid w:val="007C50B7"/>
    <w:rsid w:val="007C5628"/>
    <w:rsid w:val="007C5A59"/>
    <w:rsid w:val="007C6080"/>
    <w:rsid w:val="007C66D8"/>
    <w:rsid w:val="007C6A21"/>
    <w:rsid w:val="007C716D"/>
    <w:rsid w:val="007C74C2"/>
    <w:rsid w:val="007C7DD4"/>
    <w:rsid w:val="007C7DFC"/>
    <w:rsid w:val="007D0459"/>
    <w:rsid w:val="007D07EC"/>
    <w:rsid w:val="007D0A28"/>
    <w:rsid w:val="007D0A9C"/>
    <w:rsid w:val="007D123B"/>
    <w:rsid w:val="007D1332"/>
    <w:rsid w:val="007D138D"/>
    <w:rsid w:val="007D14BE"/>
    <w:rsid w:val="007D19B9"/>
    <w:rsid w:val="007D1C80"/>
    <w:rsid w:val="007D1FD2"/>
    <w:rsid w:val="007D22C4"/>
    <w:rsid w:val="007D23CE"/>
    <w:rsid w:val="007D288F"/>
    <w:rsid w:val="007D3F9B"/>
    <w:rsid w:val="007D4356"/>
    <w:rsid w:val="007D45AD"/>
    <w:rsid w:val="007D470A"/>
    <w:rsid w:val="007D4D17"/>
    <w:rsid w:val="007D590A"/>
    <w:rsid w:val="007D5B76"/>
    <w:rsid w:val="007D6554"/>
    <w:rsid w:val="007D6704"/>
    <w:rsid w:val="007D698C"/>
    <w:rsid w:val="007D718F"/>
    <w:rsid w:val="007D721E"/>
    <w:rsid w:val="007D7260"/>
    <w:rsid w:val="007D732A"/>
    <w:rsid w:val="007D733B"/>
    <w:rsid w:val="007D73F5"/>
    <w:rsid w:val="007E050B"/>
    <w:rsid w:val="007E0635"/>
    <w:rsid w:val="007E0761"/>
    <w:rsid w:val="007E0F62"/>
    <w:rsid w:val="007E1175"/>
    <w:rsid w:val="007E11C5"/>
    <w:rsid w:val="007E11F9"/>
    <w:rsid w:val="007E1229"/>
    <w:rsid w:val="007E1276"/>
    <w:rsid w:val="007E142F"/>
    <w:rsid w:val="007E160B"/>
    <w:rsid w:val="007E24EB"/>
    <w:rsid w:val="007E2B6B"/>
    <w:rsid w:val="007E2D2A"/>
    <w:rsid w:val="007E308D"/>
    <w:rsid w:val="007E3905"/>
    <w:rsid w:val="007E3FB2"/>
    <w:rsid w:val="007E4093"/>
    <w:rsid w:val="007E4B91"/>
    <w:rsid w:val="007E4BD2"/>
    <w:rsid w:val="007E529D"/>
    <w:rsid w:val="007E535B"/>
    <w:rsid w:val="007E5683"/>
    <w:rsid w:val="007E56E5"/>
    <w:rsid w:val="007E61C4"/>
    <w:rsid w:val="007E65EF"/>
    <w:rsid w:val="007E6BD2"/>
    <w:rsid w:val="007E6C41"/>
    <w:rsid w:val="007E7A9E"/>
    <w:rsid w:val="007E7ADF"/>
    <w:rsid w:val="007F04AC"/>
    <w:rsid w:val="007F0E70"/>
    <w:rsid w:val="007F1090"/>
    <w:rsid w:val="007F1283"/>
    <w:rsid w:val="007F1B3E"/>
    <w:rsid w:val="007F1C67"/>
    <w:rsid w:val="007F1DB7"/>
    <w:rsid w:val="007F23ED"/>
    <w:rsid w:val="007F31E0"/>
    <w:rsid w:val="007F3F7E"/>
    <w:rsid w:val="007F3FB1"/>
    <w:rsid w:val="007F47CC"/>
    <w:rsid w:val="007F48BA"/>
    <w:rsid w:val="007F58B5"/>
    <w:rsid w:val="007F5BE2"/>
    <w:rsid w:val="007F5D56"/>
    <w:rsid w:val="007F61B2"/>
    <w:rsid w:val="007F7440"/>
    <w:rsid w:val="007F7A5C"/>
    <w:rsid w:val="0080026F"/>
    <w:rsid w:val="0080052B"/>
    <w:rsid w:val="00800BE2"/>
    <w:rsid w:val="00800F62"/>
    <w:rsid w:val="00801393"/>
    <w:rsid w:val="0080189B"/>
    <w:rsid w:val="00801BAC"/>
    <w:rsid w:val="00801D93"/>
    <w:rsid w:val="0080261F"/>
    <w:rsid w:val="008028B6"/>
    <w:rsid w:val="00802A90"/>
    <w:rsid w:val="00802AAB"/>
    <w:rsid w:val="00802EF4"/>
    <w:rsid w:val="00802F88"/>
    <w:rsid w:val="008034AB"/>
    <w:rsid w:val="0080358D"/>
    <w:rsid w:val="00803976"/>
    <w:rsid w:val="00803B77"/>
    <w:rsid w:val="00803FE3"/>
    <w:rsid w:val="00804249"/>
    <w:rsid w:val="00804533"/>
    <w:rsid w:val="008047C5"/>
    <w:rsid w:val="00804E4F"/>
    <w:rsid w:val="008050C5"/>
    <w:rsid w:val="00805336"/>
    <w:rsid w:val="008056E1"/>
    <w:rsid w:val="00805805"/>
    <w:rsid w:val="0080596C"/>
    <w:rsid w:val="00805C07"/>
    <w:rsid w:val="0080603B"/>
    <w:rsid w:val="00806870"/>
    <w:rsid w:val="0080696F"/>
    <w:rsid w:val="008074C4"/>
    <w:rsid w:val="008075C1"/>
    <w:rsid w:val="00807DD7"/>
    <w:rsid w:val="00807F9E"/>
    <w:rsid w:val="0081046C"/>
    <w:rsid w:val="00810B7A"/>
    <w:rsid w:val="008112FB"/>
    <w:rsid w:val="00811AB4"/>
    <w:rsid w:val="0081206B"/>
    <w:rsid w:val="00812580"/>
    <w:rsid w:val="0081293E"/>
    <w:rsid w:val="00812AC8"/>
    <w:rsid w:val="00812B11"/>
    <w:rsid w:val="00812B16"/>
    <w:rsid w:val="00812C74"/>
    <w:rsid w:val="00812E83"/>
    <w:rsid w:val="00813671"/>
    <w:rsid w:val="00813759"/>
    <w:rsid w:val="00813A6A"/>
    <w:rsid w:val="00813F49"/>
    <w:rsid w:val="00814006"/>
    <w:rsid w:val="008142EE"/>
    <w:rsid w:val="008143AE"/>
    <w:rsid w:val="00815465"/>
    <w:rsid w:val="00815AD7"/>
    <w:rsid w:val="00815C1A"/>
    <w:rsid w:val="00815F6F"/>
    <w:rsid w:val="0081686C"/>
    <w:rsid w:val="00817172"/>
    <w:rsid w:val="0081719B"/>
    <w:rsid w:val="00817658"/>
    <w:rsid w:val="00817B52"/>
    <w:rsid w:val="00817E9A"/>
    <w:rsid w:val="0082144C"/>
    <w:rsid w:val="00821A70"/>
    <w:rsid w:val="00822ABE"/>
    <w:rsid w:val="00822AE8"/>
    <w:rsid w:val="00822EFE"/>
    <w:rsid w:val="0082300F"/>
    <w:rsid w:val="00823021"/>
    <w:rsid w:val="0082320F"/>
    <w:rsid w:val="008232BB"/>
    <w:rsid w:val="0082342C"/>
    <w:rsid w:val="0082356E"/>
    <w:rsid w:val="00823FF0"/>
    <w:rsid w:val="0082461F"/>
    <w:rsid w:val="00824866"/>
    <w:rsid w:val="00824B05"/>
    <w:rsid w:val="00825113"/>
    <w:rsid w:val="00825173"/>
    <w:rsid w:val="00825438"/>
    <w:rsid w:val="008256A2"/>
    <w:rsid w:val="00825710"/>
    <w:rsid w:val="00826333"/>
    <w:rsid w:val="00826701"/>
    <w:rsid w:val="00826739"/>
    <w:rsid w:val="0082689C"/>
    <w:rsid w:val="00826CF5"/>
    <w:rsid w:val="0082745F"/>
    <w:rsid w:val="008275D7"/>
    <w:rsid w:val="00827B50"/>
    <w:rsid w:val="00827CC3"/>
    <w:rsid w:val="00830616"/>
    <w:rsid w:val="008306BD"/>
    <w:rsid w:val="00830C16"/>
    <w:rsid w:val="00831060"/>
    <w:rsid w:val="0083171B"/>
    <w:rsid w:val="00831A80"/>
    <w:rsid w:val="008329EB"/>
    <w:rsid w:val="00833404"/>
    <w:rsid w:val="00833743"/>
    <w:rsid w:val="008337B6"/>
    <w:rsid w:val="008340A4"/>
    <w:rsid w:val="00834427"/>
    <w:rsid w:val="0083482B"/>
    <w:rsid w:val="0083482C"/>
    <w:rsid w:val="00835641"/>
    <w:rsid w:val="00835CB8"/>
    <w:rsid w:val="00835DAE"/>
    <w:rsid w:val="008367B2"/>
    <w:rsid w:val="00836E07"/>
    <w:rsid w:val="00837B12"/>
    <w:rsid w:val="00837B38"/>
    <w:rsid w:val="00837EED"/>
    <w:rsid w:val="008406C1"/>
    <w:rsid w:val="00840B5F"/>
    <w:rsid w:val="00841554"/>
    <w:rsid w:val="008423B6"/>
    <w:rsid w:val="008424AB"/>
    <w:rsid w:val="00842630"/>
    <w:rsid w:val="00842983"/>
    <w:rsid w:val="00842F9B"/>
    <w:rsid w:val="008431E0"/>
    <w:rsid w:val="00843467"/>
    <w:rsid w:val="00843A13"/>
    <w:rsid w:val="00843E27"/>
    <w:rsid w:val="00843F72"/>
    <w:rsid w:val="008440CE"/>
    <w:rsid w:val="0084444B"/>
    <w:rsid w:val="00844542"/>
    <w:rsid w:val="00844716"/>
    <w:rsid w:val="00844950"/>
    <w:rsid w:val="00844D90"/>
    <w:rsid w:val="0084590F"/>
    <w:rsid w:val="00846168"/>
    <w:rsid w:val="008465A0"/>
    <w:rsid w:val="00846F21"/>
    <w:rsid w:val="00846FB7"/>
    <w:rsid w:val="00846FBA"/>
    <w:rsid w:val="00847158"/>
    <w:rsid w:val="00847680"/>
    <w:rsid w:val="00847ADE"/>
    <w:rsid w:val="00847D13"/>
    <w:rsid w:val="00850193"/>
    <w:rsid w:val="00850289"/>
    <w:rsid w:val="00850A93"/>
    <w:rsid w:val="0085112E"/>
    <w:rsid w:val="00851420"/>
    <w:rsid w:val="00851438"/>
    <w:rsid w:val="00852154"/>
    <w:rsid w:val="00852589"/>
    <w:rsid w:val="00852A65"/>
    <w:rsid w:val="008533F2"/>
    <w:rsid w:val="00854719"/>
    <w:rsid w:val="0085481A"/>
    <w:rsid w:val="00854945"/>
    <w:rsid w:val="00854DE7"/>
    <w:rsid w:val="008552BD"/>
    <w:rsid w:val="00855536"/>
    <w:rsid w:val="008556A3"/>
    <w:rsid w:val="00855A7D"/>
    <w:rsid w:val="0085652D"/>
    <w:rsid w:val="00856581"/>
    <w:rsid w:val="008568E7"/>
    <w:rsid w:val="00856937"/>
    <w:rsid w:val="00856E1B"/>
    <w:rsid w:val="00857774"/>
    <w:rsid w:val="00857C96"/>
    <w:rsid w:val="00857D3D"/>
    <w:rsid w:val="008602C6"/>
    <w:rsid w:val="00860CB0"/>
    <w:rsid w:val="00860CD7"/>
    <w:rsid w:val="00861243"/>
    <w:rsid w:val="0086155C"/>
    <w:rsid w:val="00862B2E"/>
    <w:rsid w:val="00863772"/>
    <w:rsid w:val="00863AF6"/>
    <w:rsid w:val="00863BB0"/>
    <w:rsid w:val="00863C13"/>
    <w:rsid w:val="00863D5F"/>
    <w:rsid w:val="00863F09"/>
    <w:rsid w:val="00864269"/>
    <w:rsid w:val="008648AF"/>
    <w:rsid w:val="00864D75"/>
    <w:rsid w:val="008650B3"/>
    <w:rsid w:val="00865DB6"/>
    <w:rsid w:val="00865E9E"/>
    <w:rsid w:val="00866A92"/>
    <w:rsid w:val="00867109"/>
    <w:rsid w:val="0086783C"/>
    <w:rsid w:val="0086784D"/>
    <w:rsid w:val="0086799A"/>
    <w:rsid w:val="00867B61"/>
    <w:rsid w:val="00867E51"/>
    <w:rsid w:val="00867FEE"/>
    <w:rsid w:val="00870538"/>
    <w:rsid w:val="008708FC"/>
    <w:rsid w:val="0087135F"/>
    <w:rsid w:val="0087199F"/>
    <w:rsid w:val="00871AD6"/>
    <w:rsid w:val="00872113"/>
    <w:rsid w:val="00872298"/>
    <w:rsid w:val="00872C44"/>
    <w:rsid w:val="00872CD5"/>
    <w:rsid w:val="00872D94"/>
    <w:rsid w:val="008735A6"/>
    <w:rsid w:val="00873717"/>
    <w:rsid w:val="008737C4"/>
    <w:rsid w:val="00873940"/>
    <w:rsid w:val="00873982"/>
    <w:rsid w:val="008739FA"/>
    <w:rsid w:val="00873CB7"/>
    <w:rsid w:val="00874DC8"/>
    <w:rsid w:val="0087518E"/>
    <w:rsid w:val="008752AC"/>
    <w:rsid w:val="008752EE"/>
    <w:rsid w:val="00875324"/>
    <w:rsid w:val="00875A39"/>
    <w:rsid w:val="00876020"/>
    <w:rsid w:val="0087652F"/>
    <w:rsid w:val="00876A4D"/>
    <w:rsid w:val="00876FE7"/>
    <w:rsid w:val="00877A39"/>
    <w:rsid w:val="00877AC6"/>
    <w:rsid w:val="00877B56"/>
    <w:rsid w:val="00877D57"/>
    <w:rsid w:val="00877F00"/>
    <w:rsid w:val="0088032F"/>
    <w:rsid w:val="00880364"/>
    <w:rsid w:val="00880D08"/>
    <w:rsid w:val="00881083"/>
    <w:rsid w:val="008810D0"/>
    <w:rsid w:val="008811EB"/>
    <w:rsid w:val="00881379"/>
    <w:rsid w:val="008819D3"/>
    <w:rsid w:val="00881A12"/>
    <w:rsid w:val="0088218A"/>
    <w:rsid w:val="008824B0"/>
    <w:rsid w:val="00882C7B"/>
    <w:rsid w:val="00883152"/>
    <w:rsid w:val="008834CB"/>
    <w:rsid w:val="008843D7"/>
    <w:rsid w:val="0088451D"/>
    <w:rsid w:val="0088488A"/>
    <w:rsid w:val="00884BC3"/>
    <w:rsid w:val="00884F9C"/>
    <w:rsid w:val="0088524C"/>
    <w:rsid w:val="0088558F"/>
    <w:rsid w:val="0088603B"/>
    <w:rsid w:val="008867BD"/>
    <w:rsid w:val="00886A26"/>
    <w:rsid w:val="00886B3B"/>
    <w:rsid w:val="00886B4F"/>
    <w:rsid w:val="0088752B"/>
    <w:rsid w:val="0088752F"/>
    <w:rsid w:val="00887D1E"/>
    <w:rsid w:val="00887DE8"/>
    <w:rsid w:val="008902B7"/>
    <w:rsid w:val="008902E9"/>
    <w:rsid w:val="00890495"/>
    <w:rsid w:val="008904C8"/>
    <w:rsid w:val="00890FD0"/>
    <w:rsid w:val="008914CF"/>
    <w:rsid w:val="008914E7"/>
    <w:rsid w:val="00891592"/>
    <w:rsid w:val="00891C0D"/>
    <w:rsid w:val="00891E9E"/>
    <w:rsid w:val="008922C8"/>
    <w:rsid w:val="008924D8"/>
    <w:rsid w:val="00892849"/>
    <w:rsid w:val="00892B7A"/>
    <w:rsid w:val="00893006"/>
    <w:rsid w:val="00893062"/>
    <w:rsid w:val="008935CF"/>
    <w:rsid w:val="00894A20"/>
    <w:rsid w:val="00894AB4"/>
    <w:rsid w:val="00894FCD"/>
    <w:rsid w:val="00895247"/>
    <w:rsid w:val="0089530C"/>
    <w:rsid w:val="008953DE"/>
    <w:rsid w:val="00895607"/>
    <w:rsid w:val="0089583E"/>
    <w:rsid w:val="00896774"/>
    <w:rsid w:val="008969D0"/>
    <w:rsid w:val="00896B5B"/>
    <w:rsid w:val="00896C50"/>
    <w:rsid w:val="00896EC4"/>
    <w:rsid w:val="00897587"/>
    <w:rsid w:val="00897D87"/>
    <w:rsid w:val="008A08B6"/>
    <w:rsid w:val="008A0BF2"/>
    <w:rsid w:val="008A0E26"/>
    <w:rsid w:val="008A1303"/>
    <w:rsid w:val="008A13C4"/>
    <w:rsid w:val="008A1CB2"/>
    <w:rsid w:val="008A1FAB"/>
    <w:rsid w:val="008A2D84"/>
    <w:rsid w:val="008A2F68"/>
    <w:rsid w:val="008A2F6C"/>
    <w:rsid w:val="008A3791"/>
    <w:rsid w:val="008A37DC"/>
    <w:rsid w:val="008A39BD"/>
    <w:rsid w:val="008A39EA"/>
    <w:rsid w:val="008A4189"/>
    <w:rsid w:val="008A43FD"/>
    <w:rsid w:val="008A44AE"/>
    <w:rsid w:val="008A48CC"/>
    <w:rsid w:val="008A566C"/>
    <w:rsid w:val="008A5823"/>
    <w:rsid w:val="008A5837"/>
    <w:rsid w:val="008A5D4E"/>
    <w:rsid w:val="008A5D84"/>
    <w:rsid w:val="008A708F"/>
    <w:rsid w:val="008A72BC"/>
    <w:rsid w:val="008B007A"/>
    <w:rsid w:val="008B117F"/>
    <w:rsid w:val="008B1985"/>
    <w:rsid w:val="008B1C12"/>
    <w:rsid w:val="008B1E01"/>
    <w:rsid w:val="008B25C2"/>
    <w:rsid w:val="008B2716"/>
    <w:rsid w:val="008B2D5B"/>
    <w:rsid w:val="008B323B"/>
    <w:rsid w:val="008B3735"/>
    <w:rsid w:val="008B3D03"/>
    <w:rsid w:val="008B3DF9"/>
    <w:rsid w:val="008B4929"/>
    <w:rsid w:val="008B4FA6"/>
    <w:rsid w:val="008B5282"/>
    <w:rsid w:val="008B55C6"/>
    <w:rsid w:val="008B5A0E"/>
    <w:rsid w:val="008B5B40"/>
    <w:rsid w:val="008B6678"/>
    <w:rsid w:val="008B6779"/>
    <w:rsid w:val="008B6E4B"/>
    <w:rsid w:val="008B6F25"/>
    <w:rsid w:val="008B7031"/>
    <w:rsid w:val="008B703D"/>
    <w:rsid w:val="008B73F8"/>
    <w:rsid w:val="008B77FF"/>
    <w:rsid w:val="008B78D0"/>
    <w:rsid w:val="008B7ADC"/>
    <w:rsid w:val="008B7C17"/>
    <w:rsid w:val="008C04B1"/>
    <w:rsid w:val="008C0A6D"/>
    <w:rsid w:val="008C1171"/>
    <w:rsid w:val="008C1C61"/>
    <w:rsid w:val="008C23B4"/>
    <w:rsid w:val="008C28C6"/>
    <w:rsid w:val="008C29E1"/>
    <w:rsid w:val="008C29F7"/>
    <w:rsid w:val="008C2D01"/>
    <w:rsid w:val="008C30AC"/>
    <w:rsid w:val="008C3566"/>
    <w:rsid w:val="008C4041"/>
    <w:rsid w:val="008C40E6"/>
    <w:rsid w:val="008C444E"/>
    <w:rsid w:val="008C4BD9"/>
    <w:rsid w:val="008C5103"/>
    <w:rsid w:val="008C54B3"/>
    <w:rsid w:val="008C564A"/>
    <w:rsid w:val="008C5CCB"/>
    <w:rsid w:val="008C5FC3"/>
    <w:rsid w:val="008C700D"/>
    <w:rsid w:val="008C795A"/>
    <w:rsid w:val="008C79D9"/>
    <w:rsid w:val="008C7C64"/>
    <w:rsid w:val="008C7E64"/>
    <w:rsid w:val="008C7EE7"/>
    <w:rsid w:val="008D00A1"/>
    <w:rsid w:val="008D0CDD"/>
    <w:rsid w:val="008D0F7A"/>
    <w:rsid w:val="008D14AB"/>
    <w:rsid w:val="008D207F"/>
    <w:rsid w:val="008D2542"/>
    <w:rsid w:val="008D3EDE"/>
    <w:rsid w:val="008D4567"/>
    <w:rsid w:val="008D47C4"/>
    <w:rsid w:val="008D564B"/>
    <w:rsid w:val="008D61B6"/>
    <w:rsid w:val="008D68E4"/>
    <w:rsid w:val="008D7186"/>
    <w:rsid w:val="008D723D"/>
    <w:rsid w:val="008D7D0B"/>
    <w:rsid w:val="008E0504"/>
    <w:rsid w:val="008E0506"/>
    <w:rsid w:val="008E087C"/>
    <w:rsid w:val="008E0A6C"/>
    <w:rsid w:val="008E0CFF"/>
    <w:rsid w:val="008E1A47"/>
    <w:rsid w:val="008E1FD8"/>
    <w:rsid w:val="008E21EF"/>
    <w:rsid w:val="008E269C"/>
    <w:rsid w:val="008E2B2D"/>
    <w:rsid w:val="008E2E51"/>
    <w:rsid w:val="008E2F2B"/>
    <w:rsid w:val="008E306A"/>
    <w:rsid w:val="008E388E"/>
    <w:rsid w:val="008E3B15"/>
    <w:rsid w:val="008E3BED"/>
    <w:rsid w:val="008E4278"/>
    <w:rsid w:val="008E489F"/>
    <w:rsid w:val="008E56FE"/>
    <w:rsid w:val="008E596B"/>
    <w:rsid w:val="008E5B60"/>
    <w:rsid w:val="008E5C1A"/>
    <w:rsid w:val="008E5D6B"/>
    <w:rsid w:val="008E649B"/>
    <w:rsid w:val="008E6A50"/>
    <w:rsid w:val="008E6E10"/>
    <w:rsid w:val="008E76F0"/>
    <w:rsid w:val="008E79E7"/>
    <w:rsid w:val="008F064A"/>
    <w:rsid w:val="008F0687"/>
    <w:rsid w:val="008F1087"/>
    <w:rsid w:val="008F10AC"/>
    <w:rsid w:val="008F14CF"/>
    <w:rsid w:val="008F15FE"/>
    <w:rsid w:val="008F17FF"/>
    <w:rsid w:val="008F1AFA"/>
    <w:rsid w:val="008F1E27"/>
    <w:rsid w:val="008F2698"/>
    <w:rsid w:val="008F2D29"/>
    <w:rsid w:val="008F2F79"/>
    <w:rsid w:val="008F367E"/>
    <w:rsid w:val="008F4411"/>
    <w:rsid w:val="008F4EC1"/>
    <w:rsid w:val="008F50E7"/>
    <w:rsid w:val="008F5187"/>
    <w:rsid w:val="008F5BB2"/>
    <w:rsid w:val="008F5D5E"/>
    <w:rsid w:val="008F5F62"/>
    <w:rsid w:val="008F60D8"/>
    <w:rsid w:val="008F723C"/>
    <w:rsid w:val="008F75BF"/>
    <w:rsid w:val="008F791B"/>
    <w:rsid w:val="008F7F60"/>
    <w:rsid w:val="009004B4"/>
    <w:rsid w:val="00900B04"/>
    <w:rsid w:val="00901A22"/>
    <w:rsid w:val="009020CD"/>
    <w:rsid w:val="00902432"/>
    <w:rsid w:val="00902727"/>
    <w:rsid w:val="009030D2"/>
    <w:rsid w:val="0090312B"/>
    <w:rsid w:val="00903881"/>
    <w:rsid w:val="00903CCB"/>
    <w:rsid w:val="00903DB5"/>
    <w:rsid w:val="00903FFF"/>
    <w:rsid w:val="009041C7"/>
    <w:rsid w:val="00904813"/>
    <w:rsid w:val="00904C81"/>
    <w:rsid w:val="009052E1"/>
    <w:rsid w:val="0090567E"/>
    <w:rsid w:val="009057D7"/>
    <w:rsid w:val="0090591F"/>
    <w:rsid w:val="00907251"/>
    <w:rsid w:val="009074A7"/>
    <w:rsid w:val="0090752E"/>
    <w:rsid w:val="00907807"/>
    <w:rsid w:val="00907B99"/>
    <w:rsid w:val="009103B7"/>
    <w:rsid w:val="00910A9A"/>
    <w:rsid w:val="0091116C"/>
    <w:rsid w:val="00911AB5"/>
    <w:rsid w:val="00911BCD"/>
    <w:rsid w:val="00911CE8"/>
    <w:rsid w:val="00911FD4"/>
    <w:rsid w:val="00912CF2"/>
    <w:rsid w:val="00913245"/>
    <w:rsid w:val="0091379C"/>
    <w:rsid w:val="00913B0C"/>
    <w:rsid w:val="00913B61"/>
    <w:rsid w:val="00913D46"/>
    <w:rsid w:val="00913E06"/>
    <w:rsid w:val="009141DE"/>
    <w:rsid w:val="00914C7C"/>
    <w:rsid w:val="009159FC"/>
    <w:rsid w:val="00915A90"/>
    <w:rsid w:val="00915B9A"/>
    <w:rsid w:val="00915C60"/>
    <w:rsid w:val="00915EB9"/>
    <w:rsid w:val="00915EC8"/>
    <w:rsid w:val="00916092"/>
    <w:rsid w:val="00916093"/>
    <w:rsid w:val="00916440"/>
    <w:rsid w:val="0091657F"/>
    <w:rsid w:val="009168F3"/>
    <w:rsid w:val="0091713E"/>
    <w:rsid w:val="0091736D"/>
    <w:rsid w:val="009173F5"/>
    <w:rsid w:val="009176D5"/>
    <w:rsid w:val="00917B0F"/>
    <w:rsid w:val="00917B28"/>
    <w:rsid w:val="00917B4A"/>
    <w:rsid w:val="00920C33"/>
    <w:rsid w:val="009213A4"/>
    <w:rsid w:val="00921A13"/>
    <w:rsid w:val="00922938"/>
    <w:rsid w:val="00922B3F"/>
    <w:rsid w:val="00922B43"/>
    <w:rsid w:val="00922C1E"/>
    <w:rsid w:val="00922C9A"/>
    <w:rsid w:val="00922E88"/>
    <w:rsid w:val="00923001"/>
    <w:rsid w:val="009232D7"/>
    <w:rsid w:val="00923811"/>
    <w:rsid w:val="00924051"/>
    <w:rsid w:val="00924351"/>
    <w:rsid w:val="00924620"/>
    <w:rsid w:val="00925549"/>
    <w:rsid w:val="00925657"/>
    <w:rsid w:val="00925B66"/>
    <w:rsid w:val="00925C46"/>
    <w:rsid w:val="00926DF1"/>
    <w:rsid w:val="00927223"/>
    <w:rsid w:val="00927DE9"/>
    <w:rsid w:val="00927EC2"/>
    <w:rsid w:val="00930018"/>
    <w:rsid w:val="0093037A"/>
    <w:rsid w:val="009304C3"/>
    <w:rsid w:val="009306FD"/>
    <w:rsid w:val="0093079D"/>
    <w:rsid w:val="00931DE4"/>
    <w:rsid w:val="00931EB5"/>
    <w:rsid w:val="009323E8"/>
    <w:rsid w:val="00932826"/>
    <w:rsid w:val="009334B5"/>
    <w:rsid w:val="00934144"/>
    <w:rsid w:val="009345A5"/>
    <w:rsid w:val="009353B0"/>
    <w:rsid w:val="009356A1"/>
    <w:rsid w:val="00935734"/>
    <w:rsid w:val="00935BFC"/>
    <w:rsid w:val="00936163"/>
    <w:rsid w:val="00936172"/>
    <w:rsid w:val="00936AC8"/>
    <w:rsid w:val="00936E51"/>
    <w:rsid w:val="0093740E"/>
    <w:rsid w:val="00937F26"/>
    <w:rsid w:val="00940165"/>
    <w:rsid w:val="0094038A"/>
    <w:rsid w:val="009409A1"/>
    <w:rsid w:val="00941105"/>
    <w:rsid w:val="0094154D"/>
    <w:rsid w:val="00941ABF"/>
    <w:rsid w:val="00941C9B"/>
    <w:rsid w:val="009423AD"/>
    <w:rsid w:val="009427D9"/>
    <w:rsid w:val="00943E40"/>
    <w:rsid w:val="009443FD"/>
    <w:rsid w:val="009445DE"/>
    <w:rsid w:val="009447AB"/>
    <w:rsid w:val="0094506A"/>
    <w:rsid w:val="00945D14"/>
    <w:rsid w:val="00946CCD"/>
    <w:rsid w:val="00947C55"/>
    <w:rsid w:val="00950209"/>
    <w:rsid w:val="00950B23"/>
    <w:rsid w:val="00950B34"/>
    <w:rsid w:val="00950D5A"/>
    <w:rsid w:val="00951267"/>
    <w:rsid w:val="0095155F"/>
    <w:rsid w:val="00951687"/>
    <w:rsid w:val="00951841"/>
    <w:rsid w:val="00951D04"/>
    <w:rsid w:val="00951F1C"/>
    <w:rsid w:val="00952395"/>
    <w:rsid w:val="009523D2"/>
    <w:rsid w:val="0095359C"/>
    <w:rsid w:val="009537EA"/>
    <w:rsid w:val="00953B0F"/>
    <w:rsid w:val="00954429"/>
    <w:rsid w:val="009545AB"/>
    <w:rsid w:val="009545FB"/>
    <w:rsid w:val="00954C3D"/>
    <w:rsid w:val="00955753"/>
    <w:rsid w:val="00955AF1"/>
    <w:rsid w:val="0095608D"/>
    <w:rsid w:val="009560BD"/>
    <w:rsid w:val="009560CE"/>
    <w:rsid w:val="009561F0"/>
    <w:rsid w:val="009563CE"/>
    <w:rsid w:val="00956584"/>
    <w:rsid w:val="009568FC"/>
    <w:rsid w:val="00956B0E"/>
    <w:rsid w:val="009571CA"/>
    <w:rsid w:val="009573C7"/>
    <w:rsid w:val="0096037F"/>
    <w:rsid w:val="00960555"/>
    <w:rsid w:val="009605F0"/>
    <w:rsid w:val="00960638"/>
    <w:rsid w:val="00960DCD"/>
    <w:rsid w:val="00961164"/>
    <w:rsid w:val="00961705"/>
    <w:rsid w:val="00961734"/>
    <w:rsid w:val="00961A3A"/>
    <w:rsid w:val="00961C30"/>
    <w:rsid w:val="009628AC"/>
    <w:rsid w:val="00963731"/>
    <w:rsid w:val="00963A12"/>
    <w:rsid w:val="00964E35"/>
    <w:rsid w:val="009651A2"/>
    <w:rsid w:val="00965A32"/>
    <w:rsid w:val="009661F0"/>
    <w:rsid w:val="00966B48"/>
    <w:rsid w:val="00966F22"/>
    <w:rsid w:val="0096737B"/>
    <w:rsid w:val="00967FD6"/>
    <w:rsid w:val="0097019E"/>
    <w:rsid w:val="0097035C"/>
    <w:rsid w:val="0097177E"/>
    <w:rsid w:val="00971DE0"/>
    <w:rsid w:val="00971E57"/>
    <w:rsid w:val="00972854"/>
    <w:rsid w:val="00972FE1"/>
    <w:rsid w:val="009738C9"/>
    <w:rsid w:val="0097390F"/>
    <w:rsid w:val="00973ACB"/>
    <w:rsid w:val="00973D99"/>
    <w:rsid w:val="00974196"/>
    <w:rsid w:val="00974A6F"/>
    <w:rsid w:val="00975109"/>
    <w:rsid w:val="0097546A"/>
    <w:rsid w:val="00975D0E"/>
    <w:rsid w:val="00975ECD"/>
    <w:rsid w:val="00976328"/>
    <w:rsid w:val="0097680D"/>
    <w:rsid w:val="0097705A"/>
    <w:rsid w:val="00980406"/>
    <w:rsid w:val="0098074E"/>
    <w:rsid w:val="00980CAB"/>
    <w:rsid w:val="00981A32"/>
    <w:rsid w:val="00982110"/>
    <w:rsid w:val="00982117"/>
    <w:rsid w:val="009821FF"/>
    <w:rsid w:val="00982438"/>
    <w:rsid w:val="009829D5"/>
    <w:rsid w:val="00982B9A"/>
    <w:rsid w:val="00982BA4"/>
    <w:rsid w:val="00983518"/>
    <w:rsid w:val="009838B5"/>
    <w:rsid w:val="00983B40"/>
    <w:rsid w:val="0098404C"/>
    <w:rsid w:val="00984118"/>
    <w:rsid w:val="00984161"/>
    <w:rsid w:val="009850E2"/>
    <w:rsid w:val="00985155"/>
    <w:rsid w:val="00985283"/>
    <w:rsid w:val="009856B4"/>
    <w:rsid w:val="0098651B"/>
    <w:rsid w:val="009866D9"/>
    <w:rsid w:val="00986E65"/>
    <w:rsid w:val="00986F95"/>
    <w:rsid w:val="009874D1"/>
    <w:rsid w:val="0098751C"/>
    <w:rsid w:val="009875D1"/>
    <w:rsid w:val="00987716"/>
    <w:rsid w:val="00987BF1"/>
    <w:rsid w:val="00987C39"/>
    <w:rsid w:val="00987C9C"/>
    <w:rsid w:val="00987EDF"/>
    <w:rsid w:val="00990343"/>
    <w:rsid w:val="00990B85"/>
    <w:rsid w:val="00990D64"/>
    <w:rsid w:val="00991190"/>
    <w:rsid w:val="0099126B"/>
    <w:rsid w:val="00991370"/>
    <w:rsid w:val="00991852"/>
    <w:rsid w:val="009930C8"/>
    <w:rsid w:val="00993411"/>
    <w:rsid w:val="00993D3B"/>
    <w:rsid w:val="009943F0"/>
    <w:rsid w:val="00994541"/>
    <w:rsid w:val="00994A26"/>
    <w:rsid w:val="00994CF3"/>
    <w:rsid w:val="00995992"/>
    <w:rsid w:val="00995F7E"/>
    <w:rsid w:val="00996007"/>
    <w:rsid w:val="00996373"/>
    <w:rsid w:val="00996412"/>
    <w:rsid w:val="00996A36"/>
    <w:rsid w:val="00996A3C"/>
    <w:rsid w:val="00996A5E"/>
    <w:rsid w:val="00996B70"/>
    <w:rsid w:val="00996CE8"/>
    <w:rsid w:val="00997339"/>
    <w:rsid w:val="0099743E"/>
    <w:rsid w:val="009977A1"/>
    <w:rsid w:val="009977C5"/>
    <w:rsid w:val="00997BBE"/>
    <w:rsid w:val="009A00E8"/>
    <w:rsid w:val="009A03E5"/>
    <w:rsid w:val="009A05B8"/>
    <w:rsid w:val="009A08CC"/>
    <w:rsid w:val="009A0F3B"/>
    <w:rsid w:val="009A13CA"/>
    <w:rsid w:val="009A1504"/>
    <w:rsid w:val="009A1556"/>
    <w:rsid w:val="009A1913"/>
    <w:rsid w:val="009A1BB4"/>
    <w:rsid w:val="009A2628"/>
    <w:rsid w:val="009A2D77"/>
    <w:rsid w:val="009A3200"/>
    <w:rsid w:val="009A414B"/>
    <w:rsid w:val="009A41A1"/>
    <w:rsid w:val="009A4A8A"/>
    <w:rsid w:val="009A4E49"/>
    <w:rsid w:val="009A5A76"/>
    <w:rsid w:val="009A5D0C"/>
    <w:rsid w:val="009A5EA3"/>
    <w:rsid w:val="009A5F4A"/>
    <w:rsid w:val="009A5FFF"/>
    <w:rsid w:val="009A68CF"/>
    <w:rsid w:val="009A6DF6"/>
    <w:rsid w:val="009A7627"/>
    <w:rsid w:val="009A784E"/>
    <w:rsid w:val="009B0897"/>
    <w:rsid w:val="009B14CB"/>
    <w:rsid w:val="009B1EFB"/>
    <w:rsid w:val="009B1F05"/>
    <w:rsid w:val="009B209C"/>
    <w:rsid w:val="009B2161"/>
    <w:rsid w:val="009B22F0"/>
    <w:rsid w:val="009B2BF0"/>
    <w:rsid w:val="009B3381"/>
    <w:rsid w:val="009B36E8"/>
    <w:rsid w:val="009B3FCF"/>
    <w:rsid w:val="009B4A05"/>
    <w:rsid w:val="009B4B45"/>
    <w:rsid w:val="009B4DDA"/>
    <w:rsid w:val="009B58D9"/>
    <w:rsid w:val="009B6363"/>
    <w:rsid w:val="009B66C6"/>
    <w:rsid w:val="009B6A4E"/>
    <w:rsid w:val="009B7761"/>
    <w:rsid w:val="009B783A"/>
    <w:rsid w:val="009B785C"/>
    <w:rsid w:val="009B787B"/>
    <w:rsid w:val="009B7BD9"/>
    <w:rsid w:val="009C0A4C"/>
    <w:rsid w:val="009C16E3"/>
    <w:rsid w:val="009C25EE"/>
    <w:rsid w:val="009C2840"/>
    <w:rsid w:val="009C2942"/>
    <w:rsid w:val="009C2987"/>
    <w:rsid w:val="009C2E1B"/>
    <w:rsid w:val="009C339B"/>
    <w:rsid w:val="009C3430"/>
    <w:rsid w:val="009C48D8"/>
    <w:rsid w:val="009C4965"/>
    <w:rsid w:val="009C4A96"/>
    <w:rsid w:val="009C4BA1"/>
    <w:rsid w:val="009C5111"/>
    <w:rsid w:val="009C518A"/>
    <w:rsid w:val="009C5A10"/>
    <w:rsid w:val="009C5A41"/>
    <w:rsid w:val="009C5CE4"/>
    <w:rsid w:val="009C6056"/>
    <w:rsid w:val="009C613E"/>
    <w:rsid w:val="009C6298"/>
    <w:rsid w:val="009C65B6"/>
    <w:rsid w:val="009C777E"/>
    <w:rsid w:val="009C78D8"/>
    <w:rsid w:val="009C7C16"/>
    <w:rsid w:val="009C7D57"/>
    <w:rsid w:val="009C7DD5"/>
    <w:rsid w:val="009C7E26"/>
    <w:rsid w:val="009D0270"/>
    <w:rsid w:val="009D0486"/>
    <w:rsid w:val="009D050C"/>
    <w:rsid w:val="009D0745"/>
    <w:rsid w:val="009D12EE"/>
    <w:rsid w:val="009D1645"/>
    <w:rsid w:val="009D1968"/>
    <w:rsid w:val="009D19F5"/>
    <w:rsid w:val="009D24AF"/>
    <w:rsid w:val="009D2AE4"/>
    <w:rsid w:val="009D392C"/>
    <w:rsid w:val="009D3BEC"/>
    <w:rsid w:val="009D3C8C"/>
    <w:rsid w:val="009D3D1A"/>
    <w:rsid w:val="009D43D8"/>
    <w:rsid w:val="009D46D1"/>
    <w:rsid w:val="009D47F3"/>
    <w:rsid w:val="009D48C2"/>
    <w:rsid w:val="009D51F7"/>
    <w:rsid w:val="009D57DF"/>
    <w:rsid w:val="009D5E6A"/>
    <w:rsid w:val="009D69CF"/>
    <w:rsid w:val="009D6EF2"/>
    <w:rsid w:val="009D709F"/>
    <w:rsid w:val="009D726F"/>
    <w:rsid w:val="009D7666"/>
    <w:rsid w:val="009E061A"/>
    <w:rsid w:val="009E0A6D"/>
    <w:rsid w:val="009E0D71"/>
    <w:rsid w:val="009E1CE4"/>
    <w:rsid w:val="009E227D"/>
    <w:rsid w:val="009E283F"/>
    <w:rsid w:val="009E2C8F"/>
    <w:rsid w:val="009E2ED6"/>
    <w:rsid w:val="009E2F34"/>
    <w:rsid w:val="009E3406"/>
    <w:rsid w:val="009E3603"/>
    <w:rsid w:val="009E3AEE"/>
    <w:rsid w:val="009E3B1F"/>
    <w:rsid w:val="009E3C5E"/>
    <w:rsid w:val="009E428C"/>
    <w:rsid w:val="009E468C"/>
    <w:rsid w:val="009E4D08"/>
    <w:rsid w:val="009E4FEC"/>
    <w:rsid w:val="009E5019"/>
    <w:rsid w:val="009E52CE"/>
    <w:rsid w:val="009E6037"/>
    <w:rsid w:val="009E67DF"/>
    <w:rsid w:val="009E6B1D"/>
    <w:rsid w:val="009E70AE"/>
    <w:rsid w:val="009E73B0"/>
    <w:rsid w:val="009E7EB4"/>
    <w:rsid w:val="009E7FB0"/>
    <w:rsid w:val="009F019F"/>
    <w:rsid w:val="009F030E"/>
    <w:rsid w:val="009F04D0"/>
    <w:rsid w:val="009F0721"/>
    <w:rsid w:val="009F0C09"/>
    <w:rsid w:val="009F10F7"/>
    <w:rsid w:val="009F11FB"/>
    <w:rsid w:val="009F1655"/>
    <w:rsid w:val="009F17D1"/>
    <w:rsid w:val="009F17FE"/>
    <w:rsid w:val="009F1820"/>
    <w:rsid w:val="009F1E85"/>
    <w:rsid w:val="009F218F"/>
    <w:rsid w:val="009F284B"/>
    <w:rsid w:val="009F3207"/>
    <w:rsid w:val="009F32D0"/>
    <w:rsid w:val="009F3425"/>
    <w:rsid w:val="009F390D"/>
    <w:rsid w:val="009F4231"/>
    <w:rsid w:val="009F4965"/>
    <w:rsid w:val="009F4EF8"/>
    <w:rsid w:val="009F514B"/>
    <w:rsid w:val="009F5307"/>
    <w:rsid w:val="009F5750"/>
    <w:rsid w:val="009F6029"/>
    <w:rsid w:val="009F66FB"/>
    <w:rsid w:val="009F6A2F"/>
    <w:rsid w:val="009F7126"/>
    <w:rsid w:val="009F7D2B"/>
    <w:rsid w:val="009F7DE3"/>
    <w:rsid w:val="009F7F1B"/>
    <w:rsid w:val="009F7F40"/>
    <w:rsid w:val="009F7F50"/>
    <w:rsid w:val="00A00052"/>
    <w:rsid w:val="00A008D6"/>
    <w:rsid w:val="00A01D1B"/>
    <w:rsid w:val="00A02131"/>
    <w:rsid w:val="00A02A41"/>
    <w:rsid w:val="00A02CE4"/>
    <w:rsid w:val="00A0306E"/>
    <w:rsid w:val="00A03938"/>
    <w:rsid w:val="00A03D2C"/>
    <w:rsid w:val="00A03FB0"/>
    <w:rsid w:val="00A041A4"/>
    <w:rsid w:val="00A042F1"/>
    <w:rsid w:val="00A04421"/>
    <w:rsid w:val="00A044D2"/>
    <w:rsid w:val="00A04674"/>
    <w:rsid w:val="00A0473C"/>
    <w:rsid w:val="00A04F1B"/>
    <w:rsid w:val="00A0501B"/>
    <w:rsid w:val="00A05878"/>
    <w:rsid w:val="00A05937"/>
    <w:rsid w:val="00A05A46"/>
    <w:rsid w:val="00A05F94"/>
    <w:rsid w:val="00A06CB7"/>
    <w:rsid w:val="00A07E2B"/>
    <w:rsid w:val="00A101B4"/>
    <w:rsid w:val="00A10412"/>
    <w:rsid w:val="00A118C6"/>
    <w:rsid w:val="00A11A28"/>
    <w:rsid w:val="00A11C22"/>
    <w:rsid w:val="00A11CD8"/>
    <w:rsid w:val="00A12A35"/>
    <w:rsid w:val="00A12BD0"/>
    <w:rsid w:val="00A13650"/>
    <w:rsid w:val="00A13871"/>
    <w:rsid w:val="00A14039"/>
    <w:rsid w:val="00A14579"/>
    <w:rsid w:val="00A147FF"/>
    <w:rsid w:val="00A14941"/>
    <w:rsid w:val="00A14947"/>
    <w:rsid w:val="00A1513F"/>
    <w:rsid w:val="00A15223"/>
    <w:rsid w:val="00A153B8"/>
    <w:rsid w:val="00A15A9E"/>
    <w:rsid w:val="00A15C09"/>
    <w:rsid w:val="00A1636B"/>
    <w:rsid w:val="00A16473"/>
    <w:rsid w:val="00A165DD"/>
    <w:rsid w:val="00A16DD1"/>
    <w:rsid w:val="00A17102"/>
    <w:rsid w:val="00A172EA"/>
    <w:rsid w:val="00A179F0"/>
    <w:rsid w:val="00A201CF"/>
    <w:rsid w:val="00A2070D"/>
    <w:rsid w:val="00A21C3A"/>
    <w:rsid w:val="00A21F27"/>
    <w:rsid w:val="00A220A6"/>
    <w:rsid w:val="00A22D19"/>
    <w:rsid w:val="00A2308B"/>
    <w:rsid w:val="00A233A6"/>
    <w:rsid w:val="00A234D2"/>
    <w:rsid w:val="00A23BCC"/>
    <w:rsid w:val="00A23DB4"/>
    <w:rsid w:val="00A242C1"/>
    <w:rsid w:val="00A24D28"/>
    <w:rsid w:val="00A24F3C"/>
    <w:rsid w:val="00A2615B"/>
    <w:rsid w:val="00A26A88"/>
    <w:rsid w:val="00A26C28"/>
    <w:rsid w:val="00A272C3"/>
    <w:rsid w:val="00A2772E"/>
    <w:rsid w:val="00A27DF9"/>
    <w:rsid w:val="00A27E76"/>
    <w:rsid w:val="00A30546"/>
    <w:rsid w:val="00A30B74"/>
    <w:rsid w:val="00A30BEF"/>
    <w:rsid w:val="00A30C33"/>
    <w:rsid w:val="00A30C95"/>
    <w:rsid w:val="00A30D50"/>
    <w:rsid w:val="00A31908"/>
    <w:rsid w:val="00A31F36"/>
    <w:rsid w:val="00A327CF"/>
    <w:rsid w:val="00A32A83"/>
    <w:rsid w:val="00A3328D"/>
    <w:rsid w:val="00A33BEC"/>
    <w:rsid w:val="00A34297"/>
    <w:rsid w:val="00A34343"/>
    <w:rsid w:val="00A344D4"/>
    <w:rsid w:val="00A34688"/>
    <w:rsid w:val="00A34912"/>
    <w:rsid w:val="00A36248"/>
    <w:rsid w:val="00A36502"/>
    <w:rsid w:val="00A366DE"/>
    <w:rsid w:val="00A368DB"/>
    <w:rsid w:val="00A37023"/>
    <w:rsid w:val="00A37073"/>
    <w:rsid w:val="00A37101"/>
    <w:rsid w:val="00A37C09"/>
    <w:rsid w:val="00A37CED"/>
    <w:rsid w:val="00A37FCD"/>
    <w:rsid w:val="00A4124B"/>
    <w:rsid w:val="00A418EF"/>
    <w:rsid w:val="00A41F79"/>
    <w:rsid w:val="00A420C5"/>
    <w:rsid w:val="00A423AA"/>
    <w:rsid w:val="00A42541"/>
    <w:rsid w:val="00A4281F"/>
    <w:rsid w:val="00A42AF3"/>
    <w:rsid w:val="00A42B2C"/>
    <w:rsid w:val="00A42C4F"/>
    <w:rsid w:val="00A42DBD"/>
    <w:rsid w:val="00A43800"/>
    <w:rsid w:val="00A43B12"/>
    <w:rsid w:val="00A43F40"/>
    <w:rsid w:val="00A440BB"/>
    <w:rsid w:val="00A44352"/>
    <w:rsid w:val="00A443F8"/>
    <w:rsid w:val="00A44B71"/>
    <w:rsid w:val="00A44F25"/>
    <w:rsid w:val="00A454F8"/>
    <w:rsid w:val="00A45648"/>
    <w:rsid w:val="00A46116"/>
    <w:rsid w:val="00A4615A"/>
    <w:rsid w:val="00A4692E"/>
    <w:rsid w:val="00A46AC2"/>
    <w:rsid w:val="00A46FAA"/>
    <w:rsid w:val="00A472E3"/>
    <w:rsid w:val="00A47354"/>
    <w:rsid w:val="00A473DE"/>
    <w:rsid w:val="00A47635"/>
    <w:rsid w:val="00A47861"/>
    <w:rsid w:val="00A47F5A"/>
    <w:rsid w:val="00A47F7B"/>
    <w:rsid w:val="00A47F90"/>
    <w:rsid w:val="00A503EE"/>
    <w:rsid w:val="00A509B6"/>
    <w:rsid w:val="00A50A8B"/>
    <w:rsid w:val="00A50AA8"/>
    <w:rsid w:val="00A50C55"/>
    <w:rsid w:val="00A51018"/>
    <w:rsid w:val="00A51EEC"/>
    <w:rsid w:val="00A5236F"/>
    <w:rsid w:val="00A52A1D"/>
    <w:rsid w:val="00A52B5F"/>
    <w:rsid w:val="00A52D11"/>
    <w:rsid w:val="00A52F7C"/>
    <w:rsid w:val="00A53811"/>
    <w:rsid w:val="00A53D18"/>
    <w:rsid w:val="00A53EC6"/>
    <w:rsid w:val="00A53FFF"/>
    <w:rsid w:val="00A540D0"/>
    <w:rsid w:val="00A54C7D"/>
    <w:rsid w:val="00A54CB3"/>
    <w:rsid w:val="00A553CB"/>
    <w:rsid w:val="00A55470"/>
    <w:rsid w:val="00A554CE"/>
    <w:rsid w:val="00A558E9"/>
    <w:rsid w:val="00A55C0F"/>
    <w:rsid w:val="00A56437"/>
    <w:rsid w:val="00A564E2"/>
    <w:rsid w:val="00A56655"/>
    <w:rsid w:val="00A567F2"/>
    <w:rsid w:val="00A57817"/>
    <w:rsid w:val="00A579E6"/>
    <w:rsid w:val="00A57A9C"/>
    <w:rsid w:val="00A57B92"/>
    <w:rsid w:val="00A57D33"/>
    <w:rsid w:val="00A57DD1"/>
    <w:rsid w:val="00A6002C"/>
    <w:rsid w:val="00A60052"/>
    <w:rsid w:val="00A60069"/>
    <w:rsid w:val="00A60386"/>
    <w:rsid w:val="00A6046C"/>
    <w:rsid w:val="00A60611"/>
    <w:rsid w:val="00A6072E"/>
    <w:rsid w:val="00A61073"/>
    <w:rsid w:val="00A610BF"/>
    <w:rsid w:val="00A619C8"/>
    <w:rsid w:val="00A61D49"/>
    <w:rsid w:val="00A61E07"/>
    <w:rsid w:val="00A61EDC"/>
    <w:rsid w:val="00A61EDD"/>
    <w:rsid w:val="00A6212E"/>
    <w:rsid w:val="00A62DFC"/>
    <w:rsid w:val="00A62FFB"/>
    <w:rsid w:val="00A63492"/>
    <w:rsid w:val="00A635F6"/>
    <w:rsid w:val="00A6362B"/>
    <w:rsid w:val="00A63BCB"/>
    <w:rsid w:val="00A63C32"/>
    <w:rsid w:val="00A63DB2"/>
    <w:rsid w:val="00A63FD0"/>
    <w:rsid w:val="00A64190"/>
    <w:rsid w:val="00A64636"/>
    <w:rsid w:val="00A6503B"/>
    <w:rsid w:val="00A650E5"/>
    <w:rsid w:val="00A657AE"/>
    <w:rsid w:val="00A657B3"/>
    <w:rsid w:val="00A659CA"/>
    <w:rsid w:val="00A65FFB"/>
    <w:rsid w:val="00A662CB"/>
    <w:rsid w:val="00A66329"/>
    <w:rsid w:val="00A66699"/>
    <w:rsid w:val="00A66F37"/>
    <w:rsid w:val="00A670D7"/>
    <w:rsid w:val="00A67694"/>
    <w:rsid w:val="00A67C1F"/>
    <w:rsid w:val="00A67FD2"/>
    <w:rsid w:val="00A7004A"/>
    <w:rsid w:val="00A704F4"/>
    <w:rsid w:val="00A70FE6"/>
    <w:rsid w:val="00A71549"/>
    <w:rsid w:val="00A717AC"/>
    <w:rsid w:val="00A7186F"/>
    <w:rsid w:val="00A71E6B"/>
    <w:rsid w:val="00A720AF"/>
    <w:rsid w:val="00A7221F"/>
    <w:rsid w:val="00A72270"/>
    <w:rsid w:val="00A72CD7"/>
    <w:rsid w:val="00A73062"/>
    <w:rsid w:val="00A735CA"/>
    <w:rsid w:val="00A73916"/>
    <w:rsid w:val="00A73CC5"/>
    <w:rsid w:val="00A73F06"/>
    <w:rsid w:val="00A743C9"/>
    <w:rsid w:val="00A747F3"/>
    <w:rsid w:val="00A74901"/>
    <w:rsid w:val="00A74EE1"/>
    <w:rsid w:val="00A75247"/>
    <w:rsid w:val="00A75C08"/>
    <w:rsid w:val="00A75DB1"/>
    <w:rsid w:val="00A76648"/>
    <w:rsid w:val="00A77670"/>
    <w:rsid w:val="00A77788"/>
    <w:rsid w:val="00A77B10"/>
    <w:rsid w:val="00A77BB2"/>
    <w:rsid w:val="00A80099"/>
    <w:rsid w:val="00A800CD"/>
    <w:rsid w:val="00A803EF"/>
    <w:rsid w:val="00A80B79"/>
    <w:rsid w:val="00A810C8"/>
    <w:rsid w:val="00A81584"/>
    <w:rsid w:val="00A8171F"/>
    <w:rsid w:val="00A81957"/>
    <w:rsid w:val="00A81F80"/>
    <w:rsid w:val="00A82568"/>
    <w:rsid w:val="00A82776"/>
    <w:rsid w:val="00A82A31"/>
    <w:rsid w:val="00A82ADE"/>
    <w:rsid w:val="00A82DDA"/>
    <w:rsid w:val="00A82F0E"/>
    <w:rsid w:val="00A8305E"/>
    <w:rsid w:val="00A835AD"/>
    <w:rsid w:val="00A83660"/>
    <w:rsid w:val="00A841B6"/>
    <w:rsid w:val="00A845C0"/>
    <w:rsid w:val="00A84D46"/>
    <w:rsid w:val="00A84F18"/>
    <w:rsid w:val="00A85221"/>
    <w:rsid w:val="00A8576B"/>
    <w:rsid w:val="00A85EBD"/>
    <w:rsid w:val="00A862B1"/>
    <w:rsid w:val="00A867BE"/>
    <w:rsid w:val="00A86E0F"/>
    <w:rsid w:val="00A8713F"/>
    <w:rsid w:val="00A87289"/>
    <w:rsid w:val="00A873ED"/>
    <w:rsid w:val="00A8763C"/>
    <w:rsid w:val="00A87964"/>
    <w:rsid w:val="00A87F96"/>
    <w:rsid w:val="00A905EA"/>
    <w:rsid w:val="00A909E6"/>
    <w:rsid w:val="00A90A83"/>
    <w:rsid w:val="00A90BA1"/>
    <w:rsid w:val="00A90C64"/>
    <w:rsid w:val="00A9146B"/>
    <w:rsid w:val="00A91B97"/>
    <w:rsid w:val="00A91D46"/>
    <w:rsid w:val="00A91E05"/>
    <w:rsid w:val="00A9208F"/>
    <w:rsid w:val="00A924CE"/>
    <w:rsid w:val="00A92510"/>
    <w:rsid w:val="00A9264C"/>
    <w:rsid w:val="00A92661"/>
    <w:rsid w:val="00A926AB"/>
    <w:rsid w:val="00A92723"/>
    <w:rsid w:val="00A928CA"/>
    <w:rsid w:val="00A93442"/>
    <w:rsid w:val="00A93611"/>
    <w:rsid w:val="00A93628"/>
    <w:rsid w:val="00A9365F"/>
    <w:rsid w:val="00A93BB3"/>
    <w:rsid w:val="00A93E47"/>
    <w:rsid w:val="00A946A3"/>
    <w:rsid w:val="00A946F6"/>
    <w:rsid w:val="00A94D8B"/>
    <w:rsid w:val="00A954C7"/>
    <w:rsid w:val="00A95824"/>
    <w:rsid w:val="00A95A04"/>
    <w:rsid w:val="00A95D67"/>
    <w:rsid w:val="00A95FAA"/>
    <w:rsid w:val="00A96242"/>
    <w:rsid w:val="00A964C4"/>
    <w:rsid w:val="00A965BC"/>
    <w:rsid w:val="00A96B27"/>
    <w:rsid w:val="00A971D8"/>
    <w:rsid w:val="00A972BB"/>
    <w:rsid w:val="00A97612"/>
    <w:rsid w:val="00A976AE"/>
    <w:rsid w:val="00A9781D"/>
    <w:rsid w:val="00A97899"/>
    <w:rsid w:val="00A97A9A"/>
    <w:rsid w:val="00AA0405"/>
    <w:rsid w:val="00AA0671"/>
    <w:rsid w:val="00AA09F5"/>
    <w:rsid w:val="00AA0EE2"/>
    <w:rsid w:val="00AA10BF"/>
    <w:rsid w:val="00AA1386"/>
    <w:rsid w:val="00AA1FA4"/>
    <w:rsid w:val="00AA21E4"/>
    <w:rsid w:val="00AA22A0"/>
    <w:rsid w:val="00AA2513"/>
    <w:rsid w:val="00AA2531"/>
    <w:rsid w:val="00AA25D2"/>
    <w:rsid w:val="00AA27C4"/>
    <w:rsid w:val="00AA2836"/>
    <w:rsid w:val="00AA299E"/>
    <w:rsid w:val="00AA2EAF"/>
    <w:rsid w:val="00AA3F9E"/>
    <w:rsid w:val="00AA3FD7"/>
    <w:rsid w:val="00AA4163"/>
    <w:rsid w:val="00AA452C"/>
    <w:rsid w:val="00AA4724"/>
    <w:rsid w:val="00AA479A"/>
    <w:rsid w:val="00AA4C16"/>
    <w:rsid w:val="00AA4D3F"/>
    <w:rsid w:val="00AA565D"/>
    <w:rsid w:val="00AA5ACB"/>
    <w:rsid w:val="00AA5B0B"/>
    <w:rsid w:val="00AA5EC3"/>
    <w:rsid w:val="00AA6583"/>
    <w:rsid w:val="00AA67AE"/>
    <w:rsid w:val="00AA78EF"/>
    <w:rsid w:val="00AA79AF"/>
    <w:rsid w:val="00AB04C0"/>
    <w:rsid w:val="00AB098D"/>
    <w:rsid w:val="00AB0ADA"/>
    <w:rsid w:val="00AB0D19"/>
    <w:rsid w:val="00AB102D"/>
    <w:rsid w:val="00AB1786"/>
    <w:rsid w:val="00AB18F8"/>
    <w:rsid w:val="00AB1ABB"/>
    <w:rsid w:val="00AB1C79"/>
    <w:rsid w:val="00AB1E09"/>
    <w:rsid w:val="00AB2021"/>
    <w:rsid w:val="00AB2CFD"/>
    <w:rsid w:val="00AB366B"/>
    <w:rsid w:val="00AB3C36"/>
    <w:rsid w:val="00AB3DDA"/>
    <w:rsid w:val="00AB41CC"/>
    <w:rsid w:val="00AB5330"/>
    <w:rsid w:val="00AB5901"/>
    <w:rsid w:val="00AB594E"/>
    <w:rsid w:val="00AB5C87"/>
    <w:rsid w:val="00AB6968"/>
    <w:rsid w:val="00AB6B1D"/>
    <w:rsid w:val="00AB6B8C"/>
    <w:rsid w:val="00AB6FCD"/>
    <w:rsid w:val="00AB7747"/>
    <w:rsid w:val="00AB7D45"/>
    <w:rsid w:val="00AC026A"/>
    <w:rsid w:val="00AC1065"/>
    <w:rsid w:val="00AC1120"/>
    <w:rsid w:val="00AC14CE"/>
    <w:rsid w:val="00AC18D8"/>
    <w:rsid w:val="00AC1CFF"/>
    <w:rsid w:val="00AC1F5F"/>
    <w:rsid w:val="00AC2612"/>
    <w:rsid w:val="00AC2A56"/>
    <w:rsid w:val="00AC2DDF"/>
    <w:rsid w:val="00AC2E75"/>
    <w:rsid w:val="00AC332F"/>
    <w:rsid w:val="00AC3889"/>
    <w:rsid w:val="00AC389E"/>
    <w:rsid w:val="00AC390B"/>
    <w:rsid w:val="00AC3AA0"/>
    <w:rsid w:val="00AC3C70"/>
    <w:rsid w:val="00AC450F"/>
    <w:rsid w:val="00AC4792"/>
    <w:rsid w:val="00AC4B2F"/>
    <w:rsid w:val="00AC4C8E"/>
    <w:rsid w:val="00AC4D8A"/>
    <w:rsid w:val="00AC4EC2"/>
    <w:rsid w:val="00AC5422"/>
    <w:rsid w:val="00AC59C6"/>
    <w:rsid w:val="00AC5CF6"/>
    <w:rsid w:val="00AC5DA5"/>
    <w:rsid w:val="00AC6179"/>
    <w:rsid w:val="00AC67A3"/>
    <w:rsid w:val="00AC6B8D"/>
    <w:rsid w:val="00AC6FDD"/>
    <w:rsid w:val="00AC76A4"/>
    <w:rsid w:val="00AC7E88"/>
    <w:rsid w:val="00AD055E"/>
    <w:rsid w:val="00AD0674"/>
    <w:rsid w:val="00AD07D0"/>
    <w:rsid w:val="00AD169D"/>
    <w:rsid w:val="00AD1824"/>
    <w:rsid w:val="00AD1B70"/>
    <w:rsid w:val="00AD1BC8"/>
    <w:rsid w:val="00AD1DDE"/>
    <w:rsid w:val="00AD1F2F"/>
    <w:rsid w:val="00AD2D46"/>
    <w:rsid w:val="00AD38EE"/>
    <w:rsid w:val="00AD3913"/>
    <w:rsid w:val="00AD3A37"/>
    <w:rsid w:val="00AD3C42"/>
    <w:rsid w:val="00AD3CCD"/>
    <w:rsid w:val="00AD3FD8"/>
    <w:rsid w:val="00AD4262"/>
    <w:rsid w:val="00AD47A7"/>
    <w:rsid w:val="00AD4C80"/>
    <w:rsid w:val="00AD5176"/>
    <w:rsid w:val="00AD56F4"/>
    <w:rsid w:val="00AD6538"/>
    <w:rsid w:val="00AD6692"/>
    <w:rsid w:val="00AD6756"/>
    <w:rsid w:val="00AD753E"/>
    <w:rsid w:val="00AD7D9F"/>
    <w:rsid w:val="00AE0C3B"/>
    <w:rsid w:val="00AE0E68"/>
    <w:rsid w:val="00AE132C"/>
    <w:rsid w:val="00AE1AFC"/>
    <w:rsid w:val="00AE2176"/>
    <w:rsid w:val="00AE2282"/>
    <w:rsid w:val="00AE24FA"/>
    <w:rsid w:val="00AE27F8"/>
    <w:rsid w:val="00AE2C04"/>
    <w:rsid w:val="00AE306F"/>
    <w:rsid w:val="00AE30CB"/>
    <w:rsid w:val="00AE30D8"/>
    <w:rsid w:val="00AE31DB"/>
    <w:rsid w:val="00AE324D"/>
    <w:rsid w:val="00AE39EF"/>
    <w:rsid w:val="00AE46BE"/>
    <w:rsid w:val="00AE4970"/>
    <w:rsid w:val="00AE58F1"/>
    <w:rsid w:val="00AE5D71"/>
    <w:rsid w:val="00AE624E"/>
    <w:rsid w:val="00AE65DF"/>
    <w:rsid w:val="00AE799B"/>
    <w:rsid w:val="00AE7A3B"/>
    <w:rsid w:val="00AE7C69"/>
    <w:rsid w:val="00AE7DAB"/>
    <w:rsid w:val="00AF003E"/>
    <w:rsid w:val="00AF0C12"/>
    <w:rsid w:val="00AF0CBF"/>
    <w:rsid w:val="00AF0FEA"/>
    <w:rsid w:val="00AF1215"/>
    <w:rsid w:val="00AF127E"/>
    <w:rsid w:val="00AF128F"/>
    <w:rsid w:val="00AF19CA"/>
    <w:rsid w:val="00AF1A4E"/>
    <w:rsid w:val="00AF1B9A"/>
    <w:rsid w:val="00AF2079"/>
    <w:rsid w:val="00AF20F3"/>
    <w:rsid w:val="00AF257F"/>
    <w:rsid w:val="00AF2767"/>
    <w:rsid w:val="00AF33CF"/>
    <w:rsid w:val="00AF3B94"/>
    <w:rsid w:val="00AF3E15"/>
    <w:rsid w:val="00AF40B4"/>
    <w:rsid w:val="00AF40D3"/>
    <w:rsid w:val="00AF4D50"/>
    <w:rsid w:val="00AF5786"/>
    <w:rsid w:val="00AF5E43"/>
    <w:rsid w:val="00AF6179"/>
    <w:rsid w:val="00AF6567"/>
    <w:rsid w:val="00AF668A"/>
    <w:rsid w:val="00AF67F3"/>
    <w:rsid w:val="00AF6916"/>
    <w:rsid w:val="00AF6A72"/>
    <w:rsid w:val="00AF6D67"/>
    <w:rsid w:val="00B004A0"/>
    <w:rsid w:val="00B0053D"/>
    <w:rsid w:val="00B007A0"/>
    <w:rsid w:val="00B0110C"/>
    <w:rsid w:val="00B01CD6"/>
    <w:rsid w:val="00B0208D"/>
    <w:rsid w:val="00B02669"/>
    <w:rsid w:val="00B02D56"/>
    <w:rsid w:val="00B02D7F"/>
    <w:rsid w:val="00B03094"/>
    <w:rsid w:val="00B0392A"/>
    <w:rsid w:val="00B039F5"/>
    <w:rsid w:val="00B03BCB"/>
    <w:rsid w:val="00B03C2F"/>
    <w:rsid w:val="00B03E72"/>
    <w:rsid w:val="00B03EA7"/>
    <w:rsid w:val="00B04D5F"/>
    <w:rsid w:val="00B04E48"/>
    <w:rsid w:val="00B05273"/>
    <w:rsid w:val="00B054F5"/>
    <w:rsid w:val="00B0568E"/>
    <w:rsid w:val="00B059B1"/>
    <w:rsid w:val="00B05E77"/>
    <w:rsid w:val="00B06A92"/>
    <w:rsid w:val="00B07355"/>
    <w:rsid w:val="00B07884"/>
    <w:rsid w:val="00B100B7"/>
    <w:rsid w:val="00B1087D"/>
    <w:rsid w:val="00B110E9"/>
    <w:rsid w:val="00B1142E"/>
    <w:rsid w:val="00B1153F"/>
    <w:rsid w:val="00B11B20"/>
    <w:rsid w:val="00B11DF4"/>
    <w:rsid w:val="00B120B2"/>
    <w:rsid w:val="00B1289E"/>
    <w:rsid w:val="00B1295A"/>
    <w:rsid w:val="00B13BB8"/>
    <w:rsid w:val="00B13D76"/>
    <w:rsid w:val="00B1496C"/>
    <w:rsid w:val="00B15100"/>
    <w:rsid w:val="00B15212"/>
    <w:rsid w:val="00B15438"/>
    <w:rsid w:val="00B15D00"/>
    <w:rsid w:val="00B15FA8"/>
    <w:rsid w:val="00B16200"/>
    <w:rsid w:val="00B16398"/>
    <w:rsid w:val="00B16F91"/>
    <w:rsid w:val="00B171D4"/>
    <w:rsid w:val="00B173D0"/>
    <w:rsid w:val="00B17562"/>
    <w:rsid w:val="00B17898"/>
    <w:rsid w:val="00B17C37"/>
    <w:rsid w:val="00B20A45"/>
    <w:rsid w:val="00B20ACA"/>
    <w:rsid w:val="00B20DD6"/>
    <w:rsid w:val="00B219E5"/>
    <w:rsid w:val="00B21AE2"/>
    <w:rsid w:val="00B225BE"/>
    <w:rsid w:val="00B227FA"/>
    <w:rsid w:val="00B22C5C"/>
    <w:rsid w:val="00B22CB7"/>
    <w:rsid w:val="00B22D5F"/>
    <w:rsid w:val="00B233DB"/>
    <w:rsid w:val="00B23719"/>
    <w:rsid w:val="00B238D7"/>
    <w:rsid w:val="00B23BDF"/>
    <w:rsid w:val="00B24024"/>
    <w:rsid w:val="00B24515"/>
    <w:rsid w:val="00B24A31"/>
    <w:rsid w:val="00B24F30"/>
    <w:rsid w:val="00B2504D"/>
    <w:rsid w:val="00B25316"/>
    <w:rsid w:val="00B2577D"/>
    <w:rsid w:val="00B25B96"/>
    <w:rsid w:val="00B268D7"/>
    <w:rsid w:val="00B26C4C"/>
    <w:rsid w:val="00B27455"/>
    <w:rsid w:val="00B27DB6"/>
    <w:rsid w:val="00B30408"/>
    <w:rsid w:val="00B3094E"/>
    <w:rsid w:val="00B30AC4"/>
    <w:rsid w:val="00B319B4"/>
    <w:rsid w:val="00B31ABF"/>
    <w:rsid w:val="00B31B6A"/>
    <w:rsid w:val="00B3248A"/>
    <w:rsid w:val="00B32C05"/>
    <w:rsid w:val="00B33677"/>
    <w:rsid w:val="00B33A13"/>
    <w:rsid w:val="00B33BE3"/>
    <w:rsid w:val="00B33D56"/>
    <w:rsid w:val="00B34828"/>
    <w:rsid w:val="00B35468"/>
    <w:rsid w:val="00B354F2"/>
    <w:rsid w:val="00B35839"/>
    <w:rsid w:val="00B36728"/>
    <w:rsid w:val="00B368AF"/>
    <w:rsid w:val="00B36DB7"/>
    <w:rsid w:val="00B370D9"/>
    <w:rsid w:val="00B3776A"/>
    <w:rsid w:val="00B37845"/>
    <w:rsid w:val="00B37B08"/>
    <w:rsid w:val="00B37E82"/>
    <w:rsid w:val="00B40925"/>
    <w:rsid w:val="00B40BC3"/>
    <w:rsid w:val="00B413B5"/>
    <w:rsid w:val="00B41E0F"/>
    <w:rsid w:val="00B4229D"/>
    <w:rsid w:val="00B42349"/>
    <w:rsid w:val="00B42393"/>
    <w:rsid w:val="00B4257C"/>
    <w:rsid w:val="00B4266C"/>
    <w:rsid w:val="00B42701"/>
    <w:rsid w:val="00B42BB7"/>
    <w:rsid w:val="00B433E1"/>
    <w:rsid w:val="00B43408"/>
    <w:rsid w:val="00B43622"/>
    <w:rsid w:val="00B4375C"/>
    <w:rsid w:val="00B43775"/>
    <w:rsid w:val="00B43AE3"/>
    <w:rsid w:val="00B43F1C"/>
    <w:rsid w:val="00B440B5"/>
    <w:rsid w:val="00B4416A"/>
    <w:rsid w:val="00B44B19"/>
    <w:rsid w:val="00B44CF0"/>
    <w:rsid w:val="00B44E1A"/>
    <w:rsid w:val="00B45008"/>
    <w:rsid w:val="00B458EE"/>
    <w:rsid w:val="00B467D4"/>
    <w:rsid w:val="00B46AA6"/>
    <w:rsid w:val="00B46BC6"/>
    <w:rsid w:val="00B46C67"/>
    <w:rsid w:val="00B47A0F"/>
    <w:rsid w:val="00B50177"/>
    <w:rsid w:val="00B50221"/>
    <w:rsid w:val="00B5099B"/>
    <w:rsid w:val="00B51168"/>
    <w:rsid w:val="00B517A7"/>
    <w:rsid w:val="00B52EF2"/>
    <w:rsid w:val="00B52F3D"/>
    <w:rsid w:val="00B5334A"/>
    <w:rsid w:val="00B5337E"/>
    <w:rsid w:val="00B533D1"/>
    <w:rsid w:val="00B535A7"/>
    <w:rsid w:val="00B53B5D"/>
    <w:rsid w:val="00B54382"/>
    <w:rsid w:val="00B543D0"/>
    <w:rsid w:val="00B545A8"/>
    <w:rsid w:val="00B54C06"/>
    <w:rsid w:val="00B54E1F"/>
    <w:rsid w:val="00B54E81"/>
    <w:rsid w:val="00B55CCB"/>
    <w:rsid w:val="00B55D81"/>
    <w:rsid w:val="00B55FC2"/>
    <w:rsid w:val="00B563B3"/>
    <w:rsid w:val="00B564EE"/>
    <w:rsid w:val="00B56666"/>
    <w:rsid w:val="00B567B8"/>
    <w:rsid w:val="00B576B2"/>
    <w:rsid w:val="00B5789E"/>
    <w:rsid w:val="00B579A8"/>
    <w:rsid w:val="00B57B59"/>
    <w:rsid w:val="00B6055E"/>
    <w:rsid w:val="00B606C4"/>
    <w:rsid w:val="00B61194"/>
    <w:rsid w:val="00B6161D"/>
    <w:rsid w:val="00B61F29"/>
    <w:rsid w:val="00B621C0"/>
    <w:rsid w:val="00B62450"/>
    <w:rsid w:val="00B625C8"/>
    <w:rsid w:val="00B62B19"/>
    <w:rsid w:val="00B62E2A"/>
    <w:rsid w:val="00B6317D"/>
    <w:rsid w:val="00B63387"/>
    <w:rsid w:val="00B638D6"/>
    <w:rsid w:val="00B63D75"/>
    <w:rsid w:val="00B6412E"/>
    <w:rsid w:val="00B641EF"/>
    <w:rsid w:val="00B643A2"/>
    <w:rsid w:val="00B65752"/>
    <w:rsid w:val="00B65EB5"/>
    <w:rsid w:val="00B65F1E"/>
    <w:rsid w:val="00B65FFD"/>
    <w:rsid w:val="00B66460"/>
    <w:rsid w:val="00B66BCB"/>
    <w:rsid w:val="00B66F0F"/>
    <w:rsid w:val="00B66F45"/>
    <w:rsid w:val="00B67342"/>
    <w:rsid w:val="00B6757C"/>
    <w:rsid w:val="00B7024E"/>
    <w:rsid w:val="00B709DF"/>
    <w:rsid w:val="00B717CC"/>
    <w:rsid w:val="00B71937"/>
    <w:rsid w:val="00B72231"/>
    <w:rsid w:val="00B725FC"/>
    <w:rsid w:val="00B73054"/>
    <w:rsid w:val="00B7353C"/>
    <w:rsid w:val="00B741A3"/>
    <w:rsid w:val="00B74223"/>
    <w:rsid w:val="00B74383"/>
    <w:rsid w:val="00B74686"/>
    <w:rsid w:val="00B74F39"/>
    <w:rsid w:val="00B75081"/>
    <w:rsid w:val="00B750CF"/>
    <w:rsid w:val="00B755CB"/>
    <w:rsid w:val="00B75AA3"/>
    <w:rsid w:val="00B75AD3"/>
    <w:rsid w:val="00B75E76"/>
    <w:rsid w:val="00B75FE5"/>
    <w:rsid w:val="00B7654F"/>
    <w:rsid w:val="00B76D39"/>
    <w:rsid w:val="00B76EE6"/>
    <w:rsid w:val="00B76F33"/>
    <w:rsid w:val="00B7704F"/>
    <w:rsid w:val="00B7723F"/>
    <w:rsid w:val="00B7749C"/>
    <w:rsid w:val="00B77BC6"/>
    <w:rsid w:val="00B8025A"/>
    <w:rsid w:val="00B80534"/>
    <w:rsid w:val="00B809AB"/>
    <w:rsid w:val="00B80E0B"/>
    <w:rsid w:val="00B8117B"/>
    <w:rsid w:val="00B81C4A"/>
    <w:rsid w:val="00B822D4"/>
    <w:rsid w:val="00B8433C"/>
    <w:rsid w:val="00B84A74"/>
    <w:rsid w:val="00B85A5F"/>
    <w:rsid w:val="00B85D9C"/>
    <w:rsid w:val="00B868D7"/>
    <w:rsid w:val="00B87087"/>
    <w:rsid w:val="00B873CC"/>
    <w:rsid w:val="00B87491"/>
    <w:rsid w:val="00B87897"/>
    <w:rsid w:val="00B87E6C"/>
    <w:rsid w:val="00B87E92"/>
    <w:rsid w:val="00B90034"/>
    <w:rsid w:val="00B9018F"/>
    <w:rsid w:val="00B90ACF"/>
    <w:rsid w:val="00B90FDF"/>
    <w:rsid w:val="00B9103D"/>
    <w:rsid w:val="00B91281"/>
    <w:rsid w:val="00B9140D"/>
    <w:rsid w:val="00B92893"/>
    <w:rsid w:val="00B92AB9"/>
    <w:rsid w:val="00B92AFE"/>
    <w:rsid w:val="00B93920"/>
    <w:rsid w:val="00B93D4B"/>
    <w:rsid w:val="00B9429C"/>
    <w:rsid w:val="00B949CB"/>
    <w:rsid w:val="00B94CCD"/>
    <w:rsid w:val="00B950EE"/>
    <w:rsid w:val="00B958AF"/>
    <w:rsid w:val="00B95DCD"/>
    <w:rsid w:val="00B964D8"/>
    <w:rsid w:val="00B96D1D"/>
    <w:rsid w:val="00B97321"/>
    <w:rsid w:val="00B9754E"/>
    <w:rsid w:val="00B97637"/>
    <w:rsid w:val="00B97AC5"/>
    <w:rsid w:val="00BA02D5"/>
    <w:rsid w:val="00BA10C7"/>
    <w:rsid w:val="00BA291F"/>
    <w:rsid w:val="00BA29E9"/>
    <w:rsid w:val="00BA3249"/>
    <w:rsid w:val="00BA345A"/>
    <w:rsid w:val="00BA3670"/>
    <w:rsid w:val="00BA3B66"/>
    <w:rsid w:val="00BA422E"/>
    <w:rsid w:val="00BA427E"/>
    <w:rsid w:val="00BA45D3"/>
    <w:rsid w:val="00BA471E"/>
    <w:rsid w:val="00BA4AF5"/>
    <w:rsid w:val="00BA4C76"/>
    <w:rsid w:val="00BA513D"/>
    <w:rsid w:val="00BA5465"/>
    <w:rsid w:val="00BA55D5"/>
    <w:rsid w:val="00BA58B9"/>
    <w:rsid w:val="00BA6624"/>
    <w:rsid w:val="00BA7142"/>
    <w:rsid w:val="00BA764A"/>
    <w:rsid w:val="00BA7C6B"/>
    <w:rsid w:val="00BB0DFA"/>
    <w:rsid w:val="00BB10A1"/>
    <w:rsid w:val="00BB1C0A"/>
    <w:rsid w:val="00BB232D"/>
    <w:rsid w:val="00BB237C"/>
    <w:rsid w:val="00BB3AAC"/>
    <w:rsid w:val="00BB3BAE"/>
    <w:rsid w:val="00BB3DED"/>
    <w:rsid w:val="00BB3F09"/>
    <w:rsid w:val="00BB41A3"/>
    <w:rsid w:val="00BB4F07"/>
    <w:rsid w:val="00BB50AE"/>
    <w:rsid w:val="00BB534B"/>
    <w:rsid w:val="00BB549A"/>
    <w:rsid w:val="00BB5B65"/>
    <w:rsid w:val="00BB5D3B"/>
    <w:rsid w:val="00BB5EB8"/>
    <w:rsid w:val="00BB6024"/>
    <w:rsid w:val="00BB60B9"/>
    <w:rsid w:val="00BB634D"/>
    <w:rsid w:val="00BB65CB"/>
    <w:rsid w:val="00BB6B3C"/>
    <w:rsid w:val="00BB7550"/>
    <w:rsid w:val="00BB77E8"/>
    <w:rsid w:val="00BC01D6"/>
    <w:rsid w:val="00BC029C"/>
    <w:rsid w:val="00BC030B"/>
    <w:rsid w:val="00BC0640"/>
    <w:rsid w:val="00BC09A0"/>
    <w:rsid w:val="00BC0BF5"/>
    <w:rsid w:val="00BC0E99"/>
    <w:rsid w:val="00BC12A2"/>
    <w:rsid w:val="00BC199F"/>
    <w:rsid w:val="00BC1DA0"/>
    <w:rsid w:val="00BC1E08"/>
    <w:rsid w:val="00BC2117"/>
    <w:rsid w:val="00BC2C3D"/>
    <w:rsid w:val="00BC3207"/>
    <w:rsid w:val="00BC32DC"/>
    <w:rsid w:val="00BC35B6"/>
    <w:rsid w:val="00BC3B4F"/>
    <w:rsid w:val="00BC4E71"/>
    <w:rsid w:val="00BC509A"/>
    <w:rsid w:val="00BC58AE"/>
    <w:rsid w:val="00BC5C16"/>
    <w:rsid w:val="00BC606E"/>
    <w:rsid w:val="00BC6450"/>
    <w:rsid w:val="00BC6871"/>
    <w:rsid w:val="00BC68EB"/>
    <w:rsid w:val="00BC6CCA"/>
    <w:rsid w:val="00BC7389"/>
    <w:rsid w:val="00BC78E1"/>
    <w:rsid w:val="00BC7BE3"/>
    <w:rsid w:val="00BC7EBA"/>
    <w:rsid w:val="00BD0564"/>
    <w:rsid w:val="00BD0AB3"/>
    <w:rsid w:val="00BD14EC"/>
    <w:rsid w:val="00BD1B51"/>
    <w:rsid w:val="00BD2091"/>
    <w:rsid w:val="00BD232A"/>
    <w:rsid w:val="00BD246C"/>
    <w:rsid w:val="00BD27DA"/>
    <w:rsid w:val="00BD3275"/>
    <w:rsid w:val="00BD335B"/>
    <w:rsid w:val="00BD4596"/>
    <w:rsid w:val="00BD4B31"/>
    <w:rsid w:val="00BD4C19"/>
    <w:rsid w:val="00BD4E62"/>
    <w:rsid w:val="00BD5077"/>
    <w:rsid w:val="00BD5370"/>
    <w:rsid w:val="00BD5A77"/>
    <w:rsid w:val="00BD5F86"/>
    <w:rsid w:val="00BD60F1"/>
    <w:rsid w:val="00BD6269"/>
    <w:rsid w:val="00BD62C8"/>
    <w:rsid w:val="00BD6327"/>
    <w:rsid w:val="00BD63C0"/>
    <w:rsid w:val="00BD66B0"/>
    <w:rsid w:val="00BD6B9D"/>
    <w:rsid w:val="00BD6F9B"/>
    <w:rsid w:val="00BD6FDC"/>
    <w:rsid w:val="00BD75F3"/>
    <w:rsid w:val="00BD7D04"/>
    <w:rsid w:val="00BE002A"/>
    <w:rsid w:val="00BE0980"/>
    <w:rsid w:val="00BE0A1D"/>
    <w:rsid w:val="00BE0DFC"/>
    <w:rsid w:val="00BE0E45"/>
    <w:rsid w:val="00BE1405"/>
    <w:rsid w:val="00BE2517"/>
    <w:rsid w:val="00BE2671"/>
    <w:rsid w:val="00BE28F6"/>
    <w:rsid w:val="00BE2ABF"/>
    <w:rsid w:val="00BE2F61"/>
    <w:rsid w:val="00BE312D"/>
    <w:rsid w:val="00BE36C5"/>
    <w:rsid w:val="00BE3CB7"/>
    <w:rsid w:val="00BE3E1D"/>
    <w:rsid w:val="00BE3F0F"/>
    <w:rsid w:val="00BE4B47"/>
    <w:rsid w:val="00BE4BE4"/>
    <w:rsid w:val="00BE4FF2"/>
    <w:rsid w:val="00BE5C03"/>
    <w:rsid w:val="00BE67DD"/>
    <w:rsid w:val="00BE6CF9"/>
    <w:rsid w:val="00BE7067"/>
    <w:rsid w:val="00BE753B"/>
    <w:rsid w:val="00BE761E"/>
    <w:rsid w:val="00BE7BED"/>
    <w:rsid w:val="00BF0B1F"/>
    <w:rsid w:val="00BF0FD4"/>
    <w:rsid w:val="00BF10B5"/>
    <w:rsid w:val="00BF1C20"/>
    <w:rsid w:val="00BF1DDF"/>
    <w:rsid w:val="00BF1E3C"/>
    <w:rsid w:val="00BF1FBF"/>
    <w:rsid w:val="00BF2233"/>
    <w:rsid w:val="00BF2312"/>
    <w:rsid w:val="00BF3281"/>
    <w:rsid w:val="00BF36B0"/>
    <w:rsid w:val="00BF3EBD"/>
    <w:rsid w:val="00BF4059"/>
    <w:rsid w:val="00BF42FB"/>
    <w:rsid w:val="00BF44CA"/>
    <w:rsid w:val="00BF509A"/>
    <w:rsid w:val="00BF552E"/>
    <w:rsid w:val="00BF6416"/>
    <w:rsid w:val="00BF64D7"/>
    <w:rsid w:val="00BF692B"/>
    <w:rsid w:val="00BF6D88"/>
    <w:rsid w:val="00BF6EF9"/>
    <w:rsid w:val="00BF7139"/>
    <w:rsid w:val="00BF7652"/>
    <w:rsid w:val="00C00CEC"/>
    <w:rsid w:val="00C00CF2"/>
    <w:rsid w:val="00C01CD2"/>
    <w:rsid w:val="00C0209B"/>
    <w:rsid w:val="00C02489"/>
    <w:rsid w:val="00C02823"/>
    <w:rsid w:val="00C0298B"/>
    <w:rsid w:val="00C02C34"/>
    <w:rsid w:val="00C02C75"/>
    <w:rsid w:val="00C03222"/>
    <w:rsid w:val="00C0342B"/>
    <w:rsid w:val="00C03D45"/>
    <w:rsid w:val="00C0414F"/>
    <w:rsid w:val="00C0458F"/>
    <w:rsid w:val="00C046B1"/>
    <w:rsid w:val="00C04BD4"/>
    <w:rsid w:val="00C056EB"/>
    <w:rsid w:val="00C05C9C"/>
    <w:rsid w:val="00C05DC1"/>
    <w:rsid w:val="00C05FB4"/>
    <w:rsid w:val="00C063C1"/>
    <w:rsid w:val="00C06998"/>
    <w:rsid w:val="00C06D9A"/>
    <w:rsid w:val="00C0787F"/>
    <w:rsid w:val="00C07CC8"/>
    <w:rsid w:val="00C10578"/>
    <w:rsid w:val="00C112BC"/>
    <w:rsid w:val="00C11315"/>
    <w:rsid w:val="00C113B5"/>
    <w:rsid w:val="00C11608"/>
    <w:rsid w:val="00C118A3"/>
    <w:rsid w:val="00C118D7"/>
    <w:rsid w:val="00C11ABA"/>
    <w:rsid w:val="00C1264F"/>
    <w:rsid w:val="00C12981"/>
    <w:rsid w:val="00C12CBE"/>
    <w:rsid w:val="00C1320D"/>
    <w:rsid w:val="00C135BC"/>
    <w:rsid w:val="00C136C7"/>
    <w:rsid w:val="00C137A0"/>
    <w:rsid w:val="00C13C06"/>
    <w:rsid w:val="00C142AD"/>
    <w:rsid w:val="00C1503D"/>
    <w:rsid w:val="00C15714"/>
    <w:rsid w:val="00C15964"/>
    <w:rsid w:val="00C159E8"/>
    <w:rsid w:val="00C15A20"/>
    <w:rsid w:val="00C15C95"/>
    <w:rsid w:val="00C16246"/>
    <w:rsid w:val="00C1624B"/>
    <w:rsid w:val="00C16307"/>
    <w:rsid w:val="00C16A6E"/>
    <w:rsid w:val="00C16BF7"/>
    <w:rsid w:val="00C17102"/>
    <w:rsid w:val="00C207FD"/>
    <w:rsid w:val="00C20B9F"/>
    <w:rsid w:val="00C214A6"/>
    <w:rsid w:val="00C21532"/>
    <w:rsid w:val="00C216B4"/>
    <w:rsid w:val="00C21949"/>
    <w:rsid w:val="00C21BFF"/>
    <w:rsid w:val="00C225D5"/>
    <w:rsid w:val="00C2274F"/>
    <w:rsid w:val="00C22D00"/>
    <w:rsid w:val="00C230C6"/>
    <w:rsid w:val="00C231A0"/>
    <w:rsid w:val="00C235A2"/>
    <w:rsid w:val="00C236EE"/>
    <w:rsid w:val="00C23F4E"/>
    <w:rsid w:val="00C241A4"/>
    <w:rsid w:val="00C24AFE"/>
    <w:rsid w:val="00C24DC6"/>
    <w:rsid w:val="00C250D8"/>
    <w:rsid w:val="00C2513F"/>
    <w:rsid w:val="00C25315"/>
    <w:rsid w:val="00C254C4"/>
    <w:rsid w:val="00C2596A"/>
    <w:rsid w:val="00C25D7B"/>
    <w:rsid w:val="00C2646A"/>
    <w:rsid w:val="00C267A8"/>
    <w:rsid w:val="00C27143"/>
    <w:rsid w:val="00C27537"/>
    <w:rsid w:val="00C27589"/>
    <w:rsid w:val="00C27825"/>
    <w:rsid w:val="00C27C65"/>
    <w:rsid w:val="00C30702"/>
    <w:rsid w:val="00C309D6"/>
    <w:rsid w:val="00C30B06"/>
    <w:rsid w:val="00C323D8"/>
    <w:rsid w:val="00C3252B"/>
    <w:rsid w:val="00C328FE"/>
    <w:rsid w:val="00C32BFC"/>
    <w:rsid w:val="00C32C95"/>
    <w:rsid w:val="00C32F32"/>
    <w:rsid w:val="00C33507"/>
    <w:rsid w:val="00C33A7C"/>
    <w:rsid w:val="00C33BB8"/>
    <w:rsid w:val="00C33EE1"/>
    <w:rsid w:val="00C34335"/>
    <w:rsid w:val="00C343B3"/>
    <w:rsid w:val="00C34603"/>
    <w:rsid w:val="00C34929"/>
    <w:rsid w:val="00C34B1A"/>
    <w:rsid w:val="00C351E4"/>
    <w:rsid w:val="00C35344"/>
    <w:rsid w:val="00C356AF"/>
    <w:rsid w:val="00C35E2D"/>
    <w:rsid w:val="00C36167"/>
    <w:rsid w:val="00C3674C"/>
    <w:rsid w:val="00C36887"/>
    <w:rsid w:val="00C36E4B"/>
    <w:rsid w:val="00C36F7A"/>
    <w:rsid w:val="00C37B73"/>
    <w:rsid w:val="00C37F49"/>
    <w:rsid w:val="00C400A6"/>
    <w:rsid w:val="00C41FA7"/>
    <w:rsid w:val="00C42CF1"/>
    <w:rsid w:val="00C43A7D"/>
    <w:rsid w:val="00C4409D"/>
    <w:rsid w:val="00C4414C"/>
    <w:rsid w:val="00C447B8"/>
    <w:rsid w:val="00C44CE1"/>
    <w:rsid w:val="00C44E72"/>
    <w:rsid w:val="00C44E91"/>
    <w:rsid w:val="00C4506B"/>
    <w:rsid w:val="00C45A06"/>
    <w:rsid w:val="00C4613A"/>
    <w:rsid w:val="00C46497"/>
    <w:rsid w:val="00C46871"/>
    <w:rsid w:val="00C468B9"/>
    <w:rsid w:val="00C47E5B"/>
    <w:rsid w:val="00C50046"/>
    <w:rsid w:val="00C5055C"/>
    <w:rsid w:val="00C506E9"/>
    <w:rsid w:val="00C510B7"/>
    <w:rsid w:val="00C51512"/>
    <w:rsid w:val="00C51712"/>
    <w:rsid w:val="00C517B1"/>
    <w:rsid w:val="00C518E9"/>
    <w:rsid w:val="00C51B38"/>
    <w:rsid w:val="00C51D50"/>
    <w:rsid w:val="00C51F47"/>
    <w:rsid w:val="00C52338"/>
    <w:rsid w:val="00C52783"/>
    <w:rsid w:val="00C52963"/>
    <w:rsid w:val="00C53882"/>
    <w:rsid w:val="00C538A8"/>
    <w:rsid w:val="00C54251"/>
    <w:rsid w:val="00C5450E"/>
    <w:rsid w:val="00C55230"/>
    <w:rsid w:val="00C55631"/>
    <w:rsid w:val="00C55831"/>
    <w:rsid w:val="00C5600D"/>
    <w:rsid w:val="00C563C4"/>
    <w:rsid w:val="00C56946"/>
    <w:rsid w:val="00C56DD3"/>
    <w:rsid w:val="00C57B66"/>
    <w:rsid w:val="00C609E0"/>
    <w:rsid w:val="00C60E01"/>
    <w:rsid w:val="00C61AC9"/>
    <w:rsid w:val="00C61B7B"/>
    <w:rsid w:val="00C61E4B"/>
    <w:rsid w:val="00C6229D"/>
    <w:rsid w:val="00C62364"/>
    <w:rsid w:val="00C6261E"/>
    <w:rsid w:val="00C627A0"/>
    <w:rsid w:val="00C62BEA"/>
    <w:rsid w:val="00C62D1D"/>
    <w:rsid w:val="00C62F77"/>
    <w:rsid w:val="00C63095"/>
    <w:rsid w:val="00C63169"/>
    <w:rsid w:val="00C634B8"/>
    <w:rsid w:val="00C63BC8"/>
    <w:rsid w:val="00C641B9"/>
    <w:rsid w:val="00C6451C"/>
    <w:rsid w:val="00C64BFF"/>
    <w:rsid w:val="00C665CE"/>
    <w:rsid w:val="00C668FB"/>
    <w:rsid w:val="00C66F37"/>
    <w:rsid w:val="00C6700D"/>
    <w:rsid w:val="00C672EE"/>
    <w:rsid w:val="00C67ACE"/>
    <w:rsid w:val="00C704E9"/>
    <w:rsid w:val="00C70B76"/>
    <w:rsid w:val="00C70EF3"/>
    <w:rsid w:val="00C71026"/>
    <w:rsid w:val="00C711DC"/>
    <w:rsid w:val="00C712EE"/>
    <w:rsid w:val="00C719F6"/>
    <w:rsid w:val="00C71D32"/>
    <w:rsid w:val="00C7209C"/>
    <w:rsid w:val="00C7212C"/>
    <w:rsid w:val="00C723BF"/>
    <w:rsid w:val="00C72ACD"/>
    <w:rsid w:val="00C72C00"/>
    <w:rsid w:val="00C73230"/>
    <w:rsid w:val="00C733C3"/>
    <w:rsid w:val="00C73599"/>
    <w:rsid w:val="00C7381E"/>
    <w:rsid w:val="00C73C00"/>
    <w:rsid w:val="00C741DE"/>
    <w:rsid w:val="00C74276"/>
    <w:rsid w:val="00C7460F"/>
    <w:rsid w:val="00C74AFD"/>
    <w:rsid w:val="00C752EF"/>
    <w:rsid w:val="00C753B6"/>
    <w:rsid w:val="00C75768"/>
    <w:rsid w:val="00C75EC1"/>
    <w:rsid w:val="00C762E1"/>
    <w:rsid w:val="00C763B6"/>
    <w:rsid w:val="00C763C9"/>
    <w:rsid w:val="00C76F83"/>
    <w:rsid w:val="00C76FC8"/>
    <w:rsid w:val="00C770D9"/>
    <w:rsid w:val="00C7718A"/>
    <w:rsid w:val="00C7731D"/>
    <w:rsid w:val="00C77D58"/>
    <w:rsid w:val="00C77E73"/>
    <w:rsid w:val="00C77F81"/>
    <w:rsid w:val="00C77FDD"/>
    <w:rsid w:val="00C80057"/>
    <w:rsid w:val="00C8057C"/>
    <w:rsid w:val="00C809B0"/>
    <w:rsid w:val="00C809B6"/>
    <w:rsid w:val="00C812AB"/>
    <w:rsid w:val="00C81585"/>
    <w:rsid w:val="00C815BD"/>
    <w:rsid w:val="00C819FE"/>
    <w:rsid w:val="00C81CB7"/>
    <w:rsid w:val="00C81D81"/>
    <w:rsid w:val="00C82232"/>
    <w:rsid w:val="00C82505"/>
    <w:rsid w:val="00C82812"/>
    <w:rsid w:val="00C82913"/>
    <w:rsid w:val="00C82EC0"/>
    <w:rsid w:val="00C82EDC"/>
    <w:rsid w:val="00C83052"/>
    <w:rsid w:val="00C830B8"/>
    <w:rsid w:val="00C836B7"/>
    <w:rsid w:val="00C84D69"/>
    <w:rsid w:val="00C85934"/>
    <w:rsid w:val="00C85FA9"/>
    <w:rsid w:val="00C8667E"/>
    <w:rsid w:val="00C870FB"/>
    <w:rsid w:val="00C876D9"/>
    <w:rsid w:val="00C87BC9"/>
    <w:rsid w:val="00C87D42"/>
    <w:rsid w:val="00C9074D"/>
    <w:rsid w:val="00C909DB"/>
    <w:rsid w:val="00C90CCA"/>
    <w:rsid w:val="00C90D1E"/>
    <w:rsid w:val="00C91429"/>
    <w:rsid w:val="00C91A90"/>
    <w:rsid w:val="00C91FF3"/>
    <w:rsid w:val="00C923BB"/>
    <w:rsid w:val="00C923F4"/>
    <w:rsid w:val="00C92D4A"/>
    <w:rsid w:val="00C92F97"/>
    <w:rsid w:val="00C930EC"/>
    <w:rsid w:val="00C9345D"/>
    <w:rsid w:val="00C937EA"/>
    <w:rsid w:val="00C94225"/>
    <w:rsid w:val="00C94253"/>
    <w:rsid w:val="00C94D53"/>
    <w:rsid w:val="00C95721"/>
    <w:rsid w:val="00C95961"/>
    <w:rsid w:val="00C96009"/>
    <w:rsid w:val="00C960CE"/>
    <w:rsid w:val="00C96104"/>
    <w:rsid w:val="00C96299"/>
    <w:rsid w:val="00C970C2"/>
    <w:rsid w:val="00C972B1"/>
    <w:rsid w:val="00C974AB"/>
    <w:rsid w:val="00C97672"/>
    <w:rsid w:val="00C9795C"/>
    <w:rsid w:val="00C97A83"/>
    <w:rsid w:val="00CA0452"/>
    <w:rsid w:val="00CA13A5"/>
    <w:rsid w:val="00CA22B2"/>
    <w:rsid w:val="00CA23AD"/>
    <w:rsid w:val="00CA2618"/>
    <w:rsid w:val="00CA2712"/>
    <w:rsid w:val="00CA2980"/>
    <w:rsid w:val="00CA2989"/>
    <w:rsid w:val="00CA2CCE"/>
    <w:rsid w:val="00CA3356"/>
    <w:rsid w:val="00CA34DA"/>
    <w:rsid w:val="00CA4172"/>
    <w:rsid w:val="00CA43FD"/>
    <w:rsid w:val="00CA466C"/>
    <w:rsid w:val="00CA4DCF"/>
    <w:rsid w:val="00CA54CC"/>
    <w:rsid w:val="00CA57E5"/>
    <w:rsid w:val="00CA58B4"/>
    <w:rsid w:val="00CA59CB"/>
    <w:rsid w:val="00CA5F12"/>
    <w:rsid w:val="00CA6476"/>
    <w:rsid w:val="00CA6799"/>
    <w:rsid w:val="00CA6FD4"/>
    <w:rsid w:val="00CA757A"/>
    <w:rsid w:val="00CA773F"/>
    <w:rsid w:val="00CA7EF8"/>
    <w:rsid w:val="00CB0160"/>
    <w:rsid w:val="00CB01C5"/>
    <w:rsid w:val="00CB025E"/>
    <w:rsid w:val="00CB032D"/>
    <w:rsid w:val="00CB12AD"/>
    <w:rsid w:val="00CB1699"/>
    <w:rsid w:val="00CB1775"/>
    <w:rsid w:val="00CB1AB3"/>
    <w:rsid w:val="00CB2009"/>
    <w:rsid w:val="00CB2983"/>
    <w:rsid w:val="00CB2C48"/>
    <w:rsid w:val="00CB32B3"/>
    <w:rsid w:val="00CB3500"/>
    <w:rsid w:val="00CB4014"/>
    <w:rsid w:val="00CB4107"/>
    <w:rsid w:val="00CB4CB2"/>
    <w:rsid w:val="00CB4F27"/>
    <w:rsid w:val="00CB530B"/>
    <w:rsid w:val="00CB5A15"/>
    <w:rsid w:val="00CB5BC4"/>
    <w:rsid w:val="00CB670B"/>
    <w:rsid w:val="00CB67EB"/>
    <w:rsid w:val="00CB6AB7"/>
    <w:rsid w:val="00CB6C10"/>
    <w:rsid w:val="00CB6D12"/>
    <w:rsid w:val="00CB70C7"/>
    <w:rsid w:val="00CB7EB6"/>
    <w:rsid w:val="00CC0A47"/>
    <w:rsid w:val="00CC0A78"/>
    <w:rsid w:val="00CC0C1A"/>
    <w:rsid w:val="00CC1B38"/>
    <w:rsid w:val="00CC1E22"/>
    <w:rsid w:val="00CC2C04"/>
    <w:rsid w:val="00CC43C7"/>
    <w:rsid w:val="00CC489B"/>
    <w:rsid w:val="00CC4AFB"/>
    <w:rsid w:val="00CC5255"/>
    <w:rsid w:val="00CC5310"/>
    <w:rsid w:val="00CC5917"/>
    <w:rsid w:val="00CC62D4"/>
    <w:rsid w:val="00CC630B"/>
    <w:rsid w:val="00CC6313"/>
    <w:rsid w:val="00CC6B4A"/>
    <w:rsid w:val="00CC6BDC"/>
    <w:rsid w:val="00CC71B1"/>
    <w:rsid w:val="00CC7393"/>
    <w:rsid w:val="00CC7598"/>
    <w:rsid w:val="00CC7D11"/>
    <w:rsid w:val="00CD05ED"/>
    <w:rsid w:val="00CD0A8B"/>
    <w:rsid w:val="00CD0F3B"/>
    <w:rsid w:val="00CD10D9"/>
    <w:rsid w:val="00CD149D"/>
    <w:rsid w:val="00CD16ED"/>
    <w:rsid w:val="00CD1B03"/>
    <w:rsid w:val="00CD1BD6"/>
    <w:rsid w:val="00CD2023"/>
    <w:rsid w:val="00CD21AE"/>
    <w:rsid w:val="00CD22B8"/>
    <w:rsid w:val="00CD2B27"/>
    <w:rsid w:val="00CD2BCD"/>
    <w:rsid w:val="00CD334C"/>
    <w:rsid w:val="00CD38AC"/>
    <w:rsid w:val="00CD3A4C"/>
    <w:rsid w:val="00CD3C4E"/>
    <w:rsid w:val="00CD3EE1"/>
    <w:rsid w:val="00CD43B4"/>
    <w:rsid w:val="00CD46F3"/>
    <w:rsid w:val="00CD48B3"/>
    <w:rsid w:val="00CD4F50"/>
    <w:rsid w:val="00CD4F7A"/>
    <w:rsid w:val="00CD5452"/>
    <w:rsid w:val="00CD5C3D"/>
    <w:rsid w:val="00CD5F0E"/>
    <w:rsid w:val="00CD6593"/>
    <w:rsid w:val="00CD671A"/>
    <w:rsid w:val="00CD6A24"/>
    <w:rsid w:val="00CD6ABC"/>
    <w:rsid w:val="00CD6F60"/>
    <w:rsid w:val="00CD726D"/>
    <w:rsid w:val="00CD76BD"/>
    <w:rsid w:val="00CE0250"/>
    <w:rsid w:val="00CE068C"/>
    <w:rsid w:val="00CE0828"/>
    <w:rsid w:val="00CE0BDE"/>
    <w:rsid w:val="00CE10E9"/>
    <w:rsid w:val="00CE14B2"/>
    <w:rsid w:val="00CE1609"/>
    <w:rsid w:val="00CE230C"/>
    <w:rsid w:val="00CE2558"/>
    <w:rsid w:val="00CE2832"/>
    <w:rsid w:val="00CE2910"/>
    <w:rsid w:val="00CE2A15"/>
    <w:rsid w:val="00CE2DD5"/>
    <w:rsid w:val="00CE30B4"/>
    <w:rsid w:val="00CE3901"/>
    <w:rsid w:val="00CE3F57"/>
    <w:rsid w:val="00CE40E6"/>
    <w:rsid w:val="00CE4389"/>
    <w:rsid w:val="00CE4850"/>
    <w:rsid w:val="00CE4CAE"/>
    <w:rsid w:val="00CE4EFD"/>
    <w:rsid w:val="00CE5393"/>
    <w:rsid w:val="00CE5A19"/>
    <w:rsid w:val="00CE5AB2"/>
    <w:rsid w:val="00CE5C4A"/>
    <w:rsid w:val="00CE5F16"/>
    <w:rsid w:val="00CE5FE2"/>
    <w:rsid w:val="00CE739B"/>
    <w:rsid w:val="00CF0121"/>
    <w:rsid w:val="00CF037D"/>
    <w:rsid w:val="00CF0E42"/>
    <w:rsid w:val="00CF0EA5"/>
    <w:rsid w:val="00CF109C"/>
    <w:rsid w:val="00CF111B"/>
    <w:rsid w:val="00CF11FD"/>
    <w:rsid w:val="00CF12A7"/>
    <w:rsid w:val="00CF17A7"/>
    <w:rsid w:val="00CF1E48"/>
    <w:rsid w:val="00CF2130"/>
    <w:rsid w:val="00CF23DF"/>
    <w:rsid w:val="00CF2EF7"/>
    <w:rsid w:val="00CF32F6"/>
    <w:rsid w:val="00CF340A"/>
    <w:rsid w:val="00CF34D9"/>
    <w:rsid w:val="00CF36BE"/>
    <w:rsid w:val="00CF36E2"/>
    <w:rsid w:val="00CF4B14"/>
    <w:rsid w:val="00CF4E86"/>
    <w:rsid w:val="00CF51C4"/>
    <w:rsid w:val="00CF58B8"/>
    <w:rsid w:val="00CF6000"/>
    <w:rsid w:val="00CF62EE"/>
    <w:rsid w:val="00CF67FD"/>
    <w:rsid w:val="00CF7F2E"/>
    <w:rsid w:val="00D00211"/>
    <w:rsid w:val="00D003F3"/>
    <w:rsid w:val="00D00423"/>
    <w:rsid w:val="00D004C7"/>
    <w:rsid w:val="00D00D27"/>
    <w:rsid w:val="00D00DFB"/>
    <w:rsid w:val="00D01246"/>
    <w:rsid w:val="00D02192"/>
    <w:rsid w:val="00D02903"/>
    <w:rsid w:val="00D02AE2"/>
    <w:rsid w:val="00D02F80"/>
    <w:rsid w:val="00D0328F"/>
    <w:rsid w:val="00D0330C"/>
    <w:rsid w:val="00D03341"/>
    <w:rsid w:val="00D0364F"/>
    <w:rsid w:val="00D037B3"/>
    <w:rsid w:val="00D04427"/>
    <w:rsid w:val="00D04A4C"/>
    <w:rsid w:val="00D0519A"/>
    <w:rsid w:val="00D052BC"/>
    <w:rsid w:val="00D05332"/>
    <w:rsid w:val="00D06834"/>
    <w:rsid w:val="00D07445"/>
    <w:rsid w:val="00D07561"/>
    <w:rsid w:val="00D077B4"/>
    <w:rsid w:val="00D07ECB"/>
    <w:rsid w:val="00D10768"/>
    <w:rsid w:val="00D1089C"/>
    <w:rsid w:val="00D1097C"/>
    <w:rsid w:val="00D10BAB"/>
    <w:rsid w:val="00D11091"/>
    <w:rsid w:val="00D116CC"/>
    <w:rsid w:val="00D1175B"/>
    <w:rsid w:val="00D118AE"/>
    <w:rsid w:val="00D118B4"/>
    <w:rsid w:val="00D11A8E"/>
    <w:rsid w:val="00D12938"/>
    <w:rsid w:val="00D13E54"/>
    <w:rsid w:val="00D140D7"/>
    <w:rsid w:val="00D14A0D"/>
    <w:rsid w:val="00D15773"/>
    <w:rsid w:val="00D16468"/>
    <w:rsid w:val="00D16978"/>
    <w:rsid w:val="00D16DDC"/>
    <w:rsid w:val="00D17210"/>
    <w:rsid w:val="00D176C4"/>
    <w:rsid w:val="00D1772B"/>
    <w:rsid w:val="00D17C25"/>
    <w:rsid w:val="00D17CF0"/>
    <w:rsid w:val="00D20051"/>
    <w:rsid w:val="00D209D4"/>
    <w:rsid w:val="00D20B07"/>
    <w:rsid w:val="00D20F92"/>
    <w:rsid w:val="00D2112F"/>
    <w:rsid w:val="00D211FA"/>
    <w:rsid w:val="00D214D0"/>
    <w:rsid w:val="00D21A1F"/>
    <w:rsid w:val="00D224C5"/>
    <w:rsid w:val="00D22B43"/>
    <w:rsid w:val="00D22D64"/>
    <w:rsid w:val="00D230F9"/>
    <w:rsid w:val="00D234AF"/>
    <w:rsid w:val="00D246A1"/>
    <w:rsid w:val="00D24AD8"/>
    <w:rsid w:val="00D24D73"/>
    <w:rsid w:val="00D25237"/>
    <w:rsid w:val="00D25D9D"/>
    <w:rsid w:val="00D26587"/>
    <w:rsid w:val="00D26993"/>
    <w:rsid w:val="00D26A88"/>
    <w:rsid w:val="00D2742F"/>
    <w:rsid w:val="00D27478"/>
    <w:rsid w:val="00D27526"/>
    <w:rsid w:val="00D27AD3"/>
    <w:rsid w:val="00D308ED"/>
    <w:rsid w:val="00D31192"/>
    <w:rsid w:val="00D31337"/>
    <w:rsid w:val="00D313AA"/>
    <w:rsid w:val="00D31412"/>
    <w:rsid w:val="00D314CC"/>
    <w:rsid w:val="00D32582"/>
    <w:rsid w:val="00D32B79"/>
    <w:rsid w:val="00D333E0"/>
    <w:rsid w:val="00D34009"/>
    <w:rsid w:val="00D340EF"/>
    <w:rsid w:val="00D345BC"/>
    <w:rsid w:val="00D354DF"/>
    <w:rsid w:val="00D356E5"/>
    <w:rsid w:val="00D35A25"/>
    <w:rsid w:val="00D36D86"/>
    <w:rsid w:val="00D36F54"/>
    <w:rsid w:val="00D3718F"/>
    <w:rsid w:val="00D372F8"/>
    <w:rsid w:val="00D37321"/>
    <w:rsid w:val="00D379DD"/>
    <w:rsid w:val="00D37A07"/>
    <w:rsid w:val="00D37C0B"/>
    <w:rsid w:val="00D404FB"/>
    <w:rsid w:val="00D40894"/>
    <w:rsid w:val="00D4163E"/>
    <w:rsid w:val="00D41C34"/>
    <w:rsid w:val="00D42705"/>
    <w:rsid w:val="00D427CB"/>
    <w:rsid w:val="00D428AA"/>
    <w:rsid w:val="00D42AA0"/>
    <w:rsid w:val="00D42AC3"/>
    <w:rsid w:val="00D4308D"/>
    <w:rsid w:val="00D430BC"/>
    <w:rsid w:val="00D433AE"/>
    <w:rsid w:val="00D4359D"/>
    <w:rsid w:val="00D436FE"/>
    <w:rsid w:val="00D437A1"/>
    <w:rsid w:val="00D43C64"/>
    <w:rsid w:val="00D442E7"/>
    <w:rsid w:val="00D444E1"/>
    <w:rsid w:val="00D44D25"/>
    <w:rsid w:val="00D45423"/>
    <w:rsid w:val="00D4547D"/>
    <w:rsid w:val="00D45532"/>
    <w:rsid w:val="00D456C5"/>
    <w:rsid w:val="00D458BF"/>
    <w:rsid w:val="00D45D06"/>
    <w:rsid w:val="00D46158"/>
    <w:rsid w:val="00D4620F"/>
    <w:rsid w:val="00D4717C"/>
    <w:rsid w:val="00D473FC"/>
    <w:rsid w:val="00D475AF"/>
    <w:rsid w:val="00D47F14"/>
    <w:rsid w:val="00D5025B"/>
    <w:rsid w:val="00D50425"/>
    <w:rsid w:val="00D50646"/>
    <w:rsid w:val="00D5074E"/>
    <w:rsid w:val="00D50A34"/>
    <w:rsid w:val="00D50D43"/>
    <w:rsid w:val="00D514BD"/>
    <w:rsid w:val="00D51521"/>
    <w:rsid w:val="00D522E1"/>
    <w:rsid w:val="00D52642"/>
    <w:rsid w:val="00D52A21"/>
    <w:rsid w:val="00D52F4B"/>
    <w:rsid w:val="00D53B8F"/>
    <w:rsid w:val="00D53EFA"/>
    <w:rsid w:val="00D53FD6"/>
    <w:rsid w:val="00D541A0"/>
    <w:rsid w:val="00D548A6"/>
    <w:rsid w:val="00D54E7A"/>
    <w:rsid w:val="00D5511A"/>
    <w:rsid w:val="00D5635E"/>
    <w:rsid w:val="00D568CA"/>
    <w:rsid w:val="00D56B50"/>
    <w:rsid w:val="00D56E15"/>
    <w:rsid w:val="00D57543"/>
    <w:rsid w:val="00D578D2"/>
    <w:rsid w:val="00D57CD4"/>
    <w:rsid w:val="00D57E1E"/>
    <w:rsid w:val="00D57FFA"/>
    <w:rsid w:val="00D60116"/>
    <w:rsid w:val="00D61360"/>
    <w:rsid w:val="00D6152C"/>
    <w:rsid w:val="00D61657"/>
    <w:rsid w:val="00D616D0"/>
    <w:rsid w:val="00D61738"/>
    <w:rsid w:val="00D6185B"/>
    <w:rsid w:val="00D61A7C"/>
    <w:rsid w:val="00D61A9E"/>
    <w:rsid w:val="00D622AE"/>
    <w:rsid w:val="00D62381"/>
    <w:rsid w:val="00D6271B"/>
    <w:rsid w:val="00D6275C"/>
    <w:rsid w:val="00D62DC2"/>
    <w:rsid w:val="00D62E6B"/>
    <w:rsid w:val="00D6322B"/>
    <w:rsid w:val="00D63266"/>
    <w:rsid w:val="00D633E6"/>
    <w:rsid w:val="00D639C3"/>
    <w:rsid w:val="00D63A75"/>
    <w:rsid w:val="00D63CB6"/>
    <w:rsid w:val="00D63D81"/>
    <w:rsid w:val="00D6475D"/>
    <w:rsid w:val="00D64D0F"/>
    <w:rsid w:val="00D64E56"/>
    <w:rsid w:val="00D64F42"/>
    <w:rsid w:val="00D64F9E"/>
    <w:rsid w:val="00D65471"/>
    <w:rsid w:val="00D65684"/>
    <w:rsid w:val="00D65726"/>
    <w:rsid w:val="00D65E06"/>
    <w:rsid w:val="00D66FC8"/>
    <w:rsid w:val="00D679CE"/>
    <w:rsid w:val="00D679EC"/>
    <w:rsid w:val="00D67B9C"/>
    <w:rsid w:val="00D67BC7"/>
    <w:rsid w:val="00D67DF7"/>
    <w:rsid w:val="00D67E03"/>
    <w:rsid w:val="00D7016F"/>
    <w:rsid w:val="00D703D8"/>
    <w:rsid w:val="00D7080B"/>
    <w:rsid w:val="00D70BA1"/>
    <w:rsid w:val="00D70F64"/>
    <w:rsid w:val="00D70FBA"/>
    <w:rsid w:val="00D71658"/>
    <w:rsid w:val="00D718A8"/>
    <w:rsid w:val="00D71945"/>
    <w:rsid w:val="00D71EF0"/>
    <w:rsid w:val="00D72253"/>
    <w:rsid w:val="00D725AA"/>
    <w:rsid w:val="00D729A4"/>
    <w:rsid w:val="00D73250"/>
    <w:rsid w:val="00D7343D"/>
    <w:rsid w:val="00D735AD"/>
    <w:rsid w:val="00D736D8"/>
    <w:rsid w:val="00D73AA0"/>
    <w:rsid w:val="00D73F66"/>
    <w:rsid w:val="00D7416D"/>
    <w:rsid w:val="00D759C1"/>
    <w:rsid w:val="00D75D1E"/>
    <w:rsid w:val="00D75D71"/>
    <w:rsid w:val="00D75DE5"/>
    <w:rsid w:val="00D76562"/>
    <w:rsid w:val="00D8038C"/>
    <w:rsid w:val="00D8084D"/>
    <w:rsid w:val="00D81F3A"/>
    <w:rsid w:val="00D81FBD"/>
    <w:rsid w:val="00D8230B"/>
    <w:rsid w:val="00D82F39"/>
    <w:rsid w:val="00D83652"/>
    <w:rsid w:val="00D83A70"/>
    <w:rsid w:val="00D84380"/>
    <w:rsid w:val="00D847F5"/>
    <w:rsid w:val="00D8482A"/>
    <w:rsid w:val="00D848F5"/>
    <w:rsid w:val="00D8502E"/>
    <w:rsid w:val="00D857A2"/>
    <w:rsid w:val="00D8707D"/>
    <w:rsid w:val="00D87464"/>
    <w:rsid w:val="00D878FA"/>
    <w:rsid w:val="00D87BAC"/>
    <w:rsid w:val="00D90935"/>
    <w:rsid w:val="00D90C4B"/>
    <w:rsid w:val="00D90E62"/>
    <w:rsid w:val="00D91563"/>
    <w:rsid w:val="00D915D7"/>
    <w:rsid w:val="00D916D3"/>
    <w:rsid w:val="00D91721"/>
    <w:rsid w:val="00D93341"/>
    <w:rsid w:val="00D93EF0"/>
    <w:rsid w:val="00D94596"/>
    <w:rsid w:val="00D94763"/>
    <w:rsid w:val="00D94A34"/>
    <w:rsid w:val="00D94A7C"/>
    <w:rsid w:val="00D94E11"/>
    <w:rsid w:val="00D953E6"/>
    <w:rsid w:val="00D95615"/>
    <w:rsid w:val="00D95896"/>
    <w:rsid w:val="00D959BE"/>
    <w:rsid w:val="00D96A86"/>
    <w:rsid w:val="00D97024"/>
    <w:rsid w:val="00D974A7"/>
    <w:rsid w:val="00D97509"/>
    <w:rsid w:val="00D97D10"/>
    <w:rsid w:val="00DA003C"/>
    <w:rsid w:val="00DA04E7"/>
    <w:rsid w:val="00DA06CB"/>
    <w:rsid w:val="00DA1495"/>
    <w:rsid w:val="00DA19FB"/>
    <w:rsid w:val="00DA1D9E"/>
    <w:rsid w:val="00DA1FDC"/>
    <w:rsid w:val="00DA21CC"/>
    <w:rsid w:val="00DA2701"/>
    <w:rsid w:val="00DA2C30"/>
    <w:rsid w:val="00DA35B9"/>
    <w:rsid w:val="00DA43CE"/>
    <w:rsid w:val="00DA4A36"/>
    <w:rsid w:val="00DA50B4"/>
    <w:rsid w:val="00DA5514"/>
    <w:rsid w:val="00DA5868"/>
    <w:rsid w:val="00DA671C"/>
    <w:rsid w:val="00DA672A"/>
    <w:rsid w:val="00DA6887"/>
    <w:rsid w:val="00DA6CCA"/>
    <w:rsid w:val="00DA7051"/>
    <w:rsid w:val="00DA711C"/>
    <w:rsid w:val="00DA76DB"/>
    <w:rsid w:val="00DB0060"/>
    <w:rsid w:val="00DB0691"/>
    <w:rsid w:val="00DB0DF3"/>
    <w:rsid w:val="00DB11E0"/>
    <w:rsid w:val="00DB178F"/>
    <w:rsid w:val="00DB1810"/>
    <w:rsid w:val="00DB1AE3"/>
    <w:rsid w:val="00DB1D10"/>
    <w:rsid w:val="00DB1F3D"/>
    <w:rsid w:val="00DB2385"/>
    <w:rsid w:val="00DB289E"/>
    <w:rsid w:val="00DB2983"/>
    <w:rsid w:val="00DB315F"/>
    <w:rsid w:val="00DB3457"/>
    <w:rsid w:val="00DB38FF"/>
    <w:rsid w:val="00DB3B14"/>
    <w:rsid w:val="00DB3EEA"/>
    <w:rsid w:val="00DB3FE7"/>
    <w:rsid w:val="00DB416B"/>
    <w:rsid w:val="00DB5129"/>
    <w:rsid w:val="00DB5988"/>
    <w:rsid w:val="00DB5EBF"/>
    <w:rsid w:val="00DB6E40"/>
    <w:rsid w:val="00DB7C02"/>
    <w:rsid w:val="00DC001D"/>
    <w:rsid w:val="00DC0100"/>
    <w:rsid w:val="00DC044D"/>
    <w:rsid w:val="00DC0F4A"/>
    <w:rsid w:val="00DC10E0"/>
    <w:rsid w:val="00DC1257"/>
    <w:rsid w:val="00DC153F"/>
    <w:rsid w:val="00DC195B"/>
    <w:rsid w:val="00DC1BA7"/>
    <w:rsid w:val="00DC1E6B"/>
    <w:rsid w:val="00DC2027"/>
    <w:rsid w:val="00DC2354"/>
    <w:rsid w:val="00DC2800"/>
    <w:rsid w:val="00DC31DF"/>
    <w:rsid w:val="00DC3284"/>
    <w:rsid w:val="00DC35B4"/>
    <w:rsid w:val="00DC36F7"/>
    <w:rsid w:val="00DC3767"/>
    <w:rsid w:val="00DC3BB1"/>
    <w:rsid w:val="00DC3DC0"/>
    <w:rsid w:val="00DC4571"/>
    <w:rsid w:val="00DC464D"/>
    <w:rsid w:val="00DC48C0"/>
    <w:rsid w:val="00DC4BAF"/>
    <w:rsid w:val="00DC4DF8"/>
    <w:rsid w:val="00DC5170"/>
    <w:rsid w:val="00DC5B2B"/>
    <w:rsid w:val="00DC7533"/>
    <w:rsid w:val="00DC7B23"/>
    <w:rsid w:val="00DD0446"/>
    <w:rsid w:val="00DD0661"/>
    <w:rsid w:val="00DD0809"/>
    <w:rsid w:val="00DD0C0F"/>
    <w:rsid w:val="00DD0E12"/>
    <w:rsid w:val="00DD1024"/>
    <w:rsid w:val="00DD15FB"/>
    <w:rsid w:val="00DD1D57"/>
    <w:rsid w:val="00DD2109"/>
    <w:rsid w:val="00DD2356"/>
    <w:rsid w:val="00DD2464"/>
    <w:rsid w:val="00DD2835"/>
    <w:rsid w:val="00DD2D2C"/>
    <w:rsid w:val="00DD2DF3"/>
    <w:rsid w:val="00DD2E6E"/>
    <w:rsid w:val="00DD318D"/>
    <w:rsid w:val="00DD31B4"/>
    <w:rsid w:val="00DD325B"/>
    <w:rsid w:val="00DD347B"/>
    <w:rsid w:val="00DD3AFC"/>
    <w:rsid w:val="00DD3EBD"/>
    <w:rsid w:val="00DD494A"/>
    <w:rsid w:val="00DD4F8B"/>
    <w:rsid w:val="00DD54F9"/>
    <w:rsid w:val="00DD563A"/>
    <w:rsid w:val="00DD5657"/>
    <w:rsid w:val="00DD63EE"/>
    <w:rsid w:val="00DD6A5C"/>
    <w:rsid w:val="00DD6FF3"/>
    <w:rsid w:val="00DD7015"/>
    <w:rsid w:val="00DD7194"/>
    <w:rsid w:val="00DD7801"/>
    <w:rsid w:val="00DD7BF9"/>
    <w:rsid w:val="00DD7C3E"/>
    <w:rsid w:val="00DE0007"/>
    <w:rsid w:val="00DE0085"/>
    <w:rsid w:val="00DE037F"/>
    <w:rsid w:val="00DE0AB1"/>
    <w:rsid w:val="00DE11FB"/>
    <w:rsid w:val="00DE1722"/>
    <w:rsid w:val="00DE181B"/>
    <w:rsid w:val="00DE1DAD"/>
    <w:rsid w:val="00DE1E65"/>
    <w:rsid w:val="00DE1F6F"/>
    <w:rsid w:val="00DE2090"/>
    <w:rsid w:val="00DE21E8"/>
    <w:rsid w:val="00DE237E"/>
    <w:rsid w:val="00DE2BFE"/>
    <w:rsid w:val="00DE347A"/>
    <w:rsid w:val="00DE35B7"/>
    <w:rsid w:val="00DE41B6"/>
    <w:rsid w:val="00DE42A0"/>
    <w:rsid w:val="00DE4E85"/>
    <w:rsid w:val="00DE5247"/>
    <w:rsid w:val="00DE54E9"/>
    <w:rsid w:val="00DE58B2"/>
    <w:rsid w:val="00DE5FD3"/>
    <w:rsid w:val="00DE6F1E"/>
    <w:rsid w:val="00DE719F"/>
    <w:rsid w:val="00DE7C03"/>
    <w:rsid w:val="00DE7C90"/>
    <w:rsid w:val="00DE7E2D"/>
    <w:rsid w:val="00DF0716"/>
    <w:rsid w:val="00DF07F7"/>
    <w:rsid w:val="00DF08D7"/>
    <w:rsid w:val="00DF0D7C"/>
    <w:rsid w:val="00DF1118"/>
    <w:rsid w:val="00DF1208"/>
    <w:rsid w:val="00DF14E0"/>
    <w:rsid w:val="00DF185D"/>
    <w:rsid w:val="00DF1F26"/>
    <w:rsid w:val="00DF1F7B"/>
    <w:rsid w:val="00DF213E"/>
    <w:rsid w:val="00DF2E12"/>
    <w:rsid w:val="00DF2F0F"/>
    <w:rsid w:val="00DF300D"/>
    <w:rsid w:val="00DF308E"/>
    <w:rsid w:val="00DF38AE"/>
    <w:rsid w:val="00DF39EE"/>
    <w:rsid w:val="00DF3C6B"/>
    <w:rsid w:val="00DF3C85"/>
    <w:rsid w:val="00DF41D7"/>
    <w:rsid w:val="00DF43EF"/>
    <w:rsid w:val="00DF484A"/>
    <w:rsid w:val="00DF514A"/>
    <w:rsid w:val="00DF5918"/>
    <w:rsid w:val="00DF5DAC"/>
    <w:rsid w:val="00DF6690"/>
    <w:rsid w:val="00DF67FF"/>
    <w:rsid w:val="00DF6804"/>
    <w:rsid w:val="00DF6A40"/>
    <w:rsid w:val="00DF6DAD"/>
    <w:rsid w:val="00DF6E14"/>
    <w:rsid w:val="00DF6F5B"/>
    <w:rsid w:val="00DF7063"/>
    <w:rsid w:val="00DF7224"/>
    <w:rsid w:val="00DF74CB"/>
    <w:rsid w:val="00DF7FB8"/>
    <w:rsid w:val="00E0099B"/>
    <w:rsid w:val="00E00C09"/>
    <w:rsid w:val="00E01070"/>
    <w:rsid w:val="00E01672"/>
    <w:rsid w:val="00E01757"/>
    <w:rsid w:val="00E018C4"/>
    <w:rsid w:val="00E0192D"/>
    <w:rsid w:val="00E0193A"/>
    <w:rsid w:val="00E01BD3"/>
    <w:rsid w:val="00E022FA"/>
    <w:rsid w:val="00E02557"/>
    <w:rsid w:val="00E02D0B"/>
    <w:rsid w:val="00E0358D"/>
    <w:rsid w:val="00E035B4"/>
    <w:rsid w:val="00E03A5B"/>
    <w:rsid w:val="00E03C76"/>
    <w:rsid w:val="00E03D99"/>
    <w:rsid w:val="00E040D6"/>
    <w:rsid w:val="00E04288"/>
    <w:rsid w:val="00E04323"/>
    <w:rsid w:val="00E047A7"/>
    <w:rsid w:val="00E0592E"/>
    <w:rsid w:val="00E05F9C"/>
    <w:rsid w:val="00E061DC"/>
    <w:rsid w:val="00E0663C"/>
    <w:rsid w:val="00E070A2"/>
    <w:rsid w:val="00E07557"/>
    <w:rsid w:val="00E07954"/>
    <w:rsid w:val="00E10901"/>
    <w:rsid w:val="00E110BB"/>
    <w:rsid w:val="00E1144F"/>
    <w:rsid w:val="00E11C66"/>
    <w:rsid w:val="00E12010"/>
    <w:rsid w:val="00E1212C"/>
    <w:rsid w:val="00E1225A"/>
    <w:rsid w:val="00E1292E"/>
    <w:rsid w:val="00E12FE1"/>
    <w:rsid w:val="00E1310A"/>
    <w:rsid w:val="00E13502"/>
    <w:rsid w:val="00E13799"/>
    <w:rsid w:val="00E137C1"/>
    <w:rsid w:val="00E138FC"/>
    <w:rsid w:val="00E13B87"/>
    <w:rsid w:val="00E13E3C"/>
    <w:rsid w:val="00E14CAF"/>
    <w:rsid w:val="00E15090"/>
    <w:rsid w:val="00E15641"/>
    <w:rsid w:val="00E16308"/>
    <w:rsid w:val="00E16D36"/>
    <w:rsid w:val="00E17E25"/>
    <w:rsid w:val="00E2005F"/>
    <w:rsid w:val="00E2017B"/>
    <w:rsid w:val="00E20C41"/>
    <w:rsid w:val="00E20F08"/>
    <w:rsid w:val="00E2159D"/>
    <w:rsid w:val="00E21BCE"/>
    <w:rsid w:val="00E2240F"/>
    <w:rsid w:val="00E2243F"/>
    <w:rsid w:val="00E228F6"/>
    <w:rsid w:val="00E22BAE"/>
    <w:rsid w:val="00E22C7F"/>
    <w:rsid w:val="00E2309B"/>
    <w:rsid w:val="00E23271"/>
    <w:rsid w:val="00E2356C"/>
    <w:rsid w:val="00E24065"/>
    <w:rsid w:val="00E241C8"/>
    <w:rsid w:val="00E2437E"/>
    <w:rsid w:val="00E2520C"/>
    <w:rsid w:val="00E2585E"/>
    <w:rsid w:val="00E2593C"/>
    <w:rsid w:val="00E259F8"/>
    <w:rsid w:val="00E25C9C"/>
    <w:rsid w:val="00E25D7F"/>
    <w:rsid w:val="00E263BF"/>
    <w:rsid w:val="00E264FD"/>
    <w:rsid w:val="00E2656A"/>
    <w:rsid w:val="00E26A00"/>
    <w:rsid w:val="00E278F4"/>
    <w:rsid w:val="00E27906"/>
    <w:rsid w:val="00E27D65"/>
    <w:rsid w:val="00E3023E"/>
    <w:rsid w:val="00E30452"/>
    <w:rsid w:val="00E3156C"/>
    <w:rsid w:val="00E31770"/>
    <w:rsid w:val="00E319EE"/>
    <w:rsid w:val="00E32B34"/>
    <w:rsid w:val="00E3339D"/>
    <w:rsid w:val="00E33901"/>
    <w:rsid w:val="00E33BE3"/>
    <w:rsid w:val="00E33ED9"/>
    <w:rsid w:val="00E34B6A"/>
    <w:rsid w:val="00E34FF4"/>
    <w:rsid w:val="00E34FFA"/>
    <w:rsid w:val="00E3582D"/>
    <w:rsid w:val="00E35CC0"/>
    <w:rsid w:val="00E36124"/>
    <w:rsid w:val="00E36426"/>
    <w:rsid w:val="00E37039"/>
    <w:rsid w:val="00E3711F"/>
    <w:rsid w:val="00E3738D"/>
    <w:rsid w:val="00E3745B"/>
    <w:rsid w:val="00E3783D"/>
    <w:rsid w:val="00E37A46"/>
    <w:rsid w:val="00E37C52"/>
    <w:rsid w:val="00E37E8F"/>
    <w:rsid w:val="00E37EB5"/>
    <w:rsid w:val="00E40347"/>
    <w:rsid w:val="00E40737"/>
    <w:rsid w:val="00E40DD6"/>
    <w:rsid w:val="00E410C1"/>
    <w:rsid w:val="00E412D0"/>
    <w:rsid w:val="00E415F9"/>
    <w:rsid w:val="00E421D3"/>
    <w:rsid w:val="00E422F7"/>
    <w:rsid w:val="00E42C49"/>
    <w:rsid w:val="00E43250"/>
    <w:rsid w:val="00E434EF"/>
    <w:rsid w:val="00E43EA4"/>
    <w:rsid w:val="00E444B2"/>
    <w:rsid w:val="00E44820"/>
    <w:rsid w:val="00E46798"/>
    <w:rsid w:val="00E46D37"/>
    <w:rsid w:val="00E46E5D"/>
    <w:rsid w:val="00E47115"/>
    <w:rsid w:val="00E477AF"/>
    <w:rsid w:val="00E47AC4"/>
    <w:rsid w:val="00E47C1D"/>
    <w:rsid w:val="00E47CB4"/>
    <w:rsid w:val="00E47E97"/>
    <w:rsid w:val="00E47F8F"/>
    <w:rsid w:val="00E50538"/>
    <w:rsid w:val="00E505A7"/>
    <w:rsid w:val="00E51085"/>
    <w:rsid w:val="00E51CEC"/>
    <w:rsid w:val="00E52209"/>
    <w:rsid w:val="00E524AD"/>
    <w:rsid w:val="00E525BA"/>
    <w:rsid w:val="00E52BC7"/>
    <w:rsid w:val="00E530D4"/>
    <w:rsid w:val="00E53D33"/>
    <w:rsid w:val="00E54FDB"/>
    <w:rsid w:val="00E5520A"/>
    <w:rsid w:val="00E55863"/>
    <w:rsid w:val="00E55C50"/>
    <w:rsid w:val="00E55EB7"/>
    <w:rsid w:val="00E56322"/>
    <w:rsid w:val="00E56547"/>
    <w:rsid w:val="00E566FA"/>
    <w:rsid w:val="00E572A8"/>
    <w:rsid w:val="00E572B2"/>
    <w:rsid w:val="00E5740B"/>
    <w:rsid w:val="00E57857"/>
    <w:rsid w:val="00E604DB"/>
    <w:rsid w:val="00E60982"/>
    <w:rsid w:val="00E60F88"/>
    <w:rsid w:val="00E60FD2"/>
    <w:rsid w:val="00E612A1"/>
    <w:rsid w:val="00E6159E"/>
    <w:rsid w:val="00E6165B"/>
    <w:rsid w:val="00E61C6B"/>
    <w:rsid w:val="00E6230F"/>
    <w:rsid w:val="00E62C62"/>
    <w:rsid w:val="00E62F88"/>
    <w:rsid w:val="00E636A0"/>
    <w:rsid w:val="00E63C46"/>
    <w:rsid w:val="00E63EF2"/>
    <w:rsid w:val="00E649F0"/>
    <w:rsid w:val="00E65166"/>
    <w:rsid w:val="00E654C1"/>
    <w:rsid w:val="00E65584"/>
    <w:rsid w:val="00E65D97"/>
    <w:rsid w:val="00E65ED8"/>
    <w:rsid w:val="00E66307"/>
    <w:rsid w:val="00E67566"/>
    <w:rsid w:val="00E67D38"/>
    <w:rsid w:val="00E67DBF"/>
    <w:rsid w:val="00E67E2F"/>
    <w:rsid w:val="00E67F66"/>
    <w:rsid w:val="00E67F7F"/>
    <w:rsid w:val="00E7056B"/>
    <w:rsid w:val="00E70597"/>
    <w:rsid w:val="00E70E34"/>
    <w:rsid w:val="00E71C44"/>
    <w:rsid w:val="00E725BC"/>
    <w:rsid w:val="00E72608"/>
    <w:rsid w:val="00E72A5A"/>
    <w:rsid w:val="00E72DC7"/>
    <w:rsid w:val="00E73354"/>
    <w:rsid w:val="00E73509"/>
    <w:rsid w:val="00E73AB1"/>
    <w:rsid w:val="00E74587"/>
    <w:rsid w:val="00E74779"/>
    <w:rsid w:val="00E74EE8"/>
    <w:rsid w:val="00E75751"/>
    <w:rsid w:val="00E75CD8"/>
    <w:rsid w:val="00E76AF8"/>
    <w:rsid w:val="00E772AC"/>
    <w:rsid w:val="00E77C55"/>
    <w:rsid w:val="00E77D95"/>
    <w:rsid w:val="00E8094A"/>
    <w:rsid w:val="00E81657"/>
    <w:rsid w:val="00E822F7"/>
    <w:rsid w:val="00E82CB1"/>
    <w:rsid w:val="00E82D6F"/>
    <w:rsid w:val="00E838FF"/>
    <w:rsid w:val="00E839F2"/>
    <w:rsid w:val="00E83DB4"/>
    <w:rsid w:val="00E84149"/>
    <w:rsid w:val="00E849F9"/>
    <w:rsid w:val="00E84BC9"/>
    <w:rsid w:val="00E858DA"/>
    <w:rsid w:val="00E85A00"/>
    <w:rsid w:val="00E85D82"/>
    <w:rsid w:val="00E85FFC"/>
    <w:rsid w:val="00E86AA4"/>
    <w:rsid w:val="00E8714C"/>
    <w:rsid w:val="00E87A0D"/>
    <w:rsid w:val="00E87B29"/>
    <w:rsid w:val="00E87BB1"/>
    <w:rsid w:val="00E87DCA"/>
    <w:rsid w:val="00E90C84"/>
    <w:rsid w:val="00E913BE"/>
    <w:rsid w:val="00E91748"/>
    <w:rsid w:val="00E921E0"/>
    <w:rsid w:val="00E9222D"/>
    <w:rsid w:val="00E9242D"/>
    <w:rsid w:val="00E92E68"/>
    <w:rsid w:val="00E92FF8"/>
    <w:rsid w:val="00E9328E"/>
    <w:rsid w:val="00E94D8E"/>
    <w:rsid w:val="00E957F1"/>
    <w:rsid w:val="00E96274"/>
    <w:rsid w:val="00E9645E"/>
    <w:rsid w:val="00E96482"/>
    <w:rsid w:val="00E96A14"/>
    <w:rsid w:val="00E97F5A"/>
    <w:rsid w:val="00EA068C"/>
    <w:rsid w:val="00EA09B7"/>
    <w:rsid w:val="00EA0DFC"/>
    <w:rsid w:val="00EA0E9C"/>
    <w:rsid w:val="00EA139F"/>
    <w:rsid w:val="00EA1FAE"/>
    <w:rsid w:val="00EA20C6"/>
    <w:rsid w:val="00EA23A1"/>
    <w:rsid w:val="00EA2500"/>
    <w:rsid w:val="00EA250F"/>
    <w:rsid w:val="00EA26A9"/>
    <w:rsid w:val="00EA2D15"/>
    <w:rsid w:val="00EA2D99"/>
    <w:rsid w:val="00EA3673"/>
    <w:rsid w:val="00EA36EA"/>
    <w:rsid w:val="00EA3A8C"/>
    <w:rsid w:val="00EA4293"/>
    <w:rsid w:val="00EA42B8"/>
    <w:rsid w:val="00EA4582"/>
    <w:rsid w:val="00EA5314"/>
    <w:rsid w:val="00EA5691"/>
    <w:rsid w:val="00EA5E98"/>
    <w:rsid w:val="00EA63CF"/>
    <w:rsid w:val="00EA6DFD"/>
    <w:rsid w:val="00EA6E1A"/>
    <w:rsid w:val="00EA71AE"/>
    <w:rsid w:val="00EA7C3D"/>
    <w:rsid w:val="00EB016D"/>
    <w:rsid w:val="00EB0242"/>
    <w:rsid w:val="00EB02A3"/>
    <w:rsid w:val="00EB03D7"/>
    <w:rsid w:val="00EB0A4C"/>
    <w:rsid w:val="00EB0BBD"/>
    <w:rsid w:val="00EB0C0F"/>
    <w:rsid w:val="00EB0CDB"/>
    <w:rsid w:val="00EB0F6A"/>
    <w:rsid w:val="00EB1025"/>
    <w:rsid w:val="00EB1717"/>
    <w:rsid w:val="00EB25B3"/>
    <w:rsid w:val="00EB2CB3"/>
    <w:rsid w:val="00EB2F65"/>
    <w:rsid w:val="00EB3308"/>
    <w:rsid w:val="00EB37FF"/>
    <w:rsid w:val="00EB38FF"/>
    <w:rsid w:val="00EB42DA"/>
    <w:rsid w:val="00EB4730"/>
    <w:rsid w:val="00EB5255"/>
    <w:rsid w:val="00EB52DE"/>
    <w:rsid w:val="00EB53EB"/>
    <w:rsid w:val="00EB5466"/>
    <w:rsid w:val="00EB54B0"/>
    <w:rsid w:val="00EB5635"/>
    <w:rsid w:val="00EB563F"/>
    <w:rsid w:val="00EB5C47"/>
    <w:rsid w:val="00EB6214"/>
    <w:rsid w:val="00EB6446"/>
    <w:rsid w:val="00EB6543"/>
    <w:rsid w:val="00EB767A"/>
    <w:rsid w:val="00EB7B5B"/>
    <w:rsid w:val="00EB7C2B"/>
    <w:rsid w:val="00EB7D02"/>
    <w:rsid w:val="00EB7D69"/>
    <w:rsid w:val="00EB7E23"/>
    <w:rsid w:val="00EC027D"/>
    <w:rsid w:val="00EC05BF"/>
    <w:rsid w:val="00EC0988"/>
    <w:rsid w:val="00EC117F"/>
    <w:rsid w:val="00EC136C"/>
    <w:rsid w:val="00EC21B4"/>
    <w:rsid w:val="00EC3D2C"/>
    <w:rsid w:val="00EC3D9D"/>
    <w:rsid w:val="00EC3F58"/>
    <w:rsid w:val="00EC43D6"/>
    <w:rsid w:val="00EC46B7"/>
    <w:rsid w:val="00EC4A5A"/>
    <w:rsid w:val="00EC5079"/>
    <w:rsid w:val="00EC553E"/>
    <w:rsid w:val="00EC5BD4"/>
    <w:rsid w:val="00EC646F"/>
    <w:rsid w:val="00EC652A"/>
    <w:rsid w:val="00EC6621"/>
    <w:rsid w:val="00EC6E05"/>
    <w:rsid w:val="00EC73E5"/>
    <w:rsid w:val="00EC7453"/>
    <w:rsid w:val="00EC7938"/>
    <w:rsid w:val="00EC7F1F"/>
    <w:rsid w:val="00ED0639"/>
    <w:rsid w:val="00ED0A2D"/>
    <w:rsid w:val="00ED1960"/>
    <w:rsid w:val="00ED210B"/>
    <w:rsid w:val="00ED2154"/>
    <w:rsid w:val="00ED2256"/>
    <w:rsid w:val="00ED31F2"/>
    <w:rsid w:val="00ED3639"/>
    <w:rsid w:val="00ED38F9"/>
    <w:rsid w:val="00ED3B19"/>
    <w:rsid w:val="00ED3C61"/>
    <w:rsid w:val="00ED3CB5"/>
    <w:rsid w:val="00ED42A0"/>
    <w:rsid w:val="00ED43A9"/>
    <w:rsid w:val="00ED4529"/>
    <w:rsid w:val="00ED527D"/>
    <w:rsid w:val="00ED5D10"/>
    <w:rsid w:val="00ED5DDF"/>
    <w:rsid w:val="00ED5E43"/>
    <w:rsid w:val="00ED62B2"/>
    <w:rsid w:val="00ED6569"/>
    <w:rsid w:val="00ED70C5"/>
    <w:rsid w:val="00ED7718"/>
    <w:rsid w:val="00ED7B2E"/>
    <w:rsid w:val="00EE0254"/>
    <w:rsid w:val="00EE02A9"/>
    <w:rsid w:val="00EE0723"/>
    <w:rsid w:val="00EE07CF"/>
    <w:rsid w:val="00EE07E7"/>
    <w:rsid w:val="00EE0A65"/>
    <w:rsid w:val="00EE1837"/>
    <w:rsid w:val="00EE1F6F"/>
    <w:rsid w:val="00EE214C"/>
    <w:rsid w:val="00EE24FD"/>
    <w:rsid w:val="00EE2D01"/>
    <w:rsid w:val="00EE3046"/>
    <w:rsid w:val="00EE3147"/>
    <w:rsid w:val="00EE34E8"/>
    <w:rsid w:val="00EE3683"/>
    <w:rsid w:val="00EE371D"/>
    <w:rsid w:val="00EE3DFA"/>
    <w:rsid w:val="00EE4B73"/>
    <w:rsid w:val="00EE52FA"/>
    <w:rsid w:val="00EE5692"/>
    <w:rsid w:val="00EE5CD3"/>
    <w:rsid w:val="00EE5CE1"/>
    <w:rsid w:val="00EE5D4A"/>
    <w:rsid w:val="00EE63E2"/>
    <w:rsid w:val="00EE66F4"/>
    <w:rsid w:val="00EE6CB5"/>
    <w:rsid w:val="00EE6F14"/>
    <w:rsid w:val="00EE716B"/>
    <w:rsid w:val="00EF006A"/>
    <w:rsid w:val="00EF02C9"/>
    <w:rsid w:val="00EF0E64"/>
    <w:rsid w:val="00EF13C0"/>
    <w:rsid w:val="00EF1598"/>
    <w:rsid w:val="00EF1669"/>
    <w:rsid w:val="00EF1702"/>
    <w:rsid w:val="00EF1983"/>
    <w:rsid w:val="00EF1BBA"/>
    <w:rsid w:val="00EF1FA7"/>
    <w:rsid w:val="00EF21AE"/>
    <w:rsid w:val="00EF2DF7"/>
    <w:rsid w:val="00EF2FD3"/>
    <w:rsid w:val="00EF3163"/>
    <w:rsid w:val="00EF3334"/>
    <w:rsid w:val="00EF33D1"/>
    <w:rsid w:val="00EF3412"/>
    <w:rsid w:val="00EF3BAD"/>
    <w:rsid w:val="00EF3C02"/>
    <w:rsid w:val="00EF3C76"/>
    <w:rsid w:val="00EF42DD"/>
    <w:rsid w:val="00EF4755"/>
    <w:rsid w:val="00EF4DC9"/>
    <w:rsid w:val="00EF5105"/>
    <w:rsid w:val="00EF53DA"/>
    <w:rsid w:val="00EF56A8"/>
    <w:rsid w:val="00EF57AB"/>
    <w:rsid w:val="00EF5E46"/>
    <w:rsid w:val="00EF629E"/>
    <w:rsid w:val="00EF6346"/>
    <w:rsid w:val="00EF6DDF"/>
    <w:rsid w:val="00EF701F"/>
    <w:rsid w:val="00EF7033"/>
    <w:rsid w:val="00EF7135"/>
    <w:rsid w:val="00EF7530"/>
    <w:rsid w:val="00EF766E"/>
    <w:rsid w:val="00EF7B41"/>
    <w:rsid w:val="00EF7DA7"/>
    <w:rsid w:val="00F0021A"/>
    <w:rsid w:val="00F0055F"/>
    <w:rsid w:val="00F00E0C"/>
    <w:rsid w:val="00F00EF2"/>
    <w:rsid w:val="00F01F0F"/>
    <w:rsid w:val="00F0239F"/>
    <w:rsid w:val="00F027DB"/>
    <w:rsid w:val="00F02BFB"/>
    <w:rsid w:val="00F02DED"/>
    <w:rsid w:val="00F02FC0"/>
    <w:rsid w:val="00F03257"/>
    <w:rsid w:val="00F04078"/>
    <w:rsid w:val="00F047C7"/>
    <w:rsid w:val="00F04A4C"/>
    <w:rsid w:val="00F04A8B"/>
    <w:rsid w:val="00F04E5C"/>
    <w:rsid w:val="00F04FEA"/>
    <w:rsid w:val="00F0560C"/>
    <w:rsid w:val="00F057EB"/>
    <w:rsid w:val="00F05A33"/>
    <w:rsid w:val="00F05C35"/>
    <w:rsid w:val="00F062DB"/>
    <w:rsid w:val="00F06795"/>
    <w:rsid w:val="00F07096"/>
    <w:rsid w:val="00F076E2"/>
    <w:rsid w:val="00F07A26"/>
    <w:rsid w:val="00F10846"/>
    <w:rsid w:val="00F10DAF"/>
    <w:rsid w:val="00F10E1E"/>
    <w:rsid w:val="00F11341"/>
    <w:rsid w:val="00F1185C"/>
    <w:rsid w:val="00F11E01"/>
    <w:rsid w:val="00F12273"/>
    <w:rsid w:val="00F123DF"/>
    <w:rsid w:val="00F12424"/>
    <w:rsid w:val="00F12A10"/>
    <w:rsid w:val="00F138C3"/>
    <w:rsid w:val="00F139A1"/>
    <w:rsid w:val="00F13B7F"/>
    <w:rsid w:val="00F13CA2"/>
    <w:rsid w:val="00F1449C"/>
    <w:rsid w:val="00F144E2"/>
    <w:rsid w:val="00F14A7A"/>
    <w:rsid w:val="00F14B57"/>
    <w:rsid w:val="00F14C7D"/>
    <w:rsid w:val="00F151AD"/>
    <w:rsid w:val="00F1670A"/>
    <w:rsid w:val="00F168BC"/>
    <w:rsid w:val="00F172E6"/>
    <w:rsid w:val="00F177C9"/>
    <w:rsid w:val="00F17A8F"/>
    <w:rsid w:val="00F17B78"/>
    <w:rsid w:val="00F17DC2"/>
    <w:rsid w:val="00F17E31"/>
    <w:rsid w:val="00F17E5F"/>
    <w:rsid w:val="00F2006C"/>
    <w:rsid w:val="00F208EA"/>
    <w:rsid w:val="00F209B2"/>
    <w:rsid w:val="00F20A1D"/>
    <w:rsid w:val="00F20F8D"/>
    <w:rsid w:val="00F2117F"/>
    <w:rsid w:val="00F2146E"/>
    <w:rsid w:val="00F21543"/>
    <w:rsid w:val="00F21650"/>
    <w:rsid w:val="00F21B70"/>
    <w:rsid w:val="00F21D9E"/>
    <w:rsid w:val="00F21FCA"/>
    <w:rsid w:val="00F22643"/>
    <w:rsid w:val="00F226AF"/>
    <w:rsid w:val="00F22985"/>
    <w:rsid w:val="00F22B5A"/>
    <w:rsid w:val="00F2329E"/>
    <w:rsid w:val="00F236EC"/>
    <w:rsid w:val="00F23DB2"/>
    <w:rsid w:val="00F23E35"/>
    <w:rsid w:val="00F24827"/>
    <w:rsid w:val="00F24952"/>
    <w:rsid w:val="00F24BE9"/>
    <w:rsid w:val="00F25FD8"/>
    <w:rsid w:val="00F26BD5"/>
    <w:rsid w:val="00F2731A"/>
    <w:rsid w:val="00F273A4"/>
    <w:rsid w:val="00F27475"/>
    <w:rsid w:val="00F278A4"/>
    <w:rsid w:val="00F27EAE"/>
    <w:rsid w:val="00F302B3"/>
    <w:rsid w:val="00F308DC"/>
    <w:rsid w:val="00F30BE0"/>
    <w:rsid w:val="00F30C16"/>
    <w:rsid w:val="00F3111B"/>
    <w:rsid w:val="00F3173F"/>
    <w:rsid w:val="00F32699"/>
    <w:rsid w:val="00F3289B"/>
    <w:rsid w:val="00F32A8C"/>
    <w:rsid w:val="00F32E60"/>
    <w:rsid w:val="00F3309D"/>
    <w:rsid w:val="00F330C1"/>
    <w:rsid w:val="00F332E6"/>
    <w:rsid w:val="00F3383E"/>
    <w:rsid w:val="00F33ED7"/>
    <w:rsid w:val="00F3468D"/>
    <w:rsid w:val="00F34987"/>
    <w:rsid w:val="00F34A93"/>
    <w:rsid w:val="00F34C74"/>
    <w:rsid w:val="00F354A6"/>
    <w:rsid w:val="00F356A4"/>
    <w:rsid w:val="00F357D0"/>
    <w:rsid w:val="00F36638"/>
    <w:rsid w:val="00F36646"/>
    <w:rsid w:val="00F36C5B"/>
    <w:rsid w:val="00F374D1"/>
    <w:rsid w:val="00F375EF"/>
    <w:rsid w:val="00F376E7"/>
    <w:rsid w:val="00F40469"/>
    <w:rsid w:val="00F40AA4"/>
    <w:rsid w:val="00F40AC4"/>
    <w:rsid w:val="00F40B7A"/>
    <w:rsid w:val="00F40B9B"/>
    <w:rsid w:val="00F4104C"/>
    <w:rsid w:val="00F4107E"/>
    <w:rsid w:val="00F41420"/>
    <w:rsid w:val="00F41E00"/>
    <w:rsid w:val="00F41EBF"/>
    <w:rsid w:val="00F423D3"/>
    <w:rsid w:val="00F432DB"/>
    <w:rsid w:val="00F438C3"/>
    <w:rsid w:val="00F439DD"/>
    <w:rsid w:val="00F43BF5"/>
    <w:rsid w:val="00F443E1"/>
    <w:rsid w:val="00F4446C"/>
    <w:rsid w:val="00F44601"/>
    <w:rsid w:val="00F44960"/>
    <w:rsid w:val="00F44C98"/>
    <w:rsid w:val="00F457DB"/>
    <w:rsid w:val="00F45F34"/>
    <w:rsid w:val="00F463D8"/>
    <w:rsid w:val="00F46477"/>
    <w:rsid w:val="00F465A7"/>
    <w:rsid w:val="00F46605"/>
    <w:rsid w:val="00F468D6"/>
    <w:rsid w:val="00F469BF"/>
    <w:rsid w:val="00F46D01"/>
    <w:rsid w:val="00F47098"/>
    <w:rsid w:val="00F472AB"/>
    <w:rsid w:val="00F478B1"/>
    <w:rsid w:val="00F47D03"/>
    <w:rsid w:val="00F47E14"/>
    <w:rsid w:val="00F50AD7"/>
    <w:rsid w:val="00F50B7C"/>
    <w:rsid w:val="00F50BA3"/>
    <w:rsid w:val="00F50BE6"/>
    <w:rsid w:val="00F50EBE"/>
    <w:rsid w:val="00F51376"/>
    <w:rsid w:val="00F51488"/>
    <w:rsid w:val="00F51823"/>
    <w:rsid w:val="00F5194F"/>
    <w:rsid w:val="00F51C97"/>
    <w:rsid w:val="00F52050"/>
    <w:rsid w:val="00F523BD"/>
    <w:rsid w:val="00F53157"/>
    <w:rsid w:val="00F53C1E"/>
    <w:rsid w:val="00F54529"/>
    <w:rsid w:val="00F547CA"/>
    <w:rsid w:val="00F54E60"/>
    <w:rsid w:val="00F54EF5"/>
    <w:rsid w:val="00F55090"/>
    <w:rsid w:val="00F550E6"/>
    <w:rsid w:val="00F55989"/>
    <w:rsid w:val="00F559D0"/>
    <w:rsid w:val="00F55D4E"/>
    <w:rsid w:val="00F55ED7"/>
    <w:rsid w:val="00F569E5"/>
    <w:rsid w:val="00F56FAD"/>
    <w:rsid w:val="00F574B5"/>
    <w:rsid w:val="00F57D20"/>
    <w:rsid w:val="00F60106"/>
    <w:rsid w:val="00F6018E"/>
    <w:rsid w:val="00F6032A"/>
    <w:rsid w:val="00F60A3A"/>
    <w:rsid w:val="00F61997"/>
    <w:rsid w:val="00F62083"/>
    <w:rsid w:val="00F62AD4"/>
    <w:rsid w:val="00F62E79"/>
    <w:rsid w:val="00F62F7B"/>
    <w:rsid w:val="00F6390D"/>
    <w:rsid w:val="00F64148"/>
    <w:rsid w:val="00F64664"/>
    <w:rsid w:val="00F64850"/>
    <w:rsid w:val="00F64932"/>
    <w:rsid w:val="00F649CD"/>
    <w:rsid w:val="00F64B75"/>
    <w:rsid w:val="00F64D6D"/>
    <w:rsid w:val="00F64D88"/>
    <w:rsid w:val="00F6577C"/>
    <w:rsid w:val="00F658B6"/>
    <w:rsid w:val="00F65970"/>
    <w:rsid w:val="00F661C6"/>
    <w:rsid w:val="00F66729"/>
    <w:rsid w:val="00F6678A"/>
    <w:rsid w:val="00F66AAD"/>
    <w:rsid w:val="00F66D66"/>
    <w:rsid w:val="00F66E51"/>
    <w:rsid w:val="00F677FB"/>
    <w:rsid w:val="00F67945"/>
    <w:rsid w:val="00F700FC"/>
    <w:rsid w:val="00F70366"/>
    <w:rsid w:val="00F71773"/>
    <w:rsid w:val="00F71A41"/>
    <w:rsid w:val="00F71C41"/>
    <w:rsid w:val="00F720C8"/>
    <w:rsid w:val="00F724CD"/>
    <w:rsid w:val="00F72ABA"/>
    <w:rsid w:val="00F72CAC"/>
    <w:rsid w:val="00F731BE"/>
    <w:rsid w:val="00F73F49"/>
    <w:rsid w:val="00F741A4"/>
    <w:rsid w:val="00F74345"/>
    <w:rsid w:val="00F7515F"/>
    <w:rsid w:val="00F75AB1"/>
    <w:rsid w:val="00F75D9B"/>
    <w:rsid w:val="00F766B4"/>
    <w:rsid w:val="00F7696B"/>
    <w:rsid w:val="00F77783"/>
    <w:rsid w:val="00F77921"/>
    <w:rsid w:val="00F77DD4"/>
    <w:rsid w:val="00F80A0A"/>
    <w:rsid w:val="00F80CCB"/>
    <w:rsid w:val="00F80F6D"/>
    <w:rsid w:val="00F815CF"/>
    <w:rsid w:val="00F81662"/>
    <w:rsid w:val="00F81A36"/>
    <w:rsid w:val="00F81F09"/>
    <w:rsid w:val="00F8206A"/>
    <w:rsid w:val="00F822B1"/>
    <w:rsid w:val="00F826CB"/>
    <w:rsid w:val="00F8279E"/>
    <w:rsid w:val="00F82B19"/>
    <w:rsid w:val="00F82B75"/>
    <w:rsid w:val="00F83027"/>
    <w:rsid w:val="00F835FF"/>
    <w:rsid w:val="00F837CD"/>
    <w:rsid w:val="00F839CE"/>
    <w:rsid w:val="00F83C68"/>
    <w:rsid w:val="00F8455B"/>
    <w:rsid w:val="00F84E66"/>
    <w:rsid w:val="00F8511E"/>
    <w:rsid w:val="00F8557E"/>
    <w:rsid w:val="00F85AE6"/>
    <w:rsid w:val="00F85E58"/>
    <w:rsid w:val="00F86DE1"/>
    <w:rsid w:val="00F86F8F"/>
    <w:rsid w:val="00F8797F"/>
    <w:rsid w:val="00F90218"/>
    <w:rsid w:val="00F90B3C"/>
    <w:rsid w:val="00F914B2"/>
    <w:rsid w:val="00F9157F"/>
    <w:rsid w:val="00F9172E"/>
    <w:rsid w:val="00F91FFC"/>
    <w:rsid w:val="00F9212D"/>
    <w:rsid w:val="00F922C2"/>
    <w:rsid w:val="00F9235F"/>
    <w:rsid w:val="00F92469"/>
    <w:rsid w:val="00F933B6"/>
    <w:rsid w:val="00F9394E"/>
    <w:rsid w:val="00F93C3B"/>
    <w:rsid w:val="00F94766"/>
    <w:rsid w:val="00F94D8F"/>
    <w:rsid w:val="00F953E5"/>
    <w:rsid w:val="00F9549B"/>
    <w:rsid w:val="00F95695"/>
    <w:rsid w:val="00F95FB7"/>
    <w:rsid w:val="00F963CF"/>
    <w:rsid w:val="00F965DA"/>
    <w:rsid w:val="00F96A65"/>
    <w:rsid w:val="00F97941"/>
    <w:rsid w:val="00F97A08"/>
    <w:rsid w:val="00F97A2B"/>
    <w:rsid w:val="00F97E90"/>
    <w:rsid w:val="00FA039A"/>
    <w:rsid w:val="00FA04DB"/>
    <w:rsid w:val="00FA09D9"/>
    <w:rsid w:val="00FA1864"/>
    <w:rsid w:val="00FA1D0E"/>
    <w:rsid w:val="00FA2670"/>
    <w:rsid w:val="00FA28FD"/>
    <w:rsid w:val="00FA2902"/>
    <w:rsid w:val="00FA3278"/>
    <w:rsid w:val="00FA3B70"/>
    <w:rsid w:val="00FA3D84"/>
    <w:rsid w:val="00FA3EB5"/>
    <w:rsid w:val="00FA406A"/>
    <w:rsid w:val="00FA5100"/>
    <w:rsid w:val="00FA53F2"/>
    <w:rsid w:val="00FA58F4"/>
    <w:rsid w:val="00FA5A57"/>
    <w:rsid w:val="00FA5B79"/>
    <w:rsid w:val="00FA5E5E"/>
    <w:rsid w:val="00FA64A1"/>
    <w:rsid w:val="00FA7063"/>
    <w:rsid w:val="00FA738F"/>
    <w:rsid w:val="00FA750D"/>
    <w:rsid w:val="00FA7B3F"/>
    <w:rsid w:val="00FA7EDF"/>
    <w:rsid w:val="00FB0C42"/>
    <w:rsid w:val="00FB0C52"/>
    <w:rsid w:val="00FB0D66"/>
    <w:rsid w:val="00FB156A"/>
    <w:rsid w:val="00FB1773"/>
    <w:rsid w:val="00FB1A7D"/>
    <w:rsid w:val="00FB1B0A"/>
    <w:rsid w:val="00FB1CD2"/>
    <w:rsid w:val="00FB24C2"/>
    <w:rsid w:val="00FB2563"/>
    <w:rsid w:val="00FB273A"/>
    <w:rsid w:val="00FB2BA3"/>
    <w:rsid w:val="00FB2C39"/>
    <w:rsid w:val="00FB2F61"/>
    <w:rsid w:val="00FB3675"/>
    <w:rsid w:val="00FB3830"/>
    <w:rsid w:val="00FB3A14"/>
    <w:rsid w:val="00FB3A8D"/>
    <w:rsid w:val="00FB3E7B"/>
    <w:rsid w:val="00FB4097"/>
    <w:rsid w:val="00FB4339"/>
    <w:rsid w:val="00FB4538"/>
    <w:rsid w:val="00FB4D1E"/>
    <w:rsid w:val="00FB503A"/>
    <w:rsid w:val="00FB516C"/>
    <w:rsid w:val="00FB54B9"/>
    <w:rsid w:val="00FB5A28"/>
    <w:rsid w:val="00FB621D"/>
    <w:rsid w:val="00FB6739"/>
    <w:rsid w:val="00FB6B88"/>
    <w:rsid w:val="00FB6ED3"/>
    <w:rsid w:val="00FB792B"/>
    <w:rsid w:val="00FB7ACB"/>
    <w:rsid w:val="00FB7CED"/>
    <w:rsid w:val="00FB7EB4"/>
    <w:rsid w:val="00FC08F9"/>
    <w:rsid w:val="00FC1708"/>
    <w:rsid w:val="00FC1A6D"/>
    <w:rsid w:val="00FC20FE"/>
    <w:rsid w:val="00FC21F1"/>
    <w:rsid w:val="00FC22A5"/>
    <w:rsid w:val="00FC274B"/>
    <w:rsid w:val="00FC2FFA"/>
    <w:rsid w:val="00FC3137"/>
    <w:rsid w:val="00FC32B4"/>
    <w:rsid w:val="00FC4625"/>
    <w:rsid w:val="00FC4735"/>
    <w:rsid w:val="00FC4AB8"/>
    <w:rsid w:val="00FC515A"/>
    <w:rsid w:val="00FC55E2"/>
    <w:rsid w:val="00FC64D7"/>
    <w:rsid w:val="00FC6550"/>
    <w:rsid w:val="00FC6A73"/>
    <w:rsid w:val="00FC6C3F"/>
    <w:rsid w:val="00FC6CA2"/>
    <w:rsid w:val="00FC6FE4"/>
    <w:rsid w:val="00FC790D"/>
    <w:rsid w:val="00FC79BA"/>
    <w:rsid w:val="00FC7FA4"/>
    <w:rsid w:val="00FD0225"/>
    <w:rsid w:val="00FD0236"/>
    <w:rsid w:val="00FD025D"/>
    <w:rsid w:val="00FD0E39"/>
    <w:rsid w:val="00FD1754"/>
    <w:rsid w:val="00FD18F4"/>
    <w:rsid w:val="00FD1A61"/>
    <w:rsid w:val="00FD2257"/>
    <w:rsid w:val="00FD25D8"/>
    <w:rsid w:val="00FD2D2D"/>
    <w:rsid w:val="00FD30D2"/>
    <w:rsid w:val="00FD3299"/>
    <w:rsid w:val="00FD34FC"/>
    <w:rsid w:val="00FD3ACB"/>
    <w:rsid w:val="00FD3B3E"/>
    <w:rsid w:val="00FD3BEE"/>
    <w:rsid w:val="00FD46C0"/>
    <w:rsid w:val="00FD54DB"/>
    <w:rsid w:val="00FD54F9"/>
    <w:rsid w:val="00FD554B"/>
    <w:rsid w:val="00FD619F"/>
    <w:rsid w:val="00FD63A5"/>
    <w:rsid w:val="00FD678A"/>
    <w:rsid w:val="00FD688D"/>
    <w:rsid w:val="00FD68E7"/>
    <w:rsid w:val="00FD6CCA"/>
    <w:rsid w:val="00FD6F80"/>
    <w:rsid w:val="00FD743A"/>
    <w:rsid w:val="00FD7B0B"/>
    <w:rsid w:val="00FD7C95"/>
    <w:rsid w:val="00FD7CEF"/>
    <w:rsid w:val="00FD7E39"/>
    <w:rsid w:val="00FE00C6"/>
    <w:rsid w:val="00FE0C43"/>
    <w:rsid w:val="00FE15A1"/>
    <w:rsid w:val="00FE15DD"/>
    <w:rsid w:val="00FE207C"/>
    <w:rsid w:val="00FE20D4"/>
    <w:rsid w:val="00FE230E"/>
    <w:rsid w:val="00FE331E"/>
    <w:rsid w:val="00FE3894"/>
    <w:rsid w:val="00FE3D14"/>
    <w:rsid w:val="00FE3D5D"/>
    <w:rsid w:val="00FE4338"/>
    <w:rsid w:val="00FE4B53"/>
    <w:rsid w:val="00FE5971"/>
    <w:rsid w:val="00FE5F48"/>
    <w:rsid w:val="00FE64EB"/>
    <w:rsid w:val="00FE6BAD"/>
    <w:rsid w:val="00FE72E8"/>
    <w:rsid w:val="00FE7A3B"/>
    <w:rsid w:val="00FE7F28"/>
    <w:rsid w:val="00FF0E75"/>
    <w:rsid w:val="00FF106B"/>
    <w:rsid w:val="00FF128C"/>
    <w:rsid w:val="00FF23A7"/>
    <w:rsid w:val="00FF2974"/>
    <w:rsid w:val="00FF2D82"/>
    <w:rsid w:val="00FF2D8F"/>
    <w:rsid w:val="00FF310C"/>
    <w:rsid w:val="00FF33A1"/>
    <w:rsid w:val="00FF3D74"/>
    <w:rsid w:val="00FF417C"/>
    <w:rsid w:val="00FF41E3"/>
    <w:rsid w:val="00FF4784"/>
    <w:rsid w:val="00FF4A99"/>
    <w:rsid w:val="00FF50AC"/>
    <w:rsid w:val="00FF5923"/>
    <w:rsid w:val="00FF5A37"/>
    <w:rsid w:val="00FF5B64"/>
    <w:rsid w:val="00FF5CCA"/>
    <w:rsid w:val="00FF6233"/>
    <w:rsid w:val="00FF648C"/>
    <w:rsid w:val="00FF66D6"/>
    <w:rsid w:val="00FF6E1F"/>
    <w:rsid w:val="00FF6EAC"/>
    <w:rsid w:val="00FF75F8"/>
    <w:rsid w:val="00FF7E06"/>
    <w:rsid w:val="01290F7E"/>
    <w:rsid w:val="015D1E09"/>
    <w:rsid w:val="02697903"/>
    <w:rsid w:val="02F96569"/>
    <w:rsid w:val="03E91EB6"/>
    <w:rsid w:val="03EA7B21"/>
    <w:rsid w:val="055C3532"/>
    <w:rsid w:val="05AF63FB"/>
    <w:rsid w:val="05F83EAE"/>
    <w:rsid w:val="063E7D85"/>
    <w:rsid w:val="06F347DF"/>
    <w:rsid w:val="07293586"/>
    <w:rsid w:val="07295285"/>
    <w:rsid w:val="07317B7D"/>
    <w:rsid w:val="07636392"/>
    <w:rsid w:val="07770C56"/>
    <w:rsid w:val="07D81369"/>
    <w:rsid w:val="092217DD"/>
    <w:rsid w:val="093A7294"/>
    <w:rsid w:val="09644C54"/>
    <w:rsid w:val="0A263993"/>
    <w:rsid w:val="0A2D3AC2"/>
    <w:rsid w:val="0AA755DF"/>
    <w:rsid w:val="0B120D44"/>
    <w:rsid w:val="0BD27BF6"/>
    <w:rsid w:val="0C3B3C7D"/>
    <w:rsid w:val="0CAB2EAE"/>
    <w:rsid w:val="0D621C7D"/>
    <w:rsid w:val="0E73034D"/>
    <w:rsid w:val="0EB83A78"/>
    <w:rsid w:val="0F13775A"/>
    <w:rsid w:val="0F5F45FE"/>
    <w:rsid w:val="0F9A112B"/>
    <w:rsid w:val="106D2F64"/>
    <w:rsid w:val="10B63710"/>
    <w:rsid w:val="10F10820"/>
    <w:rsid w:val="111C2F7A"/>
    <w:rsid w:val="11652140"/>
    <w:rsid w:val="11665CA1"/>
    <w:rsid w:val="13951726"/>
    <w:rsid w:val="14396509"/>
    <w:rsid w:val="149B7C36"/>
    <w:rsid w:val="14DD2C3C"/>
    <w:rsid w:val="15C55CFA"/>
    <w:rsid w:val="16087E1D"/>
    <w:rsid w:val="16B84434"/>
    <w:rsid w:val="16FD2DDE"/>
    <w:rsid w:val="17701D14"/>
    <w:rsid w:val="17735226"/>
    <w:rsid w:val="189F624C"/>
    <w:rsid w:val="18E72FA9"/>
    <w:rsid w:val="19510D51"/>
    <w:rsid w:val="1A0505BD"/>
    <w:rsid w:val="1A1C66C0"/>
    <w:rsid w:val="1A42393B"/>
    <w:rsid w:val="1AAD45DE"/>
    <w:rsid w:val="1B046F80"/>
    <w:rsid w:val="1B3267B5"/>
    <w:rsid w:val="1B40161D"/>
    <w:rsid w:val="1B441859"/>
    <w:rsid w:val="1B6606B1"/>
    <w:rsid w:val="1C5E7925"/>
    <w:rsid w:val="1CFD070F"/>
    <w:rsid w:val="1D5F6196"/>
    <w:rsid w:val="1D6132A5"/>
    <w:rsid w:val="1D8E56D5"/>
    <w:rsid w:val="1E7A43DA"/>
    <w:rsid w:val="1EB81C9F"/>
    <w:rsid w:val="1FD510D9"/>
    <w:rsid w:val="1FE7539E"/>
    <w:rsid w:val="20671BE0"/>
    <w:rsid w:val="20963CB8"/>
    <w:rsid w:val="20A81A1B"/>
    <w:rsid w:val="20B07FB6"/>
    <w:rsid w:val="20B646FB"/>
    <w:rsid w:val="20D747CE"/>
    <w:rsid w:val="213B74B1"/>
    <w:rsid w:val="215A2310"/>
    <w:rsid w:val="21DE318A"/>
    <w:rsid w:val="21EF5B80"/>
    <w:rsid w:val="22576990"/>
    <w:rsid w:val="22F47480"/>
    <w:rsid w:val="2342795C"/>
    <w:rsid w:val="23DE1C48"/>
    <w:rsid w:val="240210CD"/>
    <w:rsid w:val="242671BB"/>
    <w:rsid w:val="245473A9"/>
    <w:rsid w:val="247D6D03"/>
    <w:rsid w:val="24B5240B"/>
    <w:rsid w:val="24BF09F7"/>
    <w:rsid w:val="252D53FE"/>
    <w:rsid w:val="25D96AD4"/>
    <w:rsid w:val="25EC2D81"/>
    <w:rsid w:val="26FD42C6"/>
    <w:rsid w:val="277057A2"/>
    <w:rsid w:val="29206EB8"/>
    <w:rsid w:val="29447604"/>
    <w:rsid w:val="29595666"/>
    <w:rsid w:val="29874881"/>
    <w:rsid w:val="29E325E0"/>
    <w:rsid w:val="2A452503"/>
    <w:rsid w:val="2A84085A"/>
    <w:rsid w:val="2AA869F2"/>
    <w:rsid w:val="2BA936A8"/>
    <w:rsid w:val="2BB4516F"/>
    <w:rsid w:val="2C315A5A"/>
    <w:rsid w:val="2C4B1C25"/>
    <w:rsid w:val="2D684463"/>
    <w:rsid w:val="2D9E56F5"/>
    <w:rsid w:val="2DCD0A11"/>
    <w:rsid w:val="2E667F96"/>
    <w:rsid w:val="2E8226AB"/>
    <w:rsid w:val="2E943090"/>
    <w:rsid w:val="2EE1627B"/>
    <w:rsid w:val="2F6173BC"/>
    <w:rsid w:val="2F77098D"/>
    <w:rsid w:val="2FD065E6"/>
    <w:rsid w:val="2FD96870"/>
    <w:rsid w:val="30580BC9"/>
    <w:rsid w:val="311E2ED7"/>
    <w:rsid w:val="315619EE"/>
    <w:rsid w:val="315C449C"/>
    <w:rsid w:val="31B82709"/>
    <w:rsid w:val="31D05482"/>
    <w:rsid w:val="32400B34"/>
    <w:rsid w:val="329E6876"/>
    <w:rsid w:val="32EC51EE"/>
    <w:rsid w:val="333015F2"/>
    <w:rsid w:val="334B6320"/>
    <w:rsid w:val="33CA38C0"/>
    <w:rsid w:val="33D57522"/>
    <w:rsid w:val="33D934D4"/>
    <w:rsid w:val="33F95E15"/>
    <w:rsid w:val="33FE2F6A"/>
    <w:rsid w:val="340E07E5"/>
    <w:rsid w:val="34235BF7"/>
    <w:rsid w:val="34963D1E"/>
    <w:rsid w:val="358C5FA8"/>
    <w:rsid w:val="35C15DF1"/>
    <w:rsid w:val="36074A7F"/>
    <w:rsid w:val="36923549"/>
    <w:rsid w:val="36B75FBF"/>
    <w:rsid w:val="36BD0C45"/>
    <w:rsid w:val="37E00298"/>
    <w:rsid w:val="37F25616"/>
    <w:rsid w:val="38B302F9"/>
    <w:rsid w:val="38F12CD3"/>
    <w:rsid w:val="38F94775"/>
    <w:rsid w:val="392971ED"/>
    <w:rsid w:val="39325651"/>
    <w:rsid w:val="39531A4D"/>
    <w:rsid w:val="39BA6046"/>
    <w:rsid w:val="3A137505"/>
    <w:rsid w:val="3A872856"/>
    <w:rsid w:val="3B3763D1"/>
    <w:rsid w:val="3C29006E"/>
    <w:rsid w:val="3C2F6E1E"/>
    <w:rsid w:val="3C41385A"/>
    <w:rsid w:val="3C4F64BA"/>
    <w:rsid w:val="3CDA245A"/>
    <w:rsid w:val="3D1E06B7"/>
    <w:rsid w:val="3E734A16"/>
    <w:rsid w:val="3EDA0523"/>
    <w:rsid w:val="407A6407"/>
    <w:rsid w:val="40CF7425"/>
    <w:rsid w:val="4200449D"/>
    <w:rsid w:val="423A3BCC"/>
    <w:rsid w:val="424E57D2"/>
    <w:rsid w:val="42862F6A"/>
    <w:rsid w:val="428816F7"/>
    <w:rsid w:val="42927D51"/>
    <w:rsid w:val="42944ABD"/>
    <w:rsid w:val="42B26C49"/>
    <w:rsid w:val="433A6FE6"/>
    <w:rsid w:val="43480868"/>
    <w:rsid w:val="4350713C"/>
    <w:rsid w:val="436653E0"/>
    <w:rsid w:val="43C4431A"/>
    <w:rsid w:val="43E135A1"/>
    <w:rsid w:val="447021DE"/>
    <w:rsid w:val="44B951CC"/>
    <w:rsid w:val="44CD14E0"/>
    <w:rsid w:val="44F20B0B"/>
    <w:rsid w:val="452E5F4C"/>
    <w:rsid w:val="45612018"/>
    <w:rsid w:val="45682DFA"/>
    <w:rsid w:val="458946E9"/>
    <w:rsid w:val="45A47C0E"/>
    <w:rsid w:val="46577FD6"/>
    <w:rsid w:val="46CC5D32"/>
    <w:rsid w:val="46D955A7"/>
    <w:rsid w:val="47133957"/>
    <w:rsid w:val="47A07E0C"/>
    <w:rsid w:val="48194880"/>
    <w:rsid w:val="4870272E"/>
    <w:rsid w:val="488162D3"/>
    <w:rsid w:val="49DC7715"/>
    <w:rsid w:val="4A023139"/>
    <w:rsid w:val="4A7B576F"/>
    <w:rsid w:val="4AF561A9"/>
    <w:rsid w:val="4C4A0649"/>
    <w:rsid w:val="4C7E5ECA"/>
    <w:rsid w:val="4C876AA5"/>
    <w:rsid w:val="4D0E00FB"/>
    <w:rsid w:val="4D176606"/>
    <w:rsid w:val="4DEC4FB0"/>
    <w:rsid w:val="4E075D8A"/>
    <w:rsid w:val="4EC00FAD"/>
    <w:rsid w:val="4F4F6674"/>
    <w:rsid w:val="4F7D0BAB"/>
    <w:rsid w:val="4F9843DC"/>
    <w:rsid w:val="4FC62A8C"/>
    <w:rsid w:val="4FE20F0D"/>
    <w:rsid w:val="4FE51552"/>
    <w:rsid w:val="504A3AF3"/>
    <w:rsid w:val="50504C4B"/>
    <w:rsid w:val="509C6E7C"/>
    <w:rsid w:val="50ED74FD"/>
    <w:rsid w:val="514364CA"/>
    <w:rsid w:val="5162104E"/>
    <w:rsid w:val="53A039CC"/>
    <w:rsid w:val="53A1505A"/>
    <w:rsid w:val="54063E08"/>
    <w:rsid w:val="543437E8"/>
    <w:rsid w:val="54F73313"/>
    <w:rsid w:val="54F80955"/>
    <w:rsid w:val="555170A7"/>
    <w:rsid w:val="5587536D"/>
    <w:rsid w:val="559B174B"/>
    <w:rsid w:val="55CE0CF4"/>
    <w:rsid w:val="56B22A9C"/>
    <w:rsid w:val="56F72C37"/>
    <w:rsid w:val="57B72A76"/>
    <w:rsid w:val="57C3426C"/>
    <w:rsid w:val="57CE1F93"/>
    <w:rsid w:val="588743D1"/>
    <w:rsid w:val="5887701A"/>
    <w:rsid w:val="590D7AE9"/>
    <w:rsid w:val="59C0439F"/>
    <w:rsid w:val="5ABE2233"/>
    <w:rsid w:val="5BDF5D95"/>
    <w:rsid w:val="5BFE7528"/>
    <w:rsid w:val="5E0D58FE"/>
    <w:rsid w:val="5E2467F1"/>
    <w:rsid w:val="5F04544B"/>
    <w:rsid w:val="5F1A2B43"/>
    <w:rsid w:val="5F4D3BE9"/>
    <w:rsid w:val="5FB837BB"/>
    <w:rsid w:val="60CC405A"/>
    <w:rsid w:val="61907AEF"/>
    <w:rsid w:val="61A4570A"/>
    <w:rsid w:val="61E215D8"/>
    <w:rsid w:val="621B3775"/>
    <w:rsid w:val="62364782"/>
    <w:rsid w:val="6394356A"/>
    <w:rsid w:val="63C61B2C"/>
    <w:rsid w:val="63D40BE9"/>
    <w:rsid w:val="64102431"/>
    <w:rsid w:val="642F6D78"/>
    <w:rsid w:val="649D74A0"/>
    <w:rsid w:val="64A5243A"/>
    <w:rsid w:val="64F531DE"/>
    <w:rsid w:val="65373578"/>
    <w:rsid w:val="664F2BB4"/>
    <w:rsid w:val="66525B0B"/>
    <w:rsid w:val="671F124A"/>
    <w:rsid w:val="677A33C6"/>
    <w:rsid w:val="67973525"/>
    <w:rsid w:val="681F6961"/>
    <w:rsid w:val="68610A2F"/>
    <w:rsid w:val="68805514"/>
    <w:rsid w:val="69316E2F"/>
    <w:rsid w:val="694E2071"/>
    <w:rsid w:val="69766163"/>
    <w:rsid w:val="697A3B33"/>
    <w:rsid w:val="69D44760"/>
    <w:rsid w:val="6A520EC7"/>
    <w:rsid w:val="6A7A48EC"/>
    <w:rsid w:val="6AF87E20"/>
    <w:rsid w:val="6B322639"/>
    <w:rsid w:val="6BFE6CFD"/>
    <w:rsid w:val="6C636C38"/>
    <w:rsid w:val="6CFF0822"/>
    <w:rsid w:val="6D625FAF"/>
    <w:rsid w:val="6DB34098"/>
    <w:rsid w:val="6DB545B6"/>
    <w:rsid w:val="6DE02FB4"/>
    <w:rsid w:val="6E514CED"/>
    <w:rsid w:val="6EB563D5"/>
    <w:rsid w:val="6ED92677"/>
    <w:rsid w:val="6F225983"/>
    <w:rsid w:val="6FFC5590"/>
    <w:rsid w:val="70381498"/>
    <w:rsid w:val="70454C25"/>
    <w:rsid w:val="706D1DD0"/>
    <w:rsid w:val="70856B87"/>
    <w:rsid w:val="70D527EE"/>
    <w:rsid w:val="715B5300"/>
    <w:rsid w:val="71D27F8A"/>
    <w:rsid w:val="72553024"/>
    <w:rsid w:val="73122968"/>
    <w:rsid w:val="731F5D5E"/>
    <w:rsid w:val="73456F57"/>
    <w:rsid w:val="73C51AD5"/>
    <w:rsid w:val="741E793C"/>
    <w:rsid w:val="745E3944"/>
    <w:rsid w:val="7635099D"/>
    <w:rsid w:val="76800C19"/>
    <w:rsid w:val="76852DCA"/>
    <w:rsid w:val="76C8799D"/>
    <w:rsid w:val="77762421"/>
    <w:rsid w:val="77B56B1F"/>
    <w:rsid w:val="780F09F4"/>
    <w:rsid w:val="787A62ED"/>
    <w:rsid w:val="78A90480"/>
    <w:rsid w:val="79E936A7"/>
    <w:rsid w:val="7A364017"/>
    <w:rsid w:val="7A8265E1"/>
    <w:rsid w:val="7B686D42"/>
    <w:rsid w:val="7B841746"/>
    <w:rsid w:val="7C6C5AC7"/>
    <w:rsid w:val="7CC6544B"/>
    <w:rsid w:val="7D0239FF"/>
    <w:rsid w:val="7D5E40CD"/>
    <w:rsid w:val="7DCD56F2"/>
    <w:rsid w:val="7F001CE7"/>
    <w:rsid w:val="7F196938"/>
    <w:rsid w:val="7F794366"/>
    <w:rsid w:val="7FD8337C"/>
    <w:rsid w:val="7FE47E5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nhideWhenUsed="0" w:uiPriority="99" w:semiHidden="0" w:name="heading 2" w:locked="1"/>
    <w:lsdException w:qFormat="1" w:unhideWhenUsed="0" w:uiPriority="99" w:semiHidden="0" w:name="heading 3" w:locked="1"/>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ocked="1"/>
    <w:lsdException w:qFormat="1" w:unhideWhenUsed="0" w:uiPriority="99" w:name="toc 2" w:locked="1"/>
    <w:lsdException w:qFormat="1" w:unhideWhenUsed="0" w:uiPriority="99" w:name="toc 3" w:locked="1"/>
    <w:lsdException w:qFormat="1" w:unhideWhenUsed="0" w:uiPriority="99" w:name="toc 4" w:locked="1"/>
    <w:lsdException w:qFormat="1" w:unhideWhenUsed="0" w:uiPriority="99" w:name="toc 5" w:locked="1"/>
    <w:lsdException w:qFormat="1" w:unhideWhenUsed="0" w:uiPriority="99" w:name="toc 6" w:locked="1"/>
    <w:lsdException w:qFormat="1" w:unhideWhenUsed="0" w:uiPriority="99" w:name="toc 7" w:locked="1"/>
    <w:lsdException w:qFormat="1" w:unhideWhenUsed="0" w:uiPriority="99" w:name="toc 8" w:locked="1"/>
    <w:lsdException w:qFormat="1" w:unhideWhenUsed="0" w:uiPriority="99" w:name="toc 9" w:locked="1"/>
    <w:lsdException w:qFormat="1" w:unhideWhenUsed="0" w:uiPriority="99" w:semiHidden="0" w:name="Normal Indent" w:locked="1"/>
    <w:lsdException w:uiPriority="99" w:name="footnote text" w:locked="1"/>
    <w:lsdException w:qFormat="1" w:unhideWhenUsed="0" w:uiPriority="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qFormat="1" w:unhideWhenUsed="0"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ocked="1"/>
    <w:lsdException w:uiPriority="99" w:name="endnote reference" w:locked="1"/>
    <w:lsdException w:uiPriority="99" w:name="endnote text" w:locked="1"/>
    <w:lsdException w:uiPriority="0" w:name="table of authorities"/>
    <w:lsdException w:uiPriority="99" w:name="macro" w:locked="1"/>
    <w:lsdException w:uiPriority="99" w:name="toa heading" w:locked="1"/>
    <w:lsdException w:uiPriority="0" w:name="List"/>
    <w:lsdException w:uiPriority="0" w:name="List Bullet"/>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0" w:name="List Continue 2"/>
    <w:lsdException w:uiPriority="0" w:name="List Continue 3"/>
    <w:lsdException w:uiPriority="0" w:name="List Continue 4"/>
    <w:lsdException w:uiPriority="0" w:name="List Continue 5"/>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qFormat="1" w:unhideWhenUsed="0" w:uiPriority="99" w:semiHidden="0" w:name="Body Text First Indent" w:locked="1"/>
    <w:lsdException w:qFormat="1" w:unhideWhenUsed="0" w:uiPriority="99" w:semiHidden="0" w:name="Body Text First Indent 2" w:locked="1"/>
    <w:lsdException w:uiPriority="99" w:name="Note Heading" w:locked="1"/>
    <w:lsdException w:uiPriority="99" w:name="Body Text 2" w:locked="1"/>
    <w:lsdException w:uiPriority="99" w:name="Body Text 3" w:locked="1"/>
    <w:lsdException w:qFormat="1" w:unhideWhenUsed="0" w:uiPriority="99" w:semiHidden="0" w:name="Body Text Indent 2" w:locked="1"/>
    <w:lsdException w:qFormat="1" w:unhideWhenUsed="0" w:uiPriority="99" w:semiHidden="0" w:name="Body Text Indent 3" w:locked="1"/>
    <w:lsdException w:qFormat="1" w:uiPriority="99" w:name="Block Text" w:locked="1"/>
    <w:lsdException w:qFormat="1" w:unhideWhenUsed="0" w:uiPriority="99" w:semiHidden="0" w:name="Hyperlink" w:locked="1"/>
    <w:lsdException w:qFormat="1" w:unhideWhenUsed="0" w:uiPriority="99" w:semiHidden="0" w:name="FollowedHyperlink" w:locked="1"/>
    <w:lsdException w:qFormat="1" w:unhideWhenUsed="0" w:uiPriority="99" w:semiHidden="0" w:name="Strong" w:locked="1"/>
    <w:lsdException w:qFormat="1" w:unhideWhenUsed="0" w:uiPriority="0" w:semiHidden="0" w:name="Emphasis"/>
    <w:lsdException w:qFormat="1" w:unhideWhenUsed="0" w:uiPriority="99" w:name="Document Map" w:locked="1"/>
    <w:lsdException w:qFormat="1" w:unhideWhenUsed="0" w:uiPriority="0" w:semiHidden="0"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qFormat="1" w:unhideWhenUsed="0" w:uiPriority="99" w:semiHidden="0"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link w:val="44"/>
    <w:autoRedefine/>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link w:val="45"/>
    <w:autoRedefine/>
    <w:qFormat/>
    <w:locked/>
    <w:uiPriority w:val="99"/>
    <w:pPr>
      <w:keepNext/>
      <w:keepLines/>
      <w:spacing w:before="260" w:after="260" w:line="416" w:lineRule="auto"/>
      <w:outlineLvl w:val="1"/>
    </w:pPr>
    <w:rPr>
      <w:rFonts w:ascii="Cambria" w:hAnsi="Cambria" w:cs="Cambria"/>
      <w:b/>
      <w:bCs/>
      <w:sz w:val="32"/>
      <w:szCs w:val="32"/>
    </w:rPr>
  </w:style>
  <w:style w:type="paragraph" w:styleId="5">
    <w:name w:val="heading 3"/>
    <w:basedOn w:val="1"/>
    <w:next w:val="1"/>
    <w:link w:val="46"/>
    <w:autoRedefine/>
    <w:qFormat/>
    <w:locked/>
    <w:uiPriority w:val="99"/>
    <w:pPr>
      <w:widowControl/>
      <w:numPr>
        <w:ilvl w:val="2"/>
        <w:numId w:val="1"/>
      </w:numPr>
      <w:spacing w:beforeLines="50" w:afterLines="50"/>
      <w:jc w:val="left"/>
      <w:outlineLvl w:val="2"/>
    </w:pPr>
    <w:rPr>
      <w:rFonts w:ascii="Calibri" w:hAnsi="Calibri" w:cs="Calibri"/>
      <w:b/>
      <w:bCs/>
      <w:kern w:val="0"/>
    </w:rPr>
  </w:style>
  <w:style w:type="paragraph" w:styleId="6">
    <w:name w:val="heading 4"/>
    <w:basedOn w:val="1"/>
    <w:next w:val="1"/>
    <w:link w:val="146"/>
    <w:autoRedefine/>
    <w:unhideWhenUsed/>
    <w:qFormat/>
    <w:uiPriority w:val="0"/>
    <w:pPr>
      <w:keepNext/>
      <w:keepLines/>
      <w:spacing w:line="372" w:lineRule="auto"/>
      <w:outlineLvl w:val="3"/>
    </w:pPr>
    <w:rPr>
      <w:rFonts w:ascii="Arial" w:hAnsi="Arial" w:eastAsia="黑体"/>
      <w:b/>
      <w:sz w:val="28"/>
    </w:rPr>
  </w:style>
  <w:style w:type="character" w:default="1" w:styleId="37">
    <w:name w:val="Default Paragraph Font"/>
    <w:autoRedefine/>
    <w:semiHidden/>
    <w:unhideWhenUsed/>
    <w:qFormat/>
    <w:uiPriority w:val="1"/>
  </w:style>
  <w:style w:type="table" w:default="1" w:styleId="35">
    <w:name w:val="Normal Table"/>
    <w:autoRedefine/>
    <w:semiHidden/>
    <w:unhideWhenUsed/>
    <w:qFormat/>
    <w:uiPriority w:val="99"/>
    <w:tblPr>
      <w:tblCellMar>
        <w:top w:w="0" w:type="dxa"/>
        <w:left w:w="108" w:type="dxa"/>
        <w:bottom w:w="0" w:type="dxa"/>
        <w:right w:w="108" w:type="dxa"/>
      </w:tblCellMar>
    </w:tblPr>
  </w:style>
  <w:style w:type="paragraph" w:styleId="2">
    <w:name w:val="Normal Indent"/>
    <w:basedOn w:val="1"/>
    <w:next w:val="1"/>
    <w:link w:val="80"/>
    <w:autoRedefine/>
    <w:qFormat/>
    <w:locked/>
    <w:uiPriority w:val="99"/>
    <w:pPr>
      <w:ind w:firstLine="420"/>
    </w:pPr>
    <w:rPr>
      <w:rFonts w:ascii="Calibri" w:hAnsi="Calibri"/>
      <w:sz w:val="22"/>
      <w:szCs w:val="22"/>
    </w:rPr>
  </w:style>
  <w:style w:type="paragraph" w:styleId="7">
    <w:name w:val="toc 7"/>
    <w:basedOn w:val="1"/>
    <w:next w:val="1"/>
    <w:autoRedefine/>
    <w:semiHidden/>
    <w:qFormat/>
    <w:locked/>
    <w:uiPriority w:val="99"/>
    <w:pPr>
      <w:ind w:left="1260"/>
      <w:jc w:val="left"/>
    </w:pPr>
    <w:rPr>
      <w:rFonts w:ascii="Calibri" w:hAnsi="Calibri" w:cs="Calibri"/>
      <w:sz w:val="18"/>
      <w:szCs w:val="18"/>
    </w:rPr>
  </w:style>
  <w:style w:type="paragraph" w:styleId="8">
    <w:name w:val="Document Map"/>
    <w:basedOn w:val="1"/>
    <w:link w:val="73"/>
    <w:autoRedefine/>
    <w:semiHidden/>
    <w:qFormat/>
    <w:locked/>
    <w:uiPriority w:val="99"/>
    <w:rPr>
      <w:rFonts w:ascii="宋体" w:cs="宋体"/>
      <w:sz w:val="18"/>
      <w:szCs w:val="18"/>
    </w:rPr>
  </w:style>
  <w:style w:type="paragraph" w:styleId="9">
    <w:name w:val="annotation text"/>
    <w:basedOn w:val="1"/>
    <w:link w:val="53"/>
    <w:autoRedefine/>
    <w:semiHidden/>
    <w:qFormat/>
    <w:uiPriority w:val="0"/>
    <w:pPr>
      <w:jc w:val="left"/>
    </w:pPr>
    <w:rPr>
      <w:kern w:val="0"/>
      <w:sz w:val="24"/>
      <w:szCs w:val="24"/>
    </w:rPr>
  </w:style>
  <w:style w:type="paragraph" w:styleId="10">
    <w:name w:val="Body Text"/>
    <w:basedOn w:val="1"/>
    <w:link w:val="52"/>
    <w:autoRedefine/>
    <w:qFormat/>
    <w:uiPriority w:val="99"/>
    <w:pPr>
      <w:widowControl/>
      <w:snapToGrid w:val="0"/>
      <w:spacing w:before="60" w:after="160" w:line="259" w:lineRule="auto"/>
      <w:ind w:right="113"/>
    </w:pPr>
    <w:rPr>
      <w:kern w:val="0"/>
      <w:sz w:val="18"/>
      <w:szCs w:val="18"/>
    </w:rPr>
  </w:style>
  <w:style w:type="paragraph" w:styleId="11">
    <w:name w:val="Body Text Indent"/>
    <w:basedOn w:val="1"/>
    <w:link w:val="61"/>
    <w:autoRedefine/>
    <w:qFormat/>
    <w:uiPriority w:val="99"/>
    <w:pPr>
      <w:spacing w:after="120"/>
      <w:ind w:left="420" w:leftChars="200"/>
    </w:pPr>
    <w:rPr>
      <w:kern w:val="0"/>
      <w:sz w:val="24"/>
      <w:szCs w:val="24"/>
    </w:rPr>
  </w:style>
  <w:style w:type="paragraph" w:styleId="12">
    <w:name w:val="Block Text"/>
    <w:basedOn w:val="1"/>
    <w:next w:val="1"/>
    <w:semiHidden/>
    <w:unhideWhenUsed/>
    <w:qFormat/>
    <w:locked/>
    <w:uiPriority w:val="99"/>
    <w:pPr>
      <w:spacing w:line="320" w:lineRule="exact"/>
      <w:ind w:left="113" w:right="113" w:firstLine="480" w:firstLineChars="200"/>
      <w:jc w:val="center"/>
    </w:pPr>
    <w:rPr>
      <w:b/>
      <w:sz w:val="13"/>
      <w:szCs w:val="15"/>
    </w:rPr>
  </w:style>
  <w:style w:type="paragraph" w:styleId="13">
    <w:name w:val="toc 5"/>
    <w:basedOn w:val="1"/>
    <w:next w:val="1"/>
    <w:semiHidden/>
    <w:qFormat/>
    <w:locked/>
    <w:uiPriority w:val="99"/>
    <w:pPr>
      <w:ind w:left="840"/>
      <w:jc w:val="left"/>
    </w:pPr>
    <w:rPr>
      <w:rFonts w:ascii="Calibri" w:hAnsi="Calibri" w:cs="Calibri"/>
      <w:sz w:val="18"/>
      <w:szCs w:val="18"/>
    </w:rPr>
  </w:style>
  <w:style w:type="paragraph" w:styleId="14">
    <w:name w:val="toc 3"/>
    <w:basedOn w:val="1"/>
    <w:next w:val="1"/>
    <w:semiHidden/>
    <w:qFormat/>
    <w:locked/>
    <w:uiPriority w:val="99"/>
    <w:pPr>
      <w:ind w:left="420"/>
      <w:jc w:val="left"/>
    </w:pPr>
    <w:rPr>
      <w:rFonts w:ascii="Calibri" w:hAnsi="Calibri" w:cs="Calibri"/>
      <w:i/>
      <w:iCs/>
      <w:sz w:val="20"/>
      <w:szCs w:val="20"/>
    </w:rPr>
  </w:style>
  <w:style w:type="paragraph" w:styleId="15">
    <w:name w:val="Plain Text"/>
    <w:basedOn w:val="1"/>
    <w:link w:val="74"/>
    <w:autoRedefine/>
    <w:qFormat/>
    <w:locked/>
    <w:uiPriority w:val="0"/>
    <w:rPr>
      <w:rFonts w:ascii="宋体" w:hAnsi="Courier New" w:cs="宋体"/>
      <w:sz w:val="24"/>
      <w:szCs w:val="24"/>
    </w:rPr>
  </w:style>
  <w:style w:type="paragraph" w:styleId="16">
    <w:name w:val="toc 8"/>
    <w:basedOn w:val="1"/>
    <w:next w:val="1"/>
    <w:autoRedefine/>
    <w:semiHidden/>
    <w:qFormat/>
    <w:locked/>
    <w:uiPriority w:val="99"/>
    <w:pPr>
      <w:ind w:left="1470"/>
      <w:jc w:val="left"/>
    </w:pPr>
    <w:rPr>
      <w:rFonts w:ascii="Calibri" w:hAnsi="Calibri" w:cs="Calibri"/>
      <w:sz w:val="18"/>
      <w:szCs w:val="18"/>
    </w:rPr>
  </w:style>
  <w:style w:type="paragraph" w:styleId="17">
    <w:name w:val="Date"/>
    <w:basedOn w:val="1"/>
    <w:next w:val="1"/>
    <w:link w:val="48"/>
    <w:autoRedefine/>
    <w:qFormat/>
    <w:uiPriority w:val="99"/>
    <w:pPr>
      <w:ind w:left="100" w:leftChars="2500"/>
    </w:pPr>
    <w:rPr>
      <w:kern w:val="0"/>
      <w:sz w:val="24"/>
      <w:szCs w:val="24"/>
    </w:rPr>
  </w:style>
  <w:style w:type="paragraph" w:styleId="18">
    <w:name w:val="Body Text Indent 2"/>
    <w:basedOn w:val="1"/>
    <w:link w:val="76"/>
    <w:autoRedefine/>
    <w:qFormat/>
    <w:locked/>
    <w:uiPriority w:val="99"/>
    <w:pPr>
      <w:spacing w:after="120" w:line="480" w:lineRule="auto"/>
      <w:ind w:left="420" w:leftChars="200"/>
    </w:pPr>
  </w:style>
  <w:style w:type="paragraph" w:styleId="19">
    <w:name w:val="Balloon Text"/>
    <w:basedOn w:val="1"/>
    <w:link w:val="57"/>
    <w:autoRedefine/>
    <w:semiHidden/>
    <w:qFormat/>
    <w:uiPriority w:val="99"/>
    <w:rPr>
      <w:kern w:val="0"/>
      <w:sz w:val="18"/>
      <w:szCs w:val="18"/>
    </w:rPr>
  </w:style>
  <w:style w:type="paragraph" w:styleId="20">
    <w:name w:val="footer"/>
    <w:basedOn w:val="1"/>
    <w:link w:val="47"/>
    <w:autoRedefine/>
    <w:qFormat/>
    <w:uiPriority w:val="99"/>
    <w:pPr>
      <w:tabs>
        <w:tab w:val="center" w:pos="4153"/>
        <w:tab w:val="right" w:pos="8306"/>
      </w:tabs>
      <w:snapToGrid w:val="0"/>
      <w:jc w:val="left"/>
    </w:pPr>
    <w:rPr>
      <w:kern w:val="0"/>
      <w:sz w:val="18"/>
      <w:szCs w:val="18"/>
    </w:rPr>
  </w:style>
  <w:style w:type="paragraph" w:styleId="21">
    <w:name w:val="header"/>
    <w:basedOn w:val="1"/>
    <w:link w:val="59"/>
    <w:qFormat/>
    <w:uiPriority w:val="99"/>
    <w:pPr>
      <w:pBdr>
        <w:bottom w:val="single" w:color="auto" w:sz="6" w:space="1"/>
      </w:pBdr>
      <w:tabs>
        <w:tab w:val="center" w:pos="4153"/>
        <w:tab w:val="right" w:pos="8306"/>
      </w:tabs>
      <w:snapToGrid w:val="0"/>
      <w:jc w:val="center"/>
    </w:pPr>
    <w:rPr>
      <w:kern w:val="0"/>
      <w:sz w:val="18"/>
      <w:szCs w:val="18"/>
    </w:rPr>
  </w:style>
  <w:style w:type="paragraph" w:styleId="22">
    <w:name w:val="toc 1"/>
    <w:basedOn w:val="1"/>
    <w:next w:val="1"/>
    <w:semiHidden/>
    <w:qFormat/>
    <w:locked/>
    <w:uiPriority w:val="99"/>
    <w:pPr>
      <w:tabs>
        <w:tab w:val="right" w:leader="dot" w:pos="8296"/>
      </w:tabs>
      <w:spacing w:before="120" w:after="120"/>
      <w:jc w:val="center"/>
    </w:pPr>
    <w:rPr>
      <w:rFonts w:ascii="Calibri" w:hAnsi="Calibri" w:cs="Calibri"/>
      <w:b/>
      <w:bCs/>
      <w:sz w:val="44"/>
      <w:szCs w:val="44"/>
    </w:rPr>
  </w:style>
  <w:style w:type="paragraph" w:styleId="23">
    <w:name w:val="toc 4"/>
    <w:basedOn w:val="1"/>
    <w:next w:val="1"/>
    <w:semiHidden/>
    <w:qFormat/>
    <w:locked/>
    <w:uiPriority w:val="99"/>
    <w:pPr>
      <w:ind w:left="630"/>
      <w:jc w:val="left"/>
    </w:pPr>
    <w:rPr>
      <w:rFonts w:ascii="Calibri" w:hAnsi="Calibri" w:cs="Calibri"/>
      <w:sz w:val="18"/>
      <w:szCs w:val="18"/>
    </w:rPr>
  </w:style>
  <w:style w:type="paragraph" w:styleId="24">
    <w:name w:val="toc 6"/>
    <w:basedOn w:val="1"/>
    <w:next w:val="1"/>
    <w:semiHidden/>
    <w:qFormat/>
    <w:locked/>
    <w:uiPriority w:val="99"/>
    <w:pPr>
      <w:ind w:left="1050"/>
      <w:jc w:val="left"/>
    </w:pPr>
    <w:rPr>
      <w:rFonts w:ascii="Calibri" w:hAnsi="Calibri" w:cs="Calibri"/>
      <w:sz w:val="18"/>
      <w:szCs w:val="18"/>
    </w:rPr>
  </w:style>
  <w:style w:type="paragraph" w:styleId="25">
    <w:name w:val="Body Text Indent 3"/>
    <w:basedOn w:val="1"/>
    <w:link w:val="77"/>
    <w:qFormat/>
    <w:locked/>
    <w:uiPriority w:val="99"/>
    <w:pPr>
      <w:spacing w:line="500" w:lineRule="exact"/>
      <w:ind w:firstLine="570"/>
    </w:pPr>
    <w:rPr>
      <w:sz w:val="24"/>
      <w:szCs w:val="24"/>
    </w:rPr>
  </w:style>
  <w:style w:type="paragraph" w:styleId="26">
    <w:name w:val="table of figures"/>
    <w:basedOn w:val="1"/>
    <w:next w:val="1"/>
    <w:semiHidden/>
    <w:qFormat/>
    <w:locked/>
    <w:uiPriority w:val="99"/>
    <w:pPr>
      <w:adjustRightInd w:val="0"/>
      <w:snapToGrid w:val="0"/>
      <w:spacing w:beforeLines="25" w:afterLines="25" w:line="360" w:lineRule="auto"/>
      <w:ind w:left="200" w:leftChars="200" w:hanging="200" w:hangingChars="200"/>
    </w:pPr>
    <w:rPr>
      <w:sz w:val="24"/>
      <w:szCs w:val="24"/>
    </w:rPr>
  </w:style>
  <w:style w:type="paragraph" w:styleId="27">
    <w:name w:val="toc 2"/>
    <w:basedOn w:val="1"/>
    <w:next w:val="1"/>
    <w:semiHidden/>
    <w:qFormat/>
    <w:locked/>
    <w:uiPriority w:val="99"/>
    <w:pPr>
      <w:ind w:left="210"/>
      <w:jc w:val="left"/>
    </w:pPr>
    <w:rPr>
      <w:rFonts w:ascii="Calibri" w:hAnsi="Calibri" w:cs="Calibri"/>
      <w:smallCaps/>
      <w:sz w:val="20"/>
      <w:szCs w:val="20"/>
    </w:rPr>
  </w:style>
  <w:style w:type="paragraph" w:styleId="28">
    <w:name w:val="toc 9"/>
    <w:basedOn w:val="1"/>
    <w:next w:val="1"/>
    <w:semiHidden/>
    <w:qFormat/>
    <w:locked/>
    <w:uiPriority w:val="99"/>
    <w:pPr>
      <w:ind w:left="1680"/>
      <w:jc w:val="left"/>
    </w:pPr>
    <w:rPr>
      <w:rFonts w:ascii="Calibri" w:hAnsi="Calibri" w:cs="Calibri"/>
      <w:sz w:val="18"/>
      <w:szCs w:val="18"/>
    </w:rPr>
  </w:style>
  <w:style w:type="paragraph" w:styleId="29">
    <w:name w:val="HTML Preformatted"/>
    <w:basedOn w:val="1"/>
    <w:link w:val="126"/>
    <w:qFormat/>
    <w:locked/>
    <w:uiPriority w:val="99"/>
    <w:rPr>
      <w:rFonts w:ascii="Courier New" w:hAnsi="Courier New" w:cs="Courier New"/>
      <w:sz w:val="20"/>
      <w:szCs w:val="20"/>
    </w:rPr>
  </w:style>
  <w:style w:type="paragraph" w:styleId="30">
    <w:name w:val="Normal (Web)"/>
    <w:basedOn w:val="1"/>
    <w:link w:val="50"/>
    <w:qFormat/>
    <w:uiPriority w:val="99"/>
    <w:pPr>
      <w:widowControl/>
      <w:spacing w:before="100" w:beforeAutospacing="1" w:after="100" w:afterAutospacing="1"/>
      <w:jc w:val="left"/>
    </w:pPr>
    <w:rPr>
      <w:rFonts w:ascii="宋体" w:hAnsi="宋体"/>
      <w:kern w:val="0"/>
      <w:sz w:val="24"/>
      <w:szCs w:val="24"/>
    </w:rPr>
  </w:style>
  <w:style w:type="paragraph" w:styleId="31">
    <w:name w:val="Title"/>
    <w:basedOn w:val="1"/>
    <w:next w:val="1"/>
    <w:link w:val="78"/>
    <w:qFormat/>
    <w:locked/>
    <w:uiPriority w:val="99"/>
    <w:pPr>
      <w:spacing w:line="360" w:lineRule="auto"/>
      <w:jc w:val="left"/>
      <w:outlineLvl w:val="1"/>
    </w:pPr>
    <w:rPr>
      <w:rFonts w:ascii="Cambria" w:hAnsi="Cambria" w:cs="Cambria"/>
      <w:b/>
      <w:bCs/>
      <w:sz w:val="24"/>
      <w:szCs w:val="24"/>
    </w:rPr>
  </w:style>
  <w:style w:type="paragraph" w:styleId="32">
    <w:name w:val="annotation subject"/>
    <w:basedOn w:val="9"/>
    <w:next w:val="9"/>
    <w:link w:val="58"/>
    <w:semiHidden/>
    <w:qFormat/>
    <w:uiPriority w:val="0"/>
    <w:rPr>
      <w:b/>
      <w:bCs/>
      <w:kern w:val="2"/>
    </w:rPr>
  </w:style>
  <w:style w:type="paragraph" w:styleId="33">
    <w:name w:val="Body Text First Indent"/>
    <w:basedOn w:val="10"/>
    <w:link w:val="79"/>
    <w:qFormat/>
    <w:locked/>
    <w:uiPriority w:val="99"/>
    <w:pPr>
      <w:widowControl w:val="0"/>
      <w:snapToGrid/>
      <w:spacing w:before="0" w:after="0" w:line="240" w:lineRule="auto"/>
      <w:ind w:right="0" w:firstLine="420" w:firstLineChars="100"/>
    </w:pPr>
    <w:rPr>
      <w:kern w:val="2"/>
      <w:sz w:val="21"/>
      <w:szCs w:val="21"/>
    </w:rPr>
  </w:style>
  <w:style w:type="paragraph" w:styleId="34">
    <w:name w:val="Body Text First Indent 2"/>
    <w:basedOn w:val="1"/>
    <w:next w:val="1"/>
    <w:link w:val="72"/>
    <w:qFormat/>
    <w:locked/>
    <w:uiPriority w:val="99"/>
    <w:pPr>
      <w:spacing w:after="120"/>
      <w:ind w:left="420" w:leftChars="200" w:firstLine="420"/>
    </w:pPr>
    <w:rPr>
      <w:szCs w:val="24"/>
    </w:rPr>
  </w:style>
  <w:style w:type="table" w:styleId="36">
    <w:name w:val="Table Grid"/>
    <w:basedOn w:val="3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locked/>
    <w:uiPriority w:val="99"/>
    <w:rPr>
      <w:b/>
      <w:bCs/>
    </w:rPr>
  </w:style>
  <w:style w:type="character" w:styleId="39">
    <w:name w:val="page number"/>
    <w:basedOn w:val="37"/>
    <w:qFormat/>
    <w:locked/>
    <w:uiPriority w:val="99"/>
  </w:style>
  <w:style w:type="character" w:styleId="40">
    <w:name w:val="FollowedHyperlink"/>
    <w:qFormat/>
    <w:locked/>
    <w:uiPriority w:val="99"/>
    <w:rPr>
      <w:color w:val="auto"/>
      <w:u w:val="none"/>
    </w:rPr>
  </w:style>
  <w:style w:type="character" w:styleId="41">
    <w:name w:val="Emphasis"/>
    <w:basedOn w:val="37"/>
    <w:qFormat/>
    <w:uiPriority w:val="0"/>
    <w:rPr>
      <w:i/>
    </w:rPr>
  </w:style>
  <w:style w:type="character" w:styleId="42">
    <w:name w:val="Hyperlink"/>
    <w:qFormat/>
    <w:locked/>
    <w:uiPriority w:val="99"/>
    <w:rPr>
      <w:color w:val="0000FF"/>
      <w:u w:val="single"/>
    </w:rPr>
  </w:style>
  <w:style w:type="character" w:styleId="43">
    <w:name w:val="annotation reference"/>
    <w:semiHidden/>
    <w:qFormat/>
    <w:uiPriority w:val="99"/>
    <w:rPr>
      <w:sz w:val="21"/>
      <w:szCs w:val="21"/>
    </w:rPr>
  </w:style>
  <w:style w:type="character" w:customStyle="1" w:styleId="44">
    <w:name w:val="标题 1 Char"/>
    <w:link w:val="3"/>
    <w:qFormat/>
    <w:locked/>
    <w:uiPriority w:val="99"/>
    <w:rPr>
      <w:rFonts w:eastAsia="黑体"/>
      <w:b/>
      <w:bCs/>
      <w:color w:val="000000"/>
      <w:kern w:val="44"/>
      <w:sz w:val="30"/>
      <w:szCs w:val="30"/>
    </w:rPr>
  </w:style>
  <w:style w:type="character" w:customStyle="1" w:styleId="45">
    <w:name w:val="标题 2 Char"/>
    <w:link w:val="4"/>
    <w:qFormat/>
    <w:locked/>
    <w:uiPriority w:val="99"/>
    <w:rPr>
      <w:rFonts w:ascii="Cambria" w:hAnsi="Cambria" w:eastAsia="宋体" w:cs="Cambria"/>
      <w:b/>
      <w:bCs/>
      <w:kern w:val="2"/>
      <w:sz w:val="32"/>
      <w:szCs w:val="32"/>
    </w:rPr>
  </w:style>
  <w:style w:type="character" w:customStyle="1" w:styleId="46">
    <w:name w:val="标题 3 Char"/>
    <w:link w:val="5"/>
    <w:qFormat/>
    <w:locked/>
    <w:uiPriority w:val="99"/>
    <w:rPr>
      <w:rFonts w:ascii="Calibri" w:hAnsi="Calibri" w:eastAsia="宋体" w:cs="Calibri"/>
      <w:b/>
      <w:bCs/>
      <w:sz w:val="21"/>
      <w:szCs w:val="21"/>
    </w:rPr>
  </w:style>
  <w:style w:type="character" w:customStyle="1" w:styleId="47">
    <w:name w:val="页脚 Char"/>
    <w:link w:val="20"/>
    <w:qFormat/>
    <w:locked/>
    <w:uiPriority w:val="99"/>
    <w:rPr>
      <w:sz w:val="18"/>
      <w:szCs w:val="18"/>
    </w:rPr>
  </w:style>
  <w:style w:type="character" w:customStyle="1" w:styleId="48">
    <w:name w:val="日期 Char"/>
    <w:link w:val="17"/>
    <w:qFormat/>
    <w:locked/>
    <w:uiPriority w:val="99"/>
    <w:rPr>
      <w:rFonts w:ascii="Times New Roman" w:hAnsi="Times New Roman" w:eastAsia="宋体" w:cs="Times New Roman"/>
      <w:sz w:val="24"/>
      <w:szCs w:val="24"/>
    </w:rPr>
  </w:style>
  <w:style w:type="character" w:customStyle="1" w:styleId="49">
    <w:name w:val="页脚 字符"/>
    <w:basedOn w:val="37"/>
    <w:qFormat/>
    <w:uiPriority w:val="99"/>
  </w:style>
  <w:style w:type="character" w:customStyle="1" w:styleId="50">
    <w:name w:val="普通(网站) Char"/>
    <w:link w:val="30"/>
    <w:qFormat/>
    <w:locked/>
    <w:uiPriority w:val="99"/>
    <w:rPr>
      <w:rFonts w:ascii="宋体" w:hAnsi="宋体" w:eastAsia="宋体" w:cs="宋体"/>
      <w:sz w:val="24"/>
      <w:szCs w:val="24"/>
    </w:rPr>
  </w:style>
  <w:style w:type="character" w:customStyle="1" w:styleId="51">
    <w:name w:val="正文文本 字符1"/>
    <w:semiHidden/>
    <w:qFormat/>
    <w:uiPriority w:val="99"/>
    <w:rPr>
      <w:rFonts w:ascii="Times New Roman" w:hAnsi="Times New Roman" w:eastAsia="宋体" w:cs="Times New Roman"/>
      <w:sz w:val="24"/>
      <w:szCs w:val="24"/>
    </w:rPr>
  </w:style>
  <w:style w:type="character" w:customStyle="1" w:styleId="52">
    <w:name w:val="正文文本 Char"/>
    <w:link w:val="10"/>
    <w:qFormat/>
    <w:locked/>
    <w:uiPriority w:val="99"/>
    <w:rPr>
      <w:sz w:val="18"/>
      <w:szCs w:val="18"/>
    </w:rPr>
  </w:style>
  <w:style w:type="character" w:customStyle="1" w:styleId="53">
    <w:name w:val="批注文字 Char"/>
    <w:link w:val="9"/>
    <w:qFormat/>
    <w:locked/>
    <w:uiPriority w:val="0"/>
    <w:rPr>
      <w:rFonts w:ascii="Times New Roman" w:hAnsi="Times New Roman" w:eastAsia="宋体" w:cs="Times New Roman"/>
      <w:sz w:val="24"/>
      <w:szCs w:val="24"/>
    </w:rPr>
  </w:style>
  <w:style w:type="character" w:customStyle="1" w:styleId="54">
    <w:name w:val="表格 Char"/>
    <w:link w:val="55"/>
    <w:qFormat/>
    <w:locked/>
    <w:uiPriority w:val="99"/>
    <w:rPr>
      <w:rFonts w:ascii="宋体" w:cs="宋体"/>
      <w:sz w:val="21"/>
      <w:szCs w:val="21"/>
    </w:rPr>
  </w:style>
  <w:style w:type="paragraph" w:customStyle="1" w:styleId="55">
    <w:name w:val="表格"/>
    <w:basedOn w:val="1"/>
    <w:next w:val="1"/>
    <w:link w:val="54"/>
    <w:qFormat/>
    <w:uiPriority w:val="99"/>
    <w:pPr>
      <w:adjustRightInd w:val="0"/>
      <w:snapToGrid w:val="0"/>
      <w:spacing w:beforeLines="10" w:afterLines="10" w:line="259" w:lineRule="auto"/>
      <w:jc w:val="center"/>
    </w:pPr>
    <w:rPr>
      <w:rFonts w:ascii="宋体"/>
      <w:kern w:val="0"/>
    </w:rPr>
  </w:style>
  <w:style w:type="character" w:customStyle="1" w:styleId="56">
    <w:name w:val="日期 字符"/>
    <w:semiHidden/>
    <w:qFormat/>
    <w:uiPriority w:val="99"/>
    <w:rPr>
      <w:rFonts w:ascii="Times New Roman" w:hAnsi="Times New Roman" w:eastAsia="宋体" w:cs="Times New Roman"/>
      <w:sz w:val="24"/>
      <w:szCs w:val="24"/>
    </w:rPr>
  </w:style>
  <w:style w:type="character" w:customStyle="1" w:styleId="57">
    <w:name w:val="批注框文本 Char"/>
    <w:link w:val="19"/>
    <w:semiHidden/>
    <w:qFormat/>
    <w:locked/>
    <w:uiPriority w:val="99"/>
    <w:rPr>
      <w:rFonts w:ascii="Times New Roman" w:hAnsi="Times New Roman" w:eastAsia="宋体" w:cs="Times New Roman"/>
      <w:sz w:val="18"/>
      <w:szCs w:val="18"/>
    </w:rPr>
  </w:style>
  <w:style w:type="character" w:customStyle="1" w:styleId="58">
    <w:name w:val="批注主题 Char"/>
    <w:link w:val="32"/>
    <w:semiHidden/>
    <w:qFormat/>
    <w:locked/>
    <w:uiPriority w:val="0"/>
    <w:rPr>
      <w:rFonts w:ascii="Times New Roman" w:hAnsi="Times New Roman" w:eastAsia="宋体" w:cs="Times New Roman"/>
      <w:b/>
      <w:bCs/>
      <w:kern w:val="2"/>
      <w:sz w:val="24"/>
      <w:szCs w:val="24"/>
    </w:rPr>
  </w:style>
  <w:style w:type="character" w:customStyle="1" w:styleId="59">
    <w:name w:val="页眉 Char"/>
    <w:link w:val="21"/>
    <w:qFormat/>
    <w:locked/>
    <w:uiPriority w:val="99"/>
    <w:rPr>
      <w:sz w:val="18"/>
      <w:szCs w:val="18"/>
    </w:rPr>
  </w:style>
  <w:style w:type="character" w:customStyle="1" w:styleId="60">
    <w:name w:val="批注文字 字符1"/>
    <w:semiHidden/>
    <w:qFormat/>
    <w:uiPriority w:val="99"/>
    <w:rPr>
      <w:rFonts w:ascii="Times New Roman" w:hAnsi="Times New Roman" w:eastAsia="宋体" w:cs="Times New Roman"/>
      <w:sz w:val="24"/>
      <w:szCs w:val="24"/>
    </w:rPr>
  </w:style>
  <w:style w:type="character" w:customStyle="1" w:styleId="61">
    <w:name w:val="正文文本缩进 Char"/>
    <w:link w:val="11"/>
    <w:qFormat/>
    <w:locked/>
    <w:uiPriority w:val="99"/>
    <w:rPr>
      <w:rFonts w:ascii="Times New Roman" w:hAnsi="Times New Roman" w:eastAsia="宋体" w:cs="Times New Roman"/>
      <w:sz w:val="24"/>
      <w:szCs w:val="24"/>
    </w:rPr>
  </w:style>
  <w:style w:type="character" w:customStyle="1" w:styleId="62">
    <w:name w:val="Header Char1"/>
    <w:semiHidden/>
    <w:qFormat/>
    <w:uiPriority w:val="99"/>
    <w:rPr>
      <w:sz w:val="18"/>
      <w:szCs w:val="18"/>
    </w:rPr>
  </w:style>
  <w:style w:type="character" w:customStyle="1" w:styleId="63">
    <w:name w:val="Footer Char1"/>
    <w:semiHidden/>
    <w:qFormat/>
    <w:uiPriority w:val="99"/>
    <w:rPr>
      <w:sz w:val="18"/>
      <w:szCs w:val="18"/>
    </w:rPr>
  </w:style>
  <w:style w:type="character" w:customStyle="1" w:styleId="64">
    <w:name w:val="Body Text Char1"/>
    <w:semiHidden/>
    <w:qFormat/>
    <w:uiPriority w:val="99"/>
    <w:rPr>
      <w:szCs w:val="21"/>
    </w:rPr>
  </w:style>
  <w:style w:type="character" w:customStyle="1" w:styleId="65">
    <w:name w:val="Balloon Text Char1"/>
    <w:semiHidden/>
    <w:qFormat/>
    <w:uiPriority w:val="99"/>
    <w:rPr>
      <w:sz w:val="0"/>
      <w:szCs w:val="0"/>
    </w:rPr>
  </w:style>
  <w:style w:type="character" w:customStyle="1" w:styleId="66">
    <w:name w:val="Comment Text Char1"/>
    <w:semiHidden/>
    <w:qFormat/>
    <w:uiPriority w:val="99"/>
    <w:rPr>
      <w:szCs w:val="21"/>
    </w:rPr>
  </w:style>
  <w:style w:type="character" w:customStyle="1" w:styleId="67">
    <w:name w:val="Comment Subject Char1"/>
    <w:semiHidden/>
    <w:qFormat/>
    <w:uiPriority w:val="99"/>
    <w:rPr>
      <w:rFonts w:ascii="Times New Roman" w:hAnsi="Times New Roman" w:eastAsia="宋体" w:cs="Times New Roman"/>
      <w:b/>
      <w:bCs/>
      <w:sz w:val="24"/>
      <w:szCs w:val="21"/>
    </w:rPr>
  </w:style>
  <w:style w:type="character" w:customStyle="1" w:styleId="68">
    <w:name w:val="Date Char1"/>
    <w:semiHidden/>
    <w:qFormat/>
    <w:uiPriority w:val="99"/>
    <w:rPr>
      <w:szCs w:val="21"/>
    </w:rPr>
  </w:style>
  <w:style w:type="character" w:customStyle="1" w:styleId="69">
    <w:name w:val="Body Text Indent Char1"/>
    <w:semiHidden/>
    <w:qFormat/>
    <w:uiPriority w:val="99"/>
    <w:rPr>
      <w:szCs w:val="21"/>
    </w:rPr>
  </w:style>
  <w:style w:type="paragraph" w:customStyle="1" w:styleId="70">
    <w:name w:val="正文_10"/>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71">
    <w:name w:val="普通(网站)2"/>
    <w:basedOn w:val="1"/>
    <w:qFormat/>
    <w:uiPriority w:val="99"/>
    <w:pPr>
      <w:widowControl/>
      <w:spacing w:before="100" w:beforeAutospacing="1" w:after="100" w:afterAutospacing="1"/>
      <w:jc w:val="left"/>
    </w:pPr>
    <w:rPr>
      <w:rFonts w:ascii="宋体" w:hAnsi="宋体" w:cs="宋体"/>
      <w:sz w:val="24"/>
      <w:szCs w:val="24"/>
    </w:rPr>
  </w:style>
  <w:style w:type="character" w:customStyle="1" w:styleId="72">
    <w:name w:val="正文首行缩进 2 Char"/>
    <w:link w:val="34"/>
    <w:qFormat/>
    <w:locked/>
    <w:uiPriority w:val="99"/>
    <w:rPr>
      <w:rFonts w:ascii="Times New Roman" w:hAnsi="Times New Roman" w:eastAsia="宋体" w:cs="Times New Roman"/>
      <w:kern w:val="2"/>
      <w:sz w:val="24"/>
      <w:szCs w:val="24"/>
    </w:rPr>
  </w:style>
  <w:style w:type="character" w:customStyle="1" w:styleId="73">
    <w:name w:val="文档结构图 Char"/>
    <w:link w:val="8"/>
    <w:qFormat/>
    <w:locked/>
    <w:uiPriority w:val="99"/>
    <w:rPr>
      <w:rFonts w:ascii="宋体" w:cs="宋体"/>
      <w:kern w:val="2"/>
      <w:sz w:val="18"/>
      <w:szCs w:val="18"/>
    </w:rPr>
  </w:style>
  <w:style w:type="character" w:customStyle="1" w:styleId="74">
    <w:name w:val="纯文本 Char1"/>
    <w:link w:val="15"/>
    <w:qFormat/>
    <w:locked/>
    <w:uiPriority w:val="99"/>
    <w:rPr>
      <w:rFonts w:ascii="宋体" w:hAnsi="Courier New" w:cs="宋体"/>
      <w:kern w:val="2"/>
      <w:sz w:val="21"/>
      <w:szCs w:val="21"/>
    </w:rPr>
  </w:style>
  <w:style w:type="character" w:customStyle="1" w:styleId="75">
    <w:name w:val="纯文本 Char"/>
    <w:autoRedefine/>
    <w:qFormat/>
    <w:uiPriority w:val="0"/>
    <w:rPr>
      <w:rFonts w:ascii="宋体" w:hAnsi="Courier New" w:cs="宋体"/>
      <w:kern w:val="2"/>
      <w:sz w:val="21"/>
      <w:szCs w:val="21"/>
    </w:rPr>
  </w:style>
  <w:style w:type="character" w:customStyle="1" w:styleId="76">
    <w:name w:val="正文文本缩进 2 Char"/>
    <w:link w:val="18"/>
    <w:autoRedefine/>
    <w:qFormat/>
    <w:locked/>
    <w:uiPriority w:val="99"/>
    <w:rPr>
      <w:kern w:val="2"/>
      <w:sz w:val="24"/>
      <w:szCs w:val="24"/>
    </w:rPr>
  </w:style>
  <w:style w:type="character" w:customStyle="1" w:styleId="77">
    <w:name w:val="正文文本缩进 3 Char"/>
    <w:link w:val="25"/>
    <w:autoRedefine/>
    <w:qFormat/>
    <w:locked/>
    <w:uiPriority w:val="99"/>
    <w:rPr>
      <w:kern w:val="2"/>
      <w:sz w:val="24"/>
      <w:szCs w:val="24"/>
    </w:rPr>
  </w:style>
  <w:style w:type="character" w:customStyle="1" w:styleId="78">
    <w:name w:val="标题 Char"/>
    <w:link w:val="31"/>
    <w:autoRedefine/>
    <w:qFormat/>
    <w:locked/>
    <w:uiPriority w:val="99"/>
    <w:rPr>
      <w:rFonts w:ascii="Cambria" w:hAnsi="Cambria" w:cs="Cambria"/>
      <w:b/>
      <w:bCs/>
      <w:kern w:val="2"/>
      <w:sz w:val="32"/>
      <w:szCs w:val="32"/>
    </w:rPr>
  </w:style>
  <w:style w:type="character" w:customStyle="1" w:styleId="79">
    <w:name w:val="正文首行缩进 Char"/>
    <w:link w:val="33"/>
    <w:autoRedefine/>
    <w:qFormat/>
    <w:locked/>
    <w:uiPriority w:val="99"/>
    <w:rPr>
      <w:kern w:val="2"/>
      <w:sz w:val="24"/>
      <w:szCs w:val="24"/>
    </w:rPr>
  </w:style>
  <w:style w:type="character" w:customStyle="1" w:styleId="80">
    <w:name w:val="正文缩进 Char"/>
    <w:link w:val="2"/>
    <w:autoRedefine/>
    <w:qFormat/>
    <w:locked/>
    <w:uiPriority w:val="99"/>
    <w:rPr>
      <w:rFonts w:ascii="Calibri" w:hAnsi="Calibri" w:cs="Calibri"/>
      <w:kern w:val="2"/>
      <w:sz w:val="22"/>
      <w:szCs w:val="22"/>
    </w:rPr>
  </w:style>
  <w:style w:type="character" w:customStyle="1" w:styleId="81">
    <w:name w:val="4正文 Char Char"/>
    <w:link w:val="82"/>
    <w:autoRedefine/>
    <w:qFormat/>
    <w:locked/>
    <w:uiPriority w:val="99"/>
  </w:style>
  <w:style w:type="paragraph" w:customStyle="1" w:styleId="82">
    <w:name w:val="4正文"/>
    <w:basedOn w:val="1"/>
    <w:link w:val="81"/>
    <w:autoRedefine/>
    <w:qFormat/>
    <w:uiPriority w:val="99"/>
    <w:pPr>
      <w:ind w:firstLine="480"/>
    </w:pPr>
    <w:rPr>
      <w:kern w:val="0"/>
      <w:sz w:val="20"/>
      <w:szCs w:val="20"/>
    </w:rPr>
  </w:style>
  <w:style w:type="character" w:customStyle="1" w:styleId="83">
    <w:name w:val="正文-ls Char"/>
    <w:link w:val="84"/>
    <w:autoRedefine/>
    <w:qFormat/>
    <w:locked/>
    <w:uiPriority w:val="99"/>
    <w:rPr>
      <w:rFonts w:hAnsi="宋体"/>
      <w:sz w:val="24"/>
      <w:szCs w:val="24"/>
    </w:rPr>
  </w:style>
  <w:style w:type="paragraph" w:customStyle="1" w:styleId="84">
    <w:name w:val="正文-ls"/>
    <w:basedOn w:val="1"/>
    <w:link w:val="83"/>
    <w:autoRedefine/>
    <w:qFormat/>
    <w:uiPriority w:val="99"/>
    <w:pPr>
      <w:spacing w:line="360" w:lineRule="auto"/>
      <w:ind w:firstLine="200" w:firstLineChars="200"/>
    </w:pPr>
    <w:rPr>
      <w:rFonts w:hAnsi="宋体"/>
      <w:kern w:val="0"/>
      <w:sz w:val="24"/>
      <w:szCs w:val="24"/>
    </w:rPr>
  </w:style>
  <w:style w:type="paragraph" w:customStyle="1" w:styleId="85">
    <w:name w:val="Default"/>
    <w:autoRedefine/>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86">
    <w:name w:val="无悬挂正文5号"/>
    <w:basedOn w:val="1"/>
    <w:autoRedefine/>
    <w:qFormat/>
    <w:uiPriority w:val="99"/>
    <w:pPr>
      <w:widowControl/>
      <w:jc w:val="center"/>
    </w:pPr>
    <w:rPr>
      <w:kern w:val="0"/>
      <w:sz w:val="20"/>
      <w:szCs w:val="20"/>
    </w:rPr>
  </w:style>
  <w:style w:type="paragraph" w:customStyle="1" w:styleId="87">
    <w:name w:val="六表内容"/>
    <w:basedOn w:val="1"/>
    <w:autoRedefine/>
    <w:qFormat/>
    <w:uiPriority w:val="99"/>
    <w:pPr>
      <w:spacing w:line="340" w:lineRule="exact"/>
      <w:jc w:val="center"/>
    </w:pPr>
    <w:rPr>
      <w:rFonts w:ascii="宋体" w:hAnsi="宋体" w:cs="宋体"/>
      <w:color w:val="000000"/>
      <w:spacing w:val="-20"/>
      <w:kern w:val="0"/>
    </w:rPr>
  </w:style>
  <w:style w:type="paragraph" w:styleId="88">
    <w:name w:val="List Paragraph"/>
    <w:basedOn w:val="1"/>
    <w:autoRedefine/>
    <w:qFormat/>
    <w:uiPriority w:val="34"/>
    <w:pPr>
      <w:ind w:firstLine="420" w:firstLineChars="200"/>
    </w:pPr>
  </w:style>
  <w:style w:type="paragraph" w:customStyle="1" w:styleId="89">
    <w:name w:val="样式 样式 样式 首行缩进:  1 字符 + 首行缩进:  2 字符2 + 首行缩进:  2 字符"/>
    <w:basedOn w:val="1"/>
    <w:autoRedefine/>
    <w:qFormat/>
    <w:uiPriority w:val="99"/>
    <w:pPr>
      <w:spacing w:line="360" w:lineRule="auto"/>
      <w:ind w:firstLine="480" w:firstLineChars="200"/>
    </w:pPr>
    <w:rPr>
      <w:rFonts w:ascii="宋体" w:hAnsi="宋体" w:cs="宋体"/>
      <w:sz w:val="24"/>
      <w:szCs w:val="24"/>
    </w:rPr>
  </w:style>
  <w:style w:type="paragraph" w:customStyle="1" w:styleId="90">
    <w:name w:val="简单回函地址"/>
    <w:basedOn w:val="1"/>
    <w:autoRedefine/>
    <w:qFormat/>
    <w:uiPriority w:val="99"/>
    <w:pPr>
      <w:adjustRightInd w:val="0"/>
      <w:spacing w:line="312" w:lineRule="atLeast"/>
      <w:textAlignment w:val="baseline"/>
    </w:pPr>
    <w:rPr>
      <w:rFonts w:ascii="Calibri" w:hAnsi="Calibri" w:cs="Calibri"/>
      <w:kern w:val="0"/>
    </w:rPr>
  </w:style>
  <w:style w:type="paragraph" w:customStyle="1" w:styleId="91">
    <w:name w:val="Char Char1 Char Char Char Char"/>
    <w:basedOn w:val="1"/>
    <w:autoRedefine/>
    <w:qFormat/>
    <w:uiPriority w:val="99"/>
  </w:style>
  <w:style w:type="paragraph" w:customStyle="1" w:styleId="92">
    <w:name w:val="图表标题"/>
    <w:basedOn w:val="1"/>
    <w:autoRedefine/>
    <w:qFormat/>
    <w:uiPriority w:val="99"/>
    <w:pPr>
      <w:numPr>
        <w:ilvl w:val="8"/>
        <w:numId w:val="1"/>
      </w:numPr>
      <w:spacing w:afterLines="50"/>
      <w:jc w:val="center"/>
    </w:pPr>
    <w:rPr>
      <w:rFonts w:ascii="Calibri" w:hAnsi="Calibri" w:eastAsia="黑体" w:cs="Calibri"/>
    </w:rPr>
  </w:style>
  <w:style w:type="paragraph" w:customStyle="1" w:styleId="93">
    <w:name w:val="样式 标题 3 + 左侧:  5.1 毫米 首行缩进:  0 毫米"/>
    <w:basedOn w:val="5"/>
    <w:autoRedefine/>
    <w:qFormat/>
    <w:uiPriority w:val="99"/>
    <w:pPr>
      <w:spacing w:beforeLines="0" w:afterLines="0"/>
      <w:ind w:firstLine="480" w:firstLineChars="200"/>
    </w:pPr>
    <w:rPr>
      <w:rFonts w:ascii="Times New Roman" w:cs="Times New Roman"/>
    </w:rPr>
  </w:style>
  <w:style w:type="paragraph" w:customStyle="1" w:styleId="94">
    <w:name w:val="正文1"/>
    <w:autoRedefine/>
    <w:qFormat/>
    <w:uiPriority w:val="99"/>
    <w:pPr>
      <w:widowControl w:val="0"/>
      <w:adjustRightInd w:val="0"/>
      <w:spacing w:line="315" w:lineRule="atLeast"/>
      <w:jc w:val="both"/>
      <w:textAlignment w:val="baseline"/>
    </w:pPr>
    <w:rPr>
      <w:rFonts w:ascii="宋体" w:hAnsi="Times New Roman" w:eastAsia="宋体" w:cs="宋体"/>
      <w:sz w:val="24"/>
      <w:szCs w:val="24"/>
      <w:lang w:val="en-US" w:eastAsia="zh-CN" w:bidi="ar-SA"/>
    </w:rPr>
  </w:style>
  <w:style w:type="paragraph" w:customStyle="1" w:styleId="95">
    <w:name w:val="样式 样式 样式 首行缩进:  1 厘米 行距: 固定值 25 磅 + Times New Roman 首行缩进:  0.85 ...1"/>
    <w:basedOn w:val="1"/>
    <w:autoRedefine/>
    <w:qFormat/>
    <w:uiPriority w:val="99"/>
    <w:pPr>
      <w:adjustRightInd w:val="0"/>
      <w:snapToGrid w:val="0"/>
      <w:spacing w:line="360" w:lineRule="auto"/>
      <w:ind w:firstLine="200" w:firstLineChars="200"/>
    </w:pPr>
    <w:rPr>
      <w:kern w:val="24"/>
      <w:sz w:val="24"/>
      <w:szCs w:val="24"/>
    </w:rPr>
  </w:style>
  <w:style w:type="character" w:customStyle="1" w:styleId="96">
    <w:name w:val="fontstyle01"/>
    <w:autoRedefine/>
    <w:qFormat/>
    <w:uiPriority w:val="99"/>
    <w:rPr>
      <w:rFonts w:ascii="新宋体" w:hAnsi="新宋体" w:eastAsia="新宋体" w:cs="新宋体"/>
      <w:color w:val="000000"/>
      <w:sz w:val="32"/>
      <w:szCs w:val="32"/>
    </w:rPr>
  </w:style>
  <w:style w:type="character" w:customStyle="1" w:styleId="97">
    <w:name w:val="fontstyle21"/>
    <w:autoRedefine/>
    <w:qFormat/>
    <w:uiPriority w:val="99"/>
    <w:rPr>
      <w:rFonts w:ascii="TimesNewRomanPSMT" w:eastAsia="TimesNewRomanPSMT" w:cs="TimesNewRomanPSMT"/>
      <w:color w:val="000000"/>
      <w:sz w:val="32"/>
      <w:szCs w:val="32"/>
    </w:rPr>
  </w:style>
  <w:style w:type="paragraph" w:customStyle="1" w:styleId="98">
    <w:name w:val="样式"/>
    <w:autoRedefine/>
    <w:qFormat/>
    <w:uiPriority w:val="99"/>
    <w:pPr>
      <w:widowControl w:val="0"/>
      <w:autoSpaceDE w:val="0"/>
      <w:autoSpaceDN w:val="0"/>
      <w:adjustRightInd w:val="0"/>
    </w:pPr>
    <w:rPr>
      <w:rFonts w:ascii="宋体" w:hAnsi="宋体" w:eastAsia="宋体" w:cs="宋体"/>
      <w:sz w:val="24"/>
      <w:szCs w:val="24"/>
      <w:lang w:val="en-US" w:eastAsia="zh-CN" w:bidi="ar-SA"/>
    </w:rPr>
  </w:style>
  <w:style w:type="character" w:customStyle="1" w:styleId="99">
    <w:name w:val="bsharetext"/>
    <w:basedOn w:val="37"/>
    <w:autoRedefine/>
    <w:qFormat/>
    <w:uiPriority w:val="99"/>
  </w:style>
  <w:style w:type="character" w:customStyle="1" w:styleId="100">
    <w:name w:val="页脚 Char1"/>
    <w:autoRedefine/>
    <w:qFormat/>
    <w:uiPriority w:val="99"/>
    <w:rPr>
      <w:rFonts w:ascii="Calibri" w:hAnsi="Calibri" w:cs="Calibri"/>
    </w:rPr>
  </w:style>
  <w:style w:type="character" w:customStyle="1" w:styleId="101">
    <w:name w:val="hover27"/>
    <w:basedOn w:val="37"/>
    <w:autoRedefine/>
    <w:qFormat/>
    <w:uiPriority w:val="99"/>
  </w:style>
  <w:style w:type="character" w:customStyle="1" w:styleId="102">
    <w:name w:val="页眉 Char1"/>
    <w:autoRedefine/>
    <w:qFormat/>
    <w:uiPriority w:val="99"/>
    <w:rPr>
      <w:rFonts w:ascii="Calibri" w:hAnsi="Calibri" w:cs="Calibri"/>
    </w:rPr>
  </w:style>
  <w:style w:type="paragraph" w:customStyle="1" w:styleId="103">
    <w:name w:val="第一章表标头"/>
    <w:basedOn w:val="1"/>
    <w:autoRedefine/>
    <w:qFormat/>
    <w:uiPriority w:val="99"/>
    <w:pPr>
      <w:tabs>
        <w:tab w:val="left" w:pos="360"/>
        <w:tab w:val="left" w:pos="420"/>
        <w:tab w:val="left" w:pos="2269"/>
      </w:tabs>
      <w:adjustRightInd w:val="0"/>
      <w:snapToGrid w:val="0"/>
      <w:spacing w:line="480" w:lineRule="exact"/>
      <w:ind w:left="420" w:hanging="420" w:firstLineChars="200"/>
      <w:jc w:val="center"/>
    </w:pPr>
    <w:rPr>
      <w:rFonts w:ascii="黑体" w:eastAsia="黑体" w:cs="黑体"/>
      <w:sz w:val="24"/>
      <w:szCs w:val="24"/>
    </w:rPr>
  </w:style>
  <w:style w:type="character" w:customStyle="1" w:styleId="104">
    <w:name w:val="表头名 Char Char1"/>
    <w:link w:val="105"/>
    <w:autoRedefine/>
    <w:qFormat/>
    <w:locked/>
    <w:uiPriority w:val="0"/>
    <w:rPr>
      <w:rFonts w:ascii="宋体" w:eastAsia="宋体" w:cs="宋体"/>
      <w:b/>
      <w:bCs/>
      <w:kern w:val="24"/>
      <w:sz w:val="28"/>
      <w:szCs w:val="28"/>
    </w:rPr>
  </w:style>
  <w:style w:type="paragraph" w:customStyle="1" w:styleId="105">
    <w:name w:val="表头"/>
    <w:basedOn w:val="1"/>
    <w:next w:val="1"/>
    <w:link w:val="104"/>
    <w:autoRedefine/>
    <w:qFormat/>
    <w:uiPriority w:val="0"/>
    <w:pPr>
      <w:widowControl/>
      <w:tabs>
        <w:tab w:val="left" w:pos="6840"/>
      </w:tabs>
      <w:topLinePunct/>
      <w:adjustRightInd w:val="0"/>
      <w:snapToGrid w:val="0"/>
      <w:spacing w:line="529" w:lineRule="exact"/>
      <w:jc w:val="center"/>
    </w:pPr>
    <w:rPr>
      <w:rFonts w:ascii="宋体"/>
      <w:b/>
      <w:bCs/>
      <w:kern w:val="24"/>
      <w:sz w:val="28"/>
      <w:szCs w:val="28"/>
    </w:rPr>
  </w:style>
  <w:style w:type="paragraph" w:customStyle="1" w:styleId="106">
    <w:name w:val="6-表头"/>
    <w:basedOn w:val="1"/>
    <w:autoRedefine/>
    <w:qFormat/>
    <w:uiPriority w:val="0"/>
    <w:pPr>
      <w:autoSpaceDE w:val="0"/>
      <w:autoSpaceDN w:val="0"/>
      <w:jc w:val="center"/>
    </w:pPr>
    <w:rPr>
      <w:b/>
      <w:bCs/>
      <w:color w:val="0000FF"/>
      <w:sz w:val="24"/>
      <w:szCs w:val="24"/>
    </w:rPr>
  </w:style>
  <w:style w:type="paragraph" w:customStyle="1" w:styleId="107">
    <w:name w:val="Char Char Char Char Char Char Char Char Char Char Char Char Char"/>
    <w:basedOn w:val="34"/>
    <w:autoRedefine/>
    <w:qFormat/>
    <w:uiPriority w:val="99"/>
    <w:pPr>
      <w:widowControl/>
      <w:adjustRightInd w:val="0"/>
      <w:snapToGrid w:val="0"/>
      <w:spacing w:line="360" w:lineRule="auto"/>
      <w:ind w:left="0" w:leftChars="0" w:firstLine="200"/>
      <w:jc w:val="left"/>
    </w:pPr>
    <w:rPr>
      <w:rFonts w:ascii="宋体" w:cs="宋体"/>
      <w:kern w:val="0"/>
      <w:sz w:val="24"/>
    </w:rPr>
  </w:style>
  <w:style w:type="paragraph" w:customStyle="1" w:styleId="108">
    <w:name w:val="标准正文"/>
    <w:basedOn w:val="1"/>
    <w:autoRedefine/>
    <w:qFormat/>
    <w:uiPriority w:val="99"/>
    <w:pPr>
      <w:spacing w:line="360" w:lineRule="auto"/>
      <w:ind w:firstLine="480" w:firstLineChars="200"/>
      <w:jc w:val="left"/>
    </w:pPr>
    <w:rPr>
      <w:sz w:val="22"/>
      <w:szCs w:val="22"/>
    </w:rPr>
  </w:style>
  <w:style w:type="character" w:customStyle="1" w:styleId="109">
    <w:name w:val="font61"/>
    <w:autoRedefine/>
    <w:qFormat/>
    <w:uiPriority w:val="99"/>
    <w:rPr>
      <w:rFonts w:ascii="宋体" w:hAnsi="宋体" w:eastAsia="宋体" w:cs="宋体"/>
      <w:color w:val="000000"/>
      <w:sz w:val="32"/>
      <w:szCs w:val="32"/>
      <w:u w:val="none"/>
    </w:rPr>
  </w:style>
  <w:style w:type="character" w:customStyle="1" w:styleId="110">
    <w:name w:val="font41"/>
    <w:autoRedefine/>
    <w:qFormat/>
    <w:uiPriority w:val="99"/>
    <w:rPr>
      <w:rFonts w:ascii="宋体" w:hAnsi="宋体" w:eastAsia="宋体" w:cs="宋体"/>
      <w:color w:val="000000"/>
      <w:sz w:val="22"/>
      <w:szCs w:val="22"/>
      <w:u w:val="none"/>
      <w:vertAlign w:val="superscript"/>
    </w:rPr>
  </w:style>
  <w:style w:type="character" w:customStyle="1" w:styleId="111">
    <w:name w:val="font31"/>
    <w:autoRedefine/>
    <w:qFormat/>
    <w:uiPriority w:val="99"/>
    <w:rPr>
      <w:rFonts w:ascii="宋体" w:hAnsi="宋体" w:eastAsia="宋体" w:cs="宋体"/>
      <w:color w:val="000000"/>
      <w:sz w:val="22"/>
      <w:szCs w:val="22"/>
      <w:u w:val="none"/>
    </w:rPr>
  </w:style>
  <w:style w:type="character" w:customStyle="1" w:styleId="112">
    <w:name w:val="fontstyle31"/>
    <w:autoRedefine/>
    <w:qFormat/>
    <w:uiPriority w:val="99"/>
    <w:rPr>
      <w:rFonts w:ascii="Times New Roman" w:hAnsi="Times New Roman" w:cs="Times New Roman"/>
      <w:b/>
      <w:bCs/>
      <w:color w:val="000000"/>
      <w:sz w:val="24"/>
      <w:szCs w:val="24"/>
    </w:rPr>
  </w:style>
  <w:style w:type="character" w:customStyle="1" w:styleId="113">
    <w:name w:val="fontstyle11"/>
    <w:autoRedefine/>
    <w:qFormat/>
    <w:uiPriority w:val="99"/>
    <w:rPr>
      <w:rFonts w:ascii="宋体" w:hAnsi="宋体" w:eastAsia="宋体" w:cs="宋体"/>
      <w:color w:val="000000"/>
      <w:sz w:val="24"/>
      <w:szCs w:val="24"/>
    </w:rPr>
  </w:style>
  <w:style w:type="paragraph" w:customStyle="1" w:styleId="114">
    <w:name w:val="Char Char Char Char Char Char Char Char Char Char Char Char Char1"/>
    <w:basedOn w:val="34"/>
    <w:autoRedefine/>
    <w:qFormat/>
    <w:uiPriority w:val="99"/>
    <w:pPr>
      <w:widowControl/>
      <w:adjustRightInd w:val="0"/>
      <w:snapToGrid w:val="0"/>
      <w:spacing w:after="0" w:line="360" w:lineRule="auto"/>
      <w:ind w:left="0" w:leftChars="0" w:firstLine="200"/>
      <w:jc w:val="left"/>
    </w:pPr>
    <w:rPr>
      <w:rFonts w:ascii="宋体" w:cs="宋体"/>
      <w:kern w:val="0"/>
      <w:sz w:val="24"/>
    </w:rPr>
  </w:style>
  <w:style w:type="character" w:customStyle="1" w:styleId="115">
    <w:name w:val="font21"/>
    <w:autoRedefine/>
    <w:qFormat/>
    <w:uiPriority w:val="99"/>
    <w:rPr>
      <w:rFonts w:ascii="宋体" w:hAnsi="宋体" w:eastAsia="宋体" w:cs="宋体"/>
      <w:color w:val="000000"/>
      <w:sz w:val="21"/>
      <w:szCs w:val="21"/>
      <w:u w:val="none"/>
    </w:rPr>
  </w:style>
  <w:style w:type="table" w:customStyle="1" w:styleId="116">
    <w:name w:val="网格型9"/>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7">
    <w:name w:val="font51"/>
    <w:autoRedefine/>
    <w:qFormat/>
    <w:uiPriority w:val="99"/>
    <w:rPr>
      <w:rFonts w:ascii="Arial" w:hAnsi="Arial" w:cs="Arial"/>
      <w:color w:val="000000"/>
      <w:sz w:val="24"/>
      <w:szCs w:val="24"/>
      <w:u w:val="none"/>
    </w:rPr>
  </w:style>
  <w:style w:type="character" w:customStyle="1" w:styleId="118">
    <w:name w:val="font71"/>
    <w:autoRedefine/>
    <w:qFormat/>
    <w:uiPriority w:val="99"/>
    <w:rPr>
      <w:rFonts w:ascii="Times New Roman" w:hAnsi="Times New Roman" w:cs="Times New Roman"/>
      <w:color w:val="000000"/>
      <w:sz w:val="21"/>
      <w:szCs w:val="21"/>
      <w:u w:val="none"/>
    </w:rPr>
  </w:style>
  <w:style w:type="character" w:customStyle="1" w:styleId="119">
    <w:name w:val="font81"/>
    <w:autoRedefine/>
    <w:qFormat/>
    <w:uiPriority w:val="99"/>
    <w:rPr>
      <w:rFonts w:ascii="宋体" w:hAnsi="宋体" w:eastAsia="宋体" w:cs="宋体"/>
      <w:color w:val="000000"/>
      <w:sz w:val="16"/>
      <w:szCs w:val="16"/>
      <w:u w:val="none"/>
    </w:rPr>
  </w:style>
  <w:style w:type="character" w:customStyle="1" w:styleId="120">
    <w:name w:val="font11"/>
    <w:autoRedefine/>
    <w:qFormat/>
    <w:uiPriority w:val="99"/>
    <w:rPr>
      <w:rFonts w:ascii="宋体" w:hAnsi="宋体" w:eastAsia="宋体" w:cs="宋体"/>
      <w:color w:val="000000"/>
      <w:sz w:val="21"/>
      <w:szCs w:val="21"/>
      <w:u w:val="none"/>
    </w:rPr>
  </w:style>
  <w:style w:type="paragraph" w:customStyle="1" w:styleId="121">
    <w:name w:val="Table Paragraph"/>
    <w:basedOn w:val="1"/>
    <w:autoRedefine/>
    <w:qFormat/>
    <w:uiPriority w:val="1"/>
    <w:pPr>
      <w:jc w:val="left"/>
    </w:pPr>
    <w:rPr>
      <w:rFonts w:ascii="Calibri" w:hAnsi="Calibri" w:cs="Calibri"/>
      <w:kern w:val="0"/>
      <w:sz w:val="22"/>
      <w:szCs w:val="22"/>
      <w:lang w:eastAsia="en-US"/>
    </w:rPr>
  </w:style>
  <w:style w:type="paragraph" w:customStyle="1" w:styleId="122">
    <w:name w:val="_Style 10"/>
    <w:basedOn w:val="1"/>
    <w:autoRedefine/>
    <w:qFormat/>
    <w:uiPriority w:val="99"/>
    <w:pPr>
      <w:adjustRightInd w:val="0"/>
      <w:spacing w:line="360" w:lineRule="atLeast"/>
      <w:jc w:val="left"/>
      <w:textAlignment w:val="baseline"/>
    </w:pPr>
    <w:rPr>
      <w:rFonts w:ascii="Tahoma" w:hAnsi="Tahoma" w:cs="Tahoma"/>
      <w:kern w:val="0"/>
      <w:sz w:val="24"/>
      <w:szCs w:val="24"/>
    </w:rPr>
  </w:style>
  <w:style w:type="character" w:customStyle="1" w:styleId="123">
    <w:name w:val="Char Char"/>
    <w:autoRedefine/>
    <w:qFormat/>
    <w:uiPriority w:val="99"/>
    <w:rPr>
      <w:rFonts w:ascii="宋体" w:hAnsi="Courier New" w:cs="宋体"/>
      <w:kern w:val="2"/>
      <w:sz w:val="21"/>
      <w:szCs w:val="21"/>
    </w:rPr>
  </w:style>
  <w:style w:type="paragraph" w:customStyle="1" w:styleId="124">
    <w:name w:val="样式4"/>
    <w:basedOn w:val="1"/>
    <w:next w:val="1"/>
    <w:autoRedefine/>
    <w:qFormat/>
    <w:uiPriority w:val="99"/>
    <w:pPr>
      <w:spacing w:line="440" w:lineRule="exact"/>
    </w:pPr>
    <w:rPr>
      <w:sz w:val="24"/>
      <w:szCs w:val="24"/>
    </w:rPr>
  </w:style>
  <w:style w:type="paragraph" w:customStyle="1" w:styleId="125">
    <w:name w:val="Char Char Char1 Char Char Char Char Char Char Char Char Char Char Char Char Char Char Char Char Char Char Char"/>
    <w:basedOn w:val="1"/>
    <w:autoRedefine/>
    <w:qFormat/>
    <w:uiPriority w:val="99"/>
    <w:pPr>
      <w:spacing w:line="360" w:lineRule="auto"/>
      <w:ind w:firstLine="200" w:firstLineChars="200"/>
    </w:pPr>
    <w:rPr>
      <w:rFonts w:ascii="宋体" w:hAnsi="宋体" w:cs="宋体"/>
      <w:sz w:val="24"/>
      <w:szCs w:val="24"/>
    </w:rPr>
  </w:style>
  <w:style w:type="character" w:customStyle="1" w:styleId="126">
    <w:name w:val="HTML 预设格式 Char"/>
    <w:link w:val="29"/>
    <w:autoRedefine/>
    <w:qFormat/>
    <w:locked/>
    <w:uiPriority w:val="99"/>
    <w:rPr>
      <w:rFonts w:ascii="Courier New" w:hAnsi="Courier New" w:cs="Courier New"/>
      <w:kern w:val="2"/>
    </w:rPr>
  </w:style>
  <w:style w:type="paragraph" w:customStyle="1" w:styleId="127">
    <w:name w:val="123456"/>
    <w:basedOn w:val="1"/>
    <w:autoRedefine/>
    <w:qFormat/>
    <w:uiPriority w:val="99"/>
    <w:pPr>
      <w:spacing w:line="360" w:lineRule="auto"/>
      <w:ind w:firstLine="200" w:firstLineChars="200"/>
    </w:pPr>
    <w:rPr>
      <w:sz w:val="24"/>
      <w:szCs w:val="24"/>
    </w:rPr>
  </w:style>
  <w:style w:type="paragraph" w:customStyle="1" w:styleId="128">
    <w:name w:val="0正文"/>
    <w:basedOn w:val="11"/>
    <w:link w:val="129"/>
    <w:autoRedefine/>
    <w:qFormat/>
    <w:uiPriority w:val="0"/>
    <w:pPr>
      <w:widowControl/>
      <w:spacing w:after="0" w:line="360" w:lineRule="auto"/>
      <w:ind w:left="0" w:leftChars="0" w:firstLine="200" w:firstLineChars="200"/>
      <w:jc w:val="left"/>
    </w:pPr>
  </w:style>
  <w:style w:type="character" w:customStyle="1" w:styleId="129">
    <w:name w:val="0正文 Char"/>
    <w:link w:val="128"/>
    <w:autoRedefine/>
    <w:qFormat/>
    <w:locked/>
    <w:uiPriority w:val="99"/>
    <w:rPr>
      <w:sz w:val="24"/>
      <w:szCs w:val="24"/>
    </w:rPr>
  </w:style>
  <w:style w:type="paragraph" w:customStyle="1" w:styleId="130">
    <w:name w:val="表格内容（冰）"/>
    <w:basedOn w:val="1"/>
    <w:autoRedefine/>
    <w:qFormat/>
    <w:uiPriority w:val="99"/>
    <w:pPr>
      <w:adjustRightInd w:val="0"/>
      <w:snapToGrid w:val="0"/>
      <w:jc w:val="center"/>
    </w:pPr>
  </w:style>
  <w:style w:type="paragraph" w:customStyle="1" w:styleId="131">
    <w:name w:val="Char4 Char Char Char Char Char Char1"/>
    <w:basedOn w:val="1"/>
    <w:autoRedefine/>
    <w:qFormat/>
    <w:uiPriority w:val="99"/>
    <w:pPr>
      <w:spacing w:line="360" w:lineRule="auto"/>
      <w:ind w:firstLine="200" w:firstLineChars="200"/>
    </w:pPr>
    <w:rPr>
      <w:rFonts w:ascii="Calibri" w:hAnsi="Calibri" w:cs="Calibri"/>
    </w:rPr>
  </w:style>
  <w:style w:type="paragraph" w:customStyle="1" w:styleId="132">
    <w:name w:val="表格内容"/>
    <w:basedOn w:val="1"/>
    <w:autoRedefine/>
    <w:qFormat/>
    <w:uiPriority w:val="99"/>
    <w:pPr>
      <w:tabs>
        <w:tab w:val="left" w:pos="2340"/>
      </w:tabs>
      <w:snapToGrid w:val="0"/>
      <w:jc w:val="center"/>
    </w:pPr>
  </w:style>
  <w:style w:type="paragraph" w:customStyle="1" w:styleId="133">
    <w:name w:val="列出段落2"/>
    <w:basedOn w:val="1"/>
    <w:autoRedefine/>
    <w:qFormat/>
    <w:uiPriority w:val="99"/>
    <w:pPr>
      <w:adjustRightInd w:val="0"/>
      <w:snapToGrid w:val="0"/>
      <w:spacing w:line="360" w:lineRule="auto"/>
      <w:ind w:firstLine="420" w:firstLineChars="200"/>
    </w:pPr>
    <w:rPr>
      <w:sz w:val="24"/>
      <w:szCs w:val="24"/>
    </w:rPr>
  </w:style>
  <w:style w:type="character" w:customStyle="1" w:styleId="134">
    <w:name w:val="项目正文，无格式 Char"/>
    <w:link w:val="135"/>
    <w:autoRedefine/>
    <w:qFormat/>
    <w:locked/>
    <w:uiPriority w:val="99"/>
    <w:rPr>
      <w:kern w:val="2"/>
      <w:sz w:val="18"/>
      <w:szCs w:val="18"/>
    </w:rPr>
  </w:style>
  <w:style w:type="paragraph" w:customStyle="1" w:styleId="135">
    <w:name w:val="项目正文，无格式"/>
    <w:basedOn w:val="1"/>
    <w:link w:val="134"/>
    <w:autoRedefine/>
    <w:qFormat/>
    <w:uiPriority w:val="99"/>
    <w:pPr>
      <w:jc w:val="center"/>
    </w:pPr>
    <w:rPr>
      <w:sz w:val="18"/>
      <w:szCs w:val="18"/>
    </w:rPr>
  </w:style>
  <w:style w:type="paragraph" w:customStyle="1" w:styleId="136">
    <w:name w:val="0正文表内"/>
    <w:basedOn w:val="1"/>
    <w:next w:val="1"/>
    <w:autoRedefine/>
    <w:qFormat/>
    <w:uiPriority w:val="99"/>
    <w:pPr>
      <w:spacing w:line="360" w:lineRule="auto"/>
      <w:jc w:val="left"/>
    </w:pPr>
  </w:style>
  <w:style w:type="paragraph" w:styleId="137">
    <w:name w:val="No Spacing"/>
    <w:link w:val="138"/>
    <w:autoRedefine/>
    <w:qFormat/>
    <w:uiPriority w:val="0"/>
    <w:rPr>
      <w:rFonts w:ascii="Times New Roman" w:hAnsi="Times New Roman" w:eastAsia="宋体" w:cs="Times New Roman"/>
      <w:kern w:val="2"/>
      <w:sz w:val="22"/>
      <w:szCs w:val="22"/>
      <w:lang w:val="en-US" w:eastAsia="zh-CN" w:bidi="ar-SA"/>
    </w:rPr>
  </w:style>
  <w:style w:type="character" w:customStyle="1" w:styleId="138">
    <w:name w:val="无间隔 Char"/>
    <w:link w:val="137"/>
    <w:autoRedefine/>
    <w:qFormat/>
    <w:locked/>
    <w:uiPriority w:val="0"/>
    <w:rPr>
      <w:kern w:val="2"/>
      <w:sz w:val="22"/>
      <w:szCs w:val="22"/>
      <w:lang w:bidi="ar-SA"/>
    </w:rPr>
  </w:style>
  <w:style w:type="paragraph" w:customStyle="1" w:styleId="139">
    <w:name w:val="表格3"/>
    <w:autoRedefine/>
    <w:qFormat/>
    <w:uiPriority w:val="0"/>
    <w:pPr>
      <w:spacing w:line="240" w:lineRule="atLeast"/>
      <w:jc w:val="center"/>
    </w:pPr>
    <w:rPr>
      <w:rFonts w:ascii="Calibri" w:hAnsi="Calibri" w:eastAsia="仿宋" w:cs="Times New Roman"/>
      <w:kern w:val="2"/>
      <w:sz w:val="21"/>
      <w:szCs w:val="21"/>
      <w:lang w:val="en-US" w:eastAsia="zh-CN" w:bidi="ar-SA"/>
    </w:rPr>
  </w:style>
  <w:style w:type="character" w:styleId="140">
    <w:name w:val="Placeholder Text"/>
    <w:basedOn w:val="37"/>
    <w:autoRedefine/>
    <w:semiHidden/>
    <w:qFormat/>
    <w:uiPriority w:val="99"/>
    <w:rPr>
      <w:color w:val="808080"/>
    </w:rPr>
  </w:style>
  <w:style w:type="paragraph" w:customStyle="1" w:styleId="141">
    <w:name w:val="Default1"/>
    <w:autoRedefine/>
    <w:qFormat/>
    <w:uiPriority w:val="99"/>
    <w:pPr>
      <w:widowControl w:val="0"/>
      <w:autoSpaceDE w:val="0"/>
      <w:autoSpaceDN w:val="0"/>
      <w:adjustRightInd w:val="0"/>
    </w:pPr>
    <w:rPr>
      <w:rFonts w:ascii="宋体" w:hAnsi="Times New Roman" w:eastAsia="微软雅黑" w:cs="宋体"/>
      <w:color w:val="000000"/>
      <w:sz w:val="24"/>
      <w:szCs w:val="24"/>
      <w:lang w:val="en-US" w:eastAsia="zh-CN" w:bidi="ar-SA"/>
    </w:rPr>
  </w:style>
  <w:style w:type="paragraph" w:customStyle="1" w:styleId="142">
    <w:name w:val="页眉1"/>
    <w:basedOn w:val="1"/>
    <w:autoRedefine/>
    <w:qFormat/>
    <w:uiPriority w:val="0"/>
    <w:pPr>
      <w:pBdr>
        <w:bottom w:val="single" w:color="auto" w:sz="6" w:space="1"/>
      </w:pBdr>
      <w:tabs>
        <w:tab w:val="center" w:pos="4153"/>
        <w:tab w:val="right" w:pos="8306"/>
      </w:tabs>
      <w:snapToGrid w:val="0"/>
      <w:jc w:val="center"/>
    </w:pPr>
    <w:rPr>
      <w:sz w:val="18"/>
      <w:szCs w:val="20"/>
    </w:rPr>
  </w:style>
  <w:style w:type="paragraph" w:customStyle="1" w:styleId="143">
    <w:name w:val="萝卜"/>
    <w:basedOn w:val="1"/>
    <w:autoRedefine/>
    <w:qFormat/>
    <w:uiPriority w:val="0"/>
    <w:pPr>
      <w:tabs>
        <w:tab w:val="left" w:pos="540"/>
      </w:tabs>
      <w:spacing w:line="360" w:lineRule="auto"/>
      <w:ind w:firstLine="200" w:firstLineChars="200"/>
    </w:pPr>
    <w:rPr>
      <w:sz w:val="24"/>
      <w:szCs w:val="24"/>
    </w:rPr>
  </w:style>
  <w:style w:type="paragraph" w:customStyle="1" w:styleId="144">
    <w:name w:val="表格2"/>
    <w:basedOn w:val="1"/>
    <w:autoRedefine/>
    <w:qFormat/>
    <w:uiPriority w:val="0"/>
    <w:pPr>
      <w:adjustRightInd w:val="0"/>
      <w:spacing w:line="320" w:lineRule="exact"/>
      <w:jc w:val="center"/>
      <w:textAlignment w:val="baseline"/>
    </w:pPr>
    <w:rPr>
      <w:sz w:val="24"/>
      <w:szCs w:val="20"/>
    </w:rPr>
  </w:style>
  <w:style w:type="paragraph" w:customStyle="1" w:styleId="145">
    <w:name w:val="表 内容"/>
    <w:basedOn w:val="1"/>
    <w:autoRedefine/>
    <w:qFormat/>
    <w:uiPriority w:val="0"/>
    <w:pPr>
      <w:adjustRightInd w:val="0"/>
      <w:snapToGrid w:val="0"/>
      <w:spacing w:beforeLines="15" w:afterLines="15"/>
      <w:jc w:val="center"/>
    </w:pPr>
    <w:rPr>
      <w:b/>
    </w:rPr>
  </w:style>
  <w:style w:type="character" w:customStyle="1" w:styleId="146">
    <w:name w:val="标题 4 Char"/>
    <w:basedOn w:val="37"/>
    <w:link w:val="6"/>
    <w:autoRedefine/>
    <w:qFormat/>
    <w:uiPriority w:val="0"/>
    <w:rPr>
      <w:rFonts w:ascii="Cambria" w:hAnsi="Cambria" w:eastAsia="宋体" w:cs="Times New Roman"/>
      <w:b/>
      <w:bCs/>
      <w:kern w:val="2"/>
      <w:sz w:val="28"/>
      <w:szCs w:val="28"/>
    </w:rPr>
  </w:style>
  <w:style w:type="character" w:customStyle="1" w:styleId="147">
    <w:name w:val="0正文 Char Char"/>
    <w:autoRedefine/>
    <w:qFormat/>
    <w:locked/>
    <w:uiPriority w:val="0"/>
    <w:rPr>
      <w:rFonts w:ascii="Calibri" w:hAnsi="Calibri" w:cs="Calibri"/>
      <w:sz w:val="24"/>
    </w:rPr>
  </w:style>
  <w:style w:type="paragraph" w:customStyle="1" w:styleId="148">
    <w:name w:val="表格内部"/>
    <w:basedOn w:val="1"/>
    <w:autoRedefine/>
    <w:qFormat/>
    <w:uiPriority w:val="0"/>
    <w:pPr>
      <w:adjustRightInd w:val="0"/>
      <w:snapToGrid w:val="0"/>
      <w:jc w:val="center"/>
      <w:textAlignment w:val="baseline"/>
    </w:pPr>
    <w:rPr>
      <w:rFonts w:cs="Arial"/>
      <w:kern w:val="0"/>
      <w:szCs w:val="20"/>
    </w:rPr>
  </w:style>
  <w:style w:type="paragraph" w:customStyle="1" w:styleId="149">
    <w:name w:val="0 正文"/>
    <w:basedOn w:val="1"/>
    <w:autoRedefine/>
    <w:qFormat/>
    <w:uiPriority w:val="0"/>
    <w:pPr>
      <w:spacing w:line="360" w:lineRule="auto"/>
      <w:ind w:firstLine="200" w:firstLineChars="200"/>
    </w:pPr>
    <w:rPr>
      <w:kern w:val="0"/>
      <w:sz w:val="24"/>
      <w:szCs w:val="24"/>
    </w:rPr>
  </w:style>
  <w:style w:type="paragraph" w:customStyle="1" w:styleId="150">
    <w:name w:val="列出段落1"/>
    <w:basedOn w:val="1"/>
    <w:autoRedefine/>
    <w:qFormat/>
    <w:uiPriority w:val="0"/>
    <w:pPr>
      <w:jc w:val="center"/>
    </w:p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36C4D-42DF-4C16-98A7-BFCE32EFF7FE}">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55</Pages>
  <Words>6900</Words>
  <Characters>39331</Characters>
  <Lines>327</Lines>
  <Paragraphs>92</Paragraphs>
  <TotalTime>4432</TotalTime>
  <ScaleCrop>false</ScaleCrop>
  <LinksUpToDate>false</LinksUpToDate>
  <CharactersWithSpaces>46139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2023-03-01T03:46:00Z</dcterms:created>
  <dc:creator>lhj</dc:creator>
  <cp:lastModifiedBy>旭东印务</cp:lastModifiedBy>
  <cp:lastPrinted>2024-01-26T06:10:00Z</cp:lastPrinted>
  <dcterms:modified xsi:type="dcterms:W3CDTF">2024-01-26T09:48:31Z</dcterms:modified>
  <dc:title>附件2</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968FD43C15144864AF707CA69CEE23F0</vt:lpwstr>
  </property>
</Properties>
</file>