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44"/>
          <w:szCs w:val="44"/>
        </w:rPr>
        <w:t>2019 年财政预算相关情况说明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1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cs="仿宋_GB2312" w:eastAsiaTheme="maj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上级补助收入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预算情况。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2019年，上级补助收入预计12.2亿元。具体情况如下：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返还性收入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预计-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12725万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，其中：两税税收返还收入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3377万元，所得税基数返还收入1818万元，成品油价格和税费改革税收返还收入127万元，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增值税“五五分享”税收返还收入-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18047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一般性转移支付收入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49725万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元，其中：均衡性转移支付收入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万元，县级基本财力保障机制奖补资金收入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万元，结算补助收入 68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 万元，产粮大县奖励资金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固定数额补助收入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30079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（三）专项转移支付收入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预计85000万元，其中：公共安全920万元，教育16800万元，文化旅游体育与传媒 1200万元，社会保障和就业11780万元，卫生健康 5400 万元，节能环保 6100万元，农林水38600 万元，交通运输1700万元，住房保障 2500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、预算绩效工作开展情况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  <w:t>编制2019年预算时，跟进绩效目标申报工作，要求全县部门单位编制整体绩效目标，并随部门预算同步公开。同时，计划将2019年扶贫资金全面纳入绩效管理，确保做到绩效管理全覆盖。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CN" w:eastAsia="zh-CN"/>
        </w:rPr>
        <w:t>三、公开空表说明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公开空表两张，因县属国有企业均无收益，故2019年国有资本经营收支预算以空表公开。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5DEC"/>
    <w:rsid w:val="2CBB5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2019-07-24T01:52:00Z</dcterms:created>
  <dc:creator>乐观人生</dc:creator>
  <cp:lastModifiedBy>乐观人生</cp:lastModifiedBy>
  <dcterms:modified xsi:type="dcterms:W3CDTF">2019-07-24T03:29:47Z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