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auto"/>
        <w:ind w:firstLine="480"/>
        <w:jc w:val="center"/>
        <w:rPr>
          <w:rFonts w:hint="eastAsia"/>
          <w:b/>
          <w:color w:val="000000"/>
          <w:sz w:val="44"/>
          <w:szCs w:val="44"/>
        </w:rPr>
      </w:pPr>
      <w:bookmarkStart w:id="0" w:name="_GoBack"/>
      <w:bookmarkEnd w:id="0"/>
      <w:r>
        <w:rPr>
          <w:rFonts w:hint="eastAsia"/>
          <w:b/>
          <w:color w:val="000000"/>
          <w:sz w:val="44"/>
          <w:szCs w:val="44"/>
        </w:rPr>
        <w:t>部分名词解释</w:t>
      </w:r>
    </w:p>
    <w:p>
      <w:pPr>
        <w:pStyle w:val="4"/>
        <w:shd w:val="clear" w:color="auto" w:fill="FFFFFF"/>
        <w:spacing w:before="0" w:beforeAutospacing="0" w:after="0" w:afterAutospacing="0" w:line="480" w:lineRule="auto"/>
        <w:ind w:firstLine="480"/>
        <w:jc w:val="center"/>
        <w:rPr>
          <w:rFonts w:hint="eastAsia"/>
          <w:b/>
          <w:color w:val="000000"/>
          <w:sz w:val="15"/>
          <w:szCs w:val="15"/>
        </w:rPr>
      </w:pP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1.一般公共预算：</w:t>
      </w:r>
      <w:r>
        <w:rPr>
          <w:rFonts w:hint="eastAsia" w:ascii="仿宋_GB2312" w:eastAsia="仿宋_GB2312"/>
          <w:color w:val="000000"/>
          <w:sz w:val="32"/>
          <w:szCs w:val="32"/>
        </w:rPr>
        <w:t>指对以税收为主体的财政收入，安排用于保障和改善民生、推动经济社会发展、维护国家安全、维持国家机构正常运转等方面的收支预算。</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2.地方财政收入：</w:t>
      </w:r>
      <w:r>
        <w:rPr>
          <w:rFonts w:hint="eastAsia" w:ascii="仿宋_GB2312" w:eastAsia="仿宋_GB2312"/>
          <w:color w:val="000000"/>
          <w:sz w:val="32"/>
          <w:szCs w:val="32"/>
        </w:rPr>
        <w:t>指根据现行财政管理体制规定，划归地方财政的税收和非税收入。主要包括增值税、企业所得税、个人所得税与中省市共享税收县级分享部分，营业税、资源税、房产税、城镇土地使用税等与省市共享税收县级分享部分；土地增值税、城市维护建设税、车船税、印花税、契税、耕地占用税等地方固定税收以及非税收入。</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3.转移性收入：</w:t>
      </w:r>
      <w:r>
        <w:rPr>
          <w:rFonts w:hint="eastAsia" w:ascii="仿宋_GB2312" w:eastAsia="仿宋_GB2312"/>
          <w:color w:val="000000"/>
          <w:sz w:val="32"/>
          <w:szCs w:val="32"/>
        </w:rPr>
        <w:t>包括返还性收入、一般性转移支付收入、专项转移支付收入等。</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4.一般公共预算支出：</w:t>
      </w:r>
      <w:r>
        <w:rPr>
          <w:rFonts w:hint="eastAsia" w:ascii="仿宋_GB2312" w:eastAsia="仿宋_GB2312"/>
          <w:color w:val="000000"/>
          <w:sz w:val="32"/>
          <w:szCs w:val="32"/>
        </w:rPr>
        <w:t>指按照现行中央政府与地方政府事权的划分，经同级人大批准，用于保障地方经济社会发展的各项支出。主要包括一般公共服务、公共安全、教育、科学技术、文化体育与传媒、社会保障和就业、医疗卫生、节能环保、城乡社区事务、农林水事务、交通运输、资源勘探电力信息等事务、商业服务业等事务、金融监管等事务、援助其他地区支出、国土资源气象等事务、住房保障支出、粮油物资储备事务、预备费、国债还本付息支出和其他支出等。</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5.预备费：</w:t>
      </w:r>
      <w:r>
        <w:rPr>
          <w:rFonts w:hint="eastAsia" w:ascii="仿宋_GB2312" w:eastAsia="仿宋_GB2312"/>
          <w:color w:val="000000"/>
          <w:sz w:val="32"/>
          <w:szCs w:val="32"/>
        </w:rPr>
        <w:t>指各级一般公共预算的备用金，在编制政府预算时暂时保留一定的后备资金不安排具体用途，待预算执行中批准动用时，再列入指定的预算支出科目。《中华人民共和国预算法》规定，各级政府预算应当按照本级一般公共预算支出额的1%～3%设置预备费，用于当年预算执行中的自然灾害等突发事件处理增加的支出及其他难以预见的开支。</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6.政府性基金预算：</w:t>
      </w:r>
      <w:r>
        <w:rPr>
          <w:rFonts w:hint="eastAsia" w:ascii="仿宋_GB2312" w:eastAsia="仿宋_GB2312"/>
          <w:color w:val="000000"/>
          <w:sz w:val="32"/>
          <w:szCs w:val="32"/>
        </w:rPr>
        <w:t>指对依照法律、行政法规的规定在一定期限内向特定对象征收、收取或者以其他方式筹集的资金，专项用于特定公共事业发展的收支预算。</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7.地方政府债券：</w:t>
      </w:r>
      <w:r>
        <w:rPr>
          <w:rFonts w:hint="eastAsia" w:ascii="仿宋_GB2312" w:eastAsia="仿宋_GB2312"/>
          <w:color w:val="000000"/>
          <w:sz w:val="32"/>
          <w:szCs w:val="32"/>
        </w:rPr>
        <w:t>省政府在财政部的指导下，发行地方政府债券，由地方政府以承担还本付息责任为前提而筹集资金的债务凭证。一般用于交通、水利、农业、保障性安居工程、教育、医院和污水处理系统等地方性公共设施建设。按要求地方政府债券收支应实行预算管理，纳入各级政府财政预算。</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8.“营改增”：</w:t>
      </w:r>
      <w:r>
        <w:rPr>
          <w:rFonts w:hint="eastAsia" w:ascii="仿宋_GB2312" w:eastAsia="仿宋_GB2312"/>
          <w:color w:val="000000"/>
          <w:sz w:val="32"/>
          <w:szCs w:val="32"/>
        </w:rPr>
        <w:t>营业税改征增值税试点改革是国家实施结构性减税的一项重要举措，也是一项重大的税制改革。2011年，经国务院批准，财政部、国家税务总局联合下发营业税改征增值税试点方案。2012年1月1日起在上海市交通运输业和部分现代服务业开展营业税改征增值税试点改革，拉开营业税改增值税的改革大幕，同年8月营改增试点分批扩大。2016年5月1日起，“营改增”全面推开。原归属试点地区的营业税收入，改征增值税后仍归属试点地区；营业税改征的增值税，由国税机关负责征管。</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9.零基预算：</w:t>
      </w:r>
      <w:r>
        <w:rPr>
          <w:rFonts w:ascii="仿宋_GB2312" w:eastAsia="仿宋_GB2312"/>
          <w:color w:val="000000"/>
          <w:sz w:val="32"/>
          <w:szCs w:val="32"/>
        </w:rPr>
        <w:t>是指在编制成本费用预算时，不考虑以往会计期间所发生的费用项目或费用数额，而是以所有的预算支出为零作为出发点，一切从实际需要与可能出发，逐项审议预算期内各项费用的内容及其开支标准是否合理，在综合平衡的基础上编制费用预算的一种方法。</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10.“三公”经费：</w:t>
      </w:r>
      <w:r>
        <w:rPr>
          <w:rFonts w:hint="eastAsia" w:ascii="仿宋_GB2312" w:eastAsia="仿宋_GB2312"/>
          <w:color w:val="000000"/>
          <w:sz w:val="32"/>
          <w:szCs w:val="32"/>
        </w:rPr>
        <w:t>指因公出国（境）经费、公务用车购置及运行维护费和公务接待费。其中：因公出国（境）经费是指行政单位、事业单位工作人员公务出国（境）的住宿费、旅费、伙食补助费、杂费、培训费等支出；公务用车购置及运行维护费指行政单位、事业单位公务用车购置费、公务用车租用费、燃料费、维修费、过桥过路费、保险费等支出；公务接待费指行政单位、事业单位按规定开支的各项公务接待（外宾接待）费用。</w:t>
      </w:r>
    </w:p>
    <w:p>
      <w:pPr>
        <w:pStyle w:val="4"/>
        <w:shd w:val="clear" w:color="auto" w:fill="FFFFFF"/>
        <w:spacing w:before="0" w:beforeAutospacing="0" w:after="0" w:afterAutospacing="0" w:line="480" w:lineRule="auto"/>
        <w:ind w:firstLine="800" w:firstLineChars="249"/>
        <w:rPr>
          <w:rFonts w:hint="eastAsia" w:ascii="仿宋_GB2312" w:eastAsia="仿宋_GB2312"/>
          <w:color w:val="000000"/>
          <w:sz w:val="32"/>
          <w:szCs w:val="32"/>
        </w:rPr>
      </w:pPr>
      <w:r>
        <w:rPr>
          <w:rFonts w:hint="eastAsia" w:ascii="仿宋_GB2312" w:eastAsia="仿宋_GB2312"/>
          <w:b/>
          <w:color w:val="000000"/>
          <w:sz w:val="32"/>
          <w:szCs w:val="32"/>
        </w:rPr>
        <w:t>11.非税收入：</w:t>
      </w:r>
      <w:r>
        <w:rPr>
          <w:rFonts w:hint="eastAsia" w:ascii="仿宋_GB2312" w:eastAsia="仿宋_GB2312"/>
          <w:color w:val="000000"/>
          <w:sz w:val="32"/>
          <w:szCs w:val="32"/>
        </w:rPr>
        <w:t>是指除税收以外，由各级政府、国家机关、事业单位、代行政府职能的社会团体及其他组织依法利用政府权力、政府信誉、国家资源、国有资产或提供特定公共服务、准公共服务取得的财政性资金，是政府财政收入的重要组成部分。</w:t>
      </w:r>
    </w:p>
    <w:p>
      <w:pPr>
        <w:pStyle w:val="4"/>
        <w:shd w:val="clear" w:color="auto" w:fill="FFFFFF"/>
        <w:spacing w:before="0" w:beforeAutospacing="0" w:after="0" w:afterAutospacing="0" w:line="480" w:lineRule="auto"/>
        <w:ind w:firstLine="800" w:firstLineChars="249"/>
        <w:rPr>
          <w:rFonts w:hint="eastAsia" w:ascii="仿宋_GB2312" w:eastAsia="仿宋_GB2312"/>
          <w:color w:val="000000"/>
          <w:sz w:val="32"/>
          <w:szCs w:val="32"/>
        </w:rPr>
      </w:pPr>
      <w:r>
        <w:rPr>
          <w:rFonts w:hint="eastAsia" w:ascii="仿宋_GB2312" w:eastAsia="仿宋_GB2312"/>
          <w:b/>
          <w:color w:val="000000"/>
          <w:sz w:val="32"/>
          <w:szCs w:val="32"/>
        </w:rPr>
        <w:t>12.专项收入：</w:t>
      </w:r>
      <w:r>
        <w:rPr>
          <w:rFonts w:hint="eastAsia" w:ascii="仿宋_GB2312" w:eastAsia="仿宋_GB2312"/>
          <w:color w:val="000000"/>
          <w:sz w:val="32"/>
          <w:szCs w:val="32"/>
        </w:rPr>
        <w:t>是政府非税收入的重要组成部分，包括排污费收入、水资源费收入、教育费附加收入、 地方教育费附加收入、森林植被恢复费等。</w:t>
      </w:r>
    </w:p>
    <w:p>
      <w:pPr>
        <w:pStyle w:val="4"/>
        <w:shd w:val="clear" w:color="auto" w:fill="FFFFFF"/>
        <w:spacing w:before="0" w:beforeAutospacing="0" w:after="0" w:afterAutospacing="0" w:line="480" w:lineRule="auto"/>
        <w:ind w:firstLine="800" w:firstLineChars="249"/>
        <w:rPr>
          <w:rFonts w:hint="eastAsia" w:ascii="仿宋_GB2312" w:eastAsia="仿宋_GB2312"/>
          <w:color w:val="000000"/>
          <w:sz w:val="32"/>
          <w:szCs w:val="32"/>
        </w:rPr>
      </w:pPr>
      <w:r>
        <w:rPr>
          <w:rFonts w:hint="eastAsia" w:ascii="仿宋_GB2312" w:eastAsia="仿宋_GB2312"/>
          <w:b/>
          <w:color w:val="000000"/>
          <w:sz w:val="32"/>
          <w:szCs w:val="32"/>
        </w:rPr>
        <w:t>13.返还性收入：</w:t>
      </w:r>
      <w:r>
        <w:rPr>
          <w:rFonts w:hint="eastAsia" w:ascii="仿宋_GB2312" w:eastAsia="仿宋_GB2312"/>
          <w:color w:val="000000"/>
          <w:sz w:val="32"/>
          <w:szCs w:val="32"/>
        </w:rPr>
        <w:t>指1994年分税制改革、2002年所得税收入分享改革、2009年成品油税费改革后，对原属于地方的收入划为中央收入部分，给予地方的补偿。包括增值税、消费税返还，所得税基数返还，以及成品油税费改革税收返还。</w:t>
      </w:r>
    </w:p>
    <w:p>
      <w:pPr>
        <w:pStyle w:val="4"/>
        <w:shd w:val="clear" w:color="auto" w:fill="FFFFFF"/>
        <w:spacing w:before="0" w:beforeAutospacing="0" w:after="0" w:afterAutospacing="0" w:line="480" w:lineRule="auto"/>
        <w:ind w:firstLine="800" w:firstLineChars="249"/>
        <w:rPr>
          <w:rFonts w:hint="eastAsia" w:ascii="仿宋_GB2312" w:eastAsia="仿宋_GB2312"/>
          <w:color w:val="000000"/>
          <w:sz w:val="32"/>
          <w:szCs w:val="32"/>
        </w:rPr>
      </w:pPr>
      <w:r>
        <w:rPr>
          <w:rFonts w:hint="eastAsia" w:ascii="仿宋_GB2312" w:eastAsia="仿宋_GB2312"/>
          <w:b/>
          <w:color w:val="000000"/>
          <w:sz w:val="32"/>
          <w:szCs w:val="32"/>
        </w:rPr>
        <w:t>14.财力性转移支付</w:t>
      </w:r>
      <w:r>
        <w:rPr>
          <w:rFonts w:hint="eastAsia" w:ascii="仿宋_GB2312" w:eastAsia="仿宋_GB2312"/>
          <w:color w:val="000000"/>
          <w:sz w:val="32"/>
          <w:szCs w:val="32"/>
        </w:rPr>
        <w:t>：指上级政府对有财力缺口的下级政府（主要是中西部地区）按照规范的办法给予的补助。包括均衡性转移支付、民族地区转移支付、农村税费改革转移支付、调整工资转移支付以及农村义务教育转移支付等，地方政府可以按照相关规定统筹安排和使用。其中，均衡性转移支付是指以促进地区间基本公共服务均等化为目标，选取影响各地财政收支的客观因素，考虑地区间支出成本差异、收入努力程度以及财政困难程度等，按统一公式分配给地方的补助资金。</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15.专项转移支付：</w:t>
      </w:r>
      <w:r>
        <w:rPr>
          <w:rFonts w:hint="eastAsia" w:ascii="仿宋_GB2312" w:eastAsia="仿宋_GB2312"/>
          <w:color w:val="000000"/>
          <w:sz w:val="32"/>
          <w:szCs w:val="32"/>
        </w:rPr>
        <w:t>指中央与省政府对承担委托事务、共同事务的地方政府给予的具有指定用途的资金补助，以及对应由下级政府承担的事务，给予的具有指定用途的奖励或补助。主要用于教育、社会保障、农业等方面。</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16.政府购买服务：</w:t>
      </w:r>
      <w:r>
        <w:rPr>
          <w:rFonts w:hint="eastAsia" w:ascii="仿宋_GB2312" w:eastAsia="仿宋_GB2312"/>
          <w:color w:val="000000"/>
          <w:sz w:val="32"/>
          <w:szCs w:val="32"/>
        </w:rPr>
        <w:t>指政府利用财政资金，采取市场化、契约化方式，面向具有专业资质的社会组织和企事业单位购买社会工作服务的一项重要制度安排。</w:t>
      </w:r>
    </w:p>
    <w:p>
      <w:pPr>
        <w:widowControl/>
        <w:spacing w:line="384" w:lineRule="atLeast"/>
        <w:ind w:firstLine="803" w:firstLineChars="250"/>
        <w:jc w:val="left"/>
        <w:rPr>
          <w:rFonts w:hint="eastAsia" w:ascii="仿宋_GB2312" w:eastAsia="仿宋_GB2312"/>
          <w:sz w:val="32"/>
          <w:szCs w:val="32"/>
        </w:rPr>
      </w:pPr>
      <w:r>
        <w:rPr>
          <w:rFonts w:hint="eastAsia" w:ascii="仿宋_GB2312" w:eastAsia="仿宋_GB2312"/>
          <w:b/>
          <w:sz w:val="32"/>
          <w:szCs w:val="32"/>
        </w:rPr>
        <w:t>17.预算稳定调节基金：</w:t>
      </w:r>
      <w:r>
        <w:rPr>
          <w:rFonts w:hint="eastAsia" w:ascii="仿宋_GB2312" w:eastAsia="仿宋_GB2312"/>
          <w:sz w:val="32"/>
          <w:szCs w:val="32"/>
        </w:rPr>
        <w:t>是指各级财政通过超收或清理整合结余资金安排的具有储备性质的基金，用于弥补短收年份预算执行的收支缺口，以及视预算平衡情况，在安排年初预算时调入并安排使用。</w:t>
      </w:r>
    </w:p>
    <w:p>
      <w:pPr>
        <w:spacing w:line="360" w:lineRule="auto"/>
        <w:rPr>
          <w:rFonts w:hint="eastAsia" w:ascii="仿宋_GB2312" w:eastAsia="仿宋_GB2312"/>
          <w:sz w:val="32"/>
          <w:szCs w:val="32"/>
        </w:rPr>
      </w:pPr>
      <w:r>
        <w:rPr>
          <w:rFonts w:hint="eastAsia" w:ascii="仿宋_GB2312" w:hAnsi="微软雅黑" w:eastAsia="仿宋_GB2312" w:cs="宋体"/>
          <w:color w:val="2B2B2B"/>
          <w:kern w:val="0"/>
          <w:sz w:val="32"/>
          <w:szCs w:val="32"/>
        </w:rPr>
        <w:t xml:space="preserve">          </w:t>
      </w:r>
    </w:p>
    <w:p/>
    <w:sectPr>
      <w:headerReference r:id="rId5" w:type="first"/>
      <w:footerReference r:id="rId8" w:type="first"/>
      <w:headerReference r:id="rId3" w:type="default"/>
      <w:footerReference r:id="rId6" w:type="default"/>
      <w:headerReference r:id="rId4" w:type="even"/>
      <w:footerReference r:id="rId7" w:type="even"/>
      <w:pgSz w:w="11906" w:h="16838"/>
      <w:pgMar w:top="1531" w:right="1474" w:bottom="147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新宋体">
    <w:panose1 w:val="02010609030101010101"/>
    <w:charset w:val="86"/>
    <w:family w:val="modern"/>
    <w:pitch w:val="default"/>
    <w:sig w:usb0="00000003" w:usb1="080E0000" w:usb2="00000000" w:usb3="00000000" w:csb0="00040001" w:csb1="00000000"/>
  </w:font>
  <w:font w:name="微软雅黑">
    <w:panose1 w:val="020B0503020204020204"/>
    <w:charset w:val="86"/>
    <w:family w:val="swiss"/>
    <w:pitch w:val="default"/>
    <w:sig w:usb0="80000287" w:usb1="2A0F3C52" w:usb2="00000016" w:usb3="00000000" w:csb0="0004001F" w:csb1="00000000"/>
  </w:font>
  <w:font w:name="仿宋">
    <w:altName w:val="Arial Unicode MS"/>
    <w:panose1 w:val="02010609060101010101"/>
    <w:charset w:val="86"/>
    <w:family w:val="modern"/>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 w:name="Arial">
    <w:panose1 w:val="020B0604020202020204"/>
    <w:charset w:val="00"/>
    <w:family w:val="swiss"/>
    <w:pitch w:val="default"/>
    <w:sig w:usb0="00007A87" w:usb1="80000000" w:usb2="00000008" w:usb3="00000000" w:csb0="400001FF" w:csb1="FFFF0000"/>
  </w:font>
  <w:font w:name="华文楷体">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hint="eastAsia"/>
        <w:sz w:val="24"/>
        <w:szCs w:val="24"/>
      </w:rPr>
    </w:pPr>
    <w:r>
      <w:rPr>
        <w:rFonts w:hint="eastAsia" w:ascii="仿宋_GB2312" w:eastAsia="仿宋_GB2312"/>
        <w:sz w:val="24"/>
        <w:szCs w:val="24"/>
      </w:rPr>
      <w:fldChar w:fldCharType="begin"/>
    </w:r>
    <w:r>
      <w:rPr>
        <w:rStyle w:val="7"/>
        <w:rFonts w:hint="eastAsia"/>
        <w:sz w:val="24"/>
        <w:szCs w:val="24"/>
      </w:rPr>
      <w:instrText xml:space="preserve">PAGE  </w:instrText>
    </w:r>
    <w:r>
      <w:rPr>
        <w:rFonts w:hint="eastAsia" w:ascii="仿宋_GB2312" w:eastAsia="仿宋_GB2312"/>
        <w:sz w:val="24"/>
        <w:szCs w:val="24"/>
      </w:rPr>
      <w:fldChar w:fldCharType="separate"/>
    </w:r>
    <w:r>
      <w:rPr>
        <w:rStyle w:val="7"/>
        <w:sz w:val="24"/>
        <w:szCs w:val="24"/>
      </w:rPr>
      <w:t>22</w:t>
    </w:r>
    <w:r>
      <w:rPr>
        <w:rFonts w:hint="eastAsia" w:ascii="仿宋_GB2312" w:eastAsia="仿宋_GB2312"/>
        <w:sz w:val="24"/>
        <w:szCs w:val="24"/>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951B7"/>
    <w:rsid w:val="1C9951B7"/>
    <w:rsid w:val="25042626"/>
    <w:rsid w:val="327E5A22"/>
    <w:rsid w:val="78E95D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uiPriority w:val="0"/>
    <w:rPr>
      <w:rFonts w:ascii="仿宋_GB2312" w:eastAsia="仿宋_GB2312"/>
      <w:b/>
      <w:sz w:val="32"/>
      <w:szCs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Char1"/>
    <w:basedOn w:val="1"/>
    <w:link w:val="5"/>
    <w:qFormat/>
    <w:uiPriority w:val="0"/>
    <w:rPr>
      <w:rFonts w:ascii="仿宋_GB2312" w:eastAsia="仿宋_GB2312"/>
      <w:b/>
      <w:sz w:val="32"/>
      <w:szCs w:val="32"/>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2017-03-14T01:30:00Z</dcterms:created>
  <dc:creator>Administrator</dc:creator>
  <cp:lastModifiedBy>Administrator</cp:lastModifiedBy>
  <dcterms:modified xsi:type="dcterms:W3CDTF">2017-10-15T02:09:03Z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