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ind w:firstLine="1446" w:firstLineChars="300"/>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靖边县张家畔镇人民政府</w:t>
      </w:r>
    </w:p>
    <w:p>
      <w:pPr>
        <w:spacing w:line="560" w:lineRule="exact"/>
        <w:ind w:firstLine="2409" w:firstLineChars="500"/>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color w:val="2E75B5" w:themeColor="accent1" w:themeShade="BF"/>
          <w:sz w:val="32"/>
          <w:szCs w:val="32"/>
        </w:rPr>
      </w:pPr>
      <w:r>
        <w:rPr>
          <w:rFonts w:hint="eastAsia" w:asciiTheme="majorEastAsia" w:hAnsiTheme="majorEastAsia" w:eastAsiaTheme="majorEastAsia" w:cstheme="majorEastAsia"/>
          <w:b/>
          <w:bCs/>
          <w:color w:val="2E75B5" w:themeColor="accent1" w:themeShade="BF"/>
          <w:sz w:val="32"/>
          <w:szCs w:val="32"/>
        </w:rPr>
        <w:t>保密审查情况：已审查</w:t>
      </w:r>
    </w:p>
    <w:p>
      <w:pPr>
        <w:spacing w:line="400" w:lineRule="exact"/>
        <w:jc w:val="center"/>
        <w:rPr>
          <w:rFonts w:ascii="宋体" w:hAnsi="宋体" w:cs="宋体"/>
          <w:b/>
          <w:bCs/>
          <w:color w:val="2E75B5" w:themeColor="accent1" w:themeShade="BF"/>
          <w:sz w:val="32"/>
          <w:szCs w:val="32"/>
        </w:rPr>
      </w:pPr>
    </w:p>
    <w:p>
      <w:pPr>
        <w:spacing w:line="400" w:lineRule="exact"/>
        <w:ind w:firstLine="2088" w:firstLineChars="650"/>
        <w:rPr>
          <w:rFonts w:ascii="宋体" w:hAnsi="宋体" w:cs="宋体"/>
          <w:b/>
          <w:bCs/>
          <w:color w:val="2E75B5" w:themeColor="accent1" w:themeShade="BF"/>
          <w:sz w:val="32"/>
          <w:szCs w:val="32"/>
        </w:rPr>
      </w:pPr>
      <w:r>
        <w:rPr>
          <w:rFonts w:hint="eastAsia" w:ascii="宋体" w:hAnsi="宋体" w:cs="宋体"/>
          <w:b/>
          <w:bCs/>
          <w:color w:val="2E75B5" w:themeColor="accent1" w:themeShade="BF"/>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黑体" w:hAnsi="宋体" w:eastAsia="黑体"/>
          <w:color w:val="000000"/>
          <w:kern w:val="0"/>
          <w:sz w:val="32"/>
          <w:szCs w:val="32"/>
        </w:rPr>
      </w:pPr>
      <w:r>
        <w:rPr>
          <w:rFonts w:hint="eastAsia" w:ascii="黑体" w:hAnsi="宋体" w:eastAsia="黑体"/>
          <w:color w:val="000000"/>
          <w:kern w:val="0"/>
          <w:sz w:val="32"/>
          <w:szCs w:val="32"/>
        </w:rPr>
        <w:t>第四部分 专业名词解释</w:t>
      </w:r>
    </w:p>
    <w:p>
      <w:pPr>
        <w:jc w:val="center"/>
        <w:rPr>
          <w:rFonts w:ascii="宋体" w:hAnsi="宋体" w:cs="宋体"/>
          <w:b/>
          <w:bCs/>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1、宣传和贯彻执行党的路线、方针、政策和上级党组织及本街道党委(或党员大会)的决议。</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2、领导本机关和群众组织，支持和保证这些机关和组织依照国家法律法规及各自章程充分行使职权。</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3、服从和服务于经济建设的职能。</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加强街道党委自身建设和以党支部为核心的村级组织建设。按照干部管理权限，负责对机关干部的教育、管理、选拔和监督工作，提高干部队伍素质，严格党的组织生活，维护和执行党的纪律，监督党员切实履行义务，保障党员的权利不受侵犯。</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5、密切联系群众，经常了解群众对党员干部工作的批评和意见，维护群众的正当权利和利益。</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6、对要求入党的积极分子进行教育和培养，做好经常性的发展党员工作，重视在农村基层工作的青年和妇女中发展党员。</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7、完成县委、县政府交给的其他工作任务。</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（二）街道办职能</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1、执行上级国家行政机关的决定、命令和国家制定的法令、法规，接受同级党委的领导，执行本级人民代表大会的各项决议，并报告执行决议、决定和命令的情况。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制定和组织实施经济、科技和社会发展计划，制定资源开发技术改造和产业结构调整方案，组织指导好各业生产，搞好商品流通，协调好街道办与对外的经济交流与合作，抓好招商引资，人才引进项目开发，不断培育市场体系，组织经济运行，促进经济发展。</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3、制定并组织实施街道办及各行政村的建设规划，部署重点工程建设，地方道路建设及公共设施、水利设施的管理，负责土地、林木、水等自然资源和生态环境的保护，做好护林防火工作。</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4、负责本辖区内的民政、计划生育、文化教育、卫生、体育等社会公益事业的综合性工作，维护一切经济单位和个人的正当经济权益，取缔非法经济活动，调解和处理民事纠纷，打击刑事犯罪维护社会稳定。</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5、加强街道办财政的监督和管理，按计划组织、管理街道办财政收入和支出，执行国家有关财经纪律和政策，保证国家财政收入的完成;做好统计工作。</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6、抓好精神文明建设，丰富群众文化生活，提倡移风易俗，反对封建迷信，破除陈规陋习，树立社会主义新风尚。</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7、指导、支持、帮助村(居)民委员会的组织制度建设和业务建设，促进村(居)民委员会民主自治。</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8、完成县政府、街道党委交办的其它事项。</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根据上述职责，张家畔街道设置6个党政机构，5个事业单位，其机构名称如下∶</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（一）党政机构</w:t>
      </w:r>
    </w:p>
    <w:p>
      <w:pPr>
        <w:widowControl/>
        <w:ind w:left="15" w:leftChars="7" w:firstLine="620" w:firstLineChars="1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设置党政办公室、人大工作委员会办公室、城市管理办公室、社会事务管理办公室、维护稳定办公室、宣传科教文卫办公室6个党政机构。</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(二）事业机构</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设置河东社区服务中心、南关社区服务中心、西大街社区服务中心、北大街社区服务中心、退役军人服务站5个事业机构。</w:t>
      </w:r>
    </w:p>
    <w:p>
      <w:pPr>
        <w:widowControl/>
        <w:ind w:firstLine="640" w:firstLineChars="200"/>
        <w:jc w:val="left"/>
        <w:rPr>
          <w:rFonts w:ascii="黑体" w:hAnsi="宋体" w:eastAsia="黑体"/>
          <w:color w:val="000000"/>
          <w:kern w:val="0"/>
          <w:sz w:val="32"/>
          <w:szCs w:val="32"/>
        </w:rPr>
      </w:pP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color w:val="2E75B5" w:themeColor="accent1" w:themeShade="BF"/>
          <w:sz w:val="32"/>
          <w:szCs w:val="32"/>
        </w:rPr>
        <w:t>3</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color w:val="2E75B5" w:themeColor="accent1" w:themeShade="BF"/>
          <w:sz w:val="32"/>
          <w:szCs w:val="32"/>
        </w:rPr>
        <w:t>2</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p>
      <w:pPr>
        <w:ind w:firstLine="640"/>
        <w:rPr>
          <w:rFonts w:ascii="仿宋_GB2312" w:hAnsi="仿宋_GB2312" w:eastAsia="仿宋_GB2312" w:cs="仿宋_GB2312"/>
          <w:sz w:val="32"/>
          <w:szCs w:val="32"/>
        </w:rPr>
      </w:pP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靖边县张家畔镇党政综合办公室（本级）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靖边县张家畔镇财政所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靖边县张家畔镇农业综合服务站</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截止2019年底，本部门人员编制208人，其中行政编制55人、事业编制153人；实有人员239人，其中行政50人、事业189人。本单位管理的离退休人员2人。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881880" cy="2957830"/>
            <wp:effectExtent l="4445" t="4445" r="571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我单位无基金预算支出</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18"/>
                <w:szCs w:val="18"/>
              </w:rPr>
              <w:t>5,775.62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3,426.46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971.30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5,775.62</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firstLine="180" w:firstLineChars="100"/>
              <w:jc w:val="right"/>
              <w:rPr>
                <w:rFonts w:ascii="宋体" w:hAnsi="宋体" w:cs="宋体"/>
                <w:b/>
                <w:color w:val="000000"/>
                <w:sz w:val="18"/>
                <w:szCs w:val="18"/>
              </w:rPr>
            </w:pPr>
            <w:r>
              <w:rPr>
                <w:rFonts w:hint="eastAsia" w:ascii="宋体" w:hAnsi="宋体" w:cs="宋体"/>
                <w:color w:val="000000"/>
                <w:kern w:val="0"/>
                <w:sz w:val="18"/>
                <w:szCs w:val="18"/>
              </w:rPr>
              <w:t>5,775.62</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结余分配</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8"/>
                <w:szCs w:val="18"/>
              </w:rPr>
            </w:pPr>
            <w:r>
              <w:rPr>
                <w:rFonts w:hint="eastAsia" w:ascii="宋体" w:hAnsi="宋体" w:cs="宋体"/>
                <w:b/>
                <w:color w:val="000000"/>
                <w:sz w:val="18"/>
                <w:szCs w:val="18"/>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 w:val="18"/>
                <w:szCs w:val="18"/>
              </w:rPr>
            </w:pPr>
            <w:r>
              <w:rPr>
                <w:rFonts w:hint="eastAsia" w:ascii="宋体" w:hAnsi="宋体" w:cs="宋体"/>
                <w:bCs/>
                <w:color w:val="000000"/>
                <w:sz w:val="18"/>
                <w:szCs w:val="18"/>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 w:val="18"/>
                <w:szCs w:val="18"/>
              </w:rPr>
            </w:pPr>
            <w:r>
              <w:rPr>
                <w:rFonts w:hint="eastAsia" w:ascii="宋体" w:hAnsi="宋体" w:cs="宋体"/>
                <w:b/>
                <w:color w:val="000000"/>
                <w:sz w:val="18"/>
                <w:szCs w:val="18"/>
              </w:rPr>
              <w:t>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5,775.62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ind w:firstLine="180" w:firstLineChars="100"/>
              <w:jc w:val="right"/>
              <w:rPr>
                <w:rFonts w:ascii="宋体" w:hAnsi="宋体" w:cs="宋体"/>
                <w:b/>
                <w:color w:val="000000"/>
                <w:sz w:val="18"/>
                <w:szCs w:val="18"/>
              </w:rPr>
            </w:pPr>
            <w:r>
              <w:rPr>
                <w:rFonts w:hint="eastAsia" w:ascii="宋体" w:hAnsi="宋体" w:cs="宋体"/>
                <w:color w:val="000000"/>
                <w:kern w:val="0"/>
                <w:sz w:val="18"/>
                <w:szCs w:val="18"/>
              </w:rPr>
              <w:t>5,775.62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sectPr>
          <w:footerReference r:id="rId3" w:type="default"/>
          <w:pgSz w:w="11906" w:h="16838"/>
          <w:pgMar w:top="1985" w:right="1474" w:bottom="1985" w:left="1588"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金额单位：万元</w:t>
      </w:r>
    </w:p>
    <w:tbl>
      <w:tblPr>
        <w:tblStyle w:val="7"/>
        <w:tblW w:w="12620" w:type="dxa"/>
        <w:tblInd w:w="0" w:type="dxa"/>
        <w:tblLayout w:type="fixed"/>
        <w:tblCellMar>
          <w:top w:w="15" w:type="dxa"/>
          <w:left w:w="15" w:type="dxa"/>
          <w:bottom w:w="15" w:type="dxa"/>
          <w:right w:w="15" w:type="dxa"/>
        </w:tblCellMar>
      </w:tblPr>
      <w:tblGrid>
        <w:gridCol w:w="927"/>
        <w:gridCol w:w="3442"/>
        <w:gridCol w:w="1455"/>
        <w:gridCol w:w="1256"/>
        <w:gridCol w:w="989"/>
        <w:gridCol w:w="844"/>
        <w:gridCol w:w="878"/>
        <w:gridCol w:w="756"/>
        <w:gridCol w:w="788"/>
        <w:gridCol w:w="1285"/>
      </w:tblGrid>
      <w:tr>
        <w:tblPrEx>
          <w:tblCellMar>
            <w:top w:w="15" w:type="dxa"/>
            <w:left w:w="15" w:type="dxa"/>
            <w:bottom w:w="15" w:type="dxa"/>
            <w:right w:w="15" w:type="dxa"/>
          </w:tblCellMar>
        </w:tblPrEx>
        <w:trPr>
          <w:trHeight w:val="439" w:hRule="atLeast"/>
        </w:trPr>
        <w:tc>
          <w:tcPr>
            <w:tcW w:w="4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2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44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 收费</w:t>
            </w: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283" w:hRule="atLeast"/>
        </w:trPr>
        <w:tc>
          <w:tcPr>
            <w:tcW w:w="43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5,775.62</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2"/>
                <w:szCs w:val="22"/>
              </w:rPr>
              <w:t>5,775.62</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3,426.46</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3,426.46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2010101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3,151.25</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3,151.25</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2010399</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其他政府办公厅（室）及相关机构事务支出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2,473.45</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2,473.45</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2010603</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机关服务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20123</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民族事务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2012399</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其他民族事务支出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文化旅游体育与传媒支出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20701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文化和旅游</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2070109</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群众文化</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20801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人力资源和社会保障管理事务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2080105</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劳动保障监察</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2100799</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其他计划生育事务支出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21011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行政事业单位医疗</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2101101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行政单位医疗</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2101102</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事业单位医疗</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城乡社区支出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21201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城乡社区管理事务</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2120199</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其他城乡社区管理事务支出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971.30</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971.30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农业</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2130112</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农业行业业务管理</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21307</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农村综合改革</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2130705</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对村民委员会和村党支部的补助</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208.71</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208.71</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2130799</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其他农村综合改革支出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221.85</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221.85</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344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2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tabs>
          <w:tab w:val="left" w:pos="10054"/>
        </w:tabs>
        <w:jc w:val="left"/>
        <w:sectPr>
          <w:pgSz w:w="16838" w:h="11906" w:orient="landscape"/>
          <w:pgMar w:top="1588" w:right="1985" w:bottom="1474" w:left="1985" w:header="851" w:footer="992" w:gutter="0"/>
          <w:cols w:space="0" w:num="1"/>
          <w:titlePg/>
          <w:docGrid w:type="lines" w:linePitch="315" w:charSpace="0"/>
        </w:sectPr>
      </w:pPr>
      <w:r>
        <w:rPr>
          <w:rFonts w:hint="eastAsia"/>
        </w:rPr>
        <w:tab/>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 xml:space="preserve">   金额单位：万元</w:t>
      </w:r>
    </w:p>
    <w:tbl>
      <w:tblPr>
        <w:tblStyle w:val="7"/>
        <w:tblW w:w="12669" w:type="dxa"/>
        <w:tblInd w:w="0" w:type="dxa"/>
        <w:tblLayout w:type="fixed"/>
        <w:tblCellMar>
          <w:top w:w="15" w:type="dxa"/>
          <w:left w:w="15" w:type="dxa"/>
          <w:bottom w:w="15" w:type="dxa"/>
          <w:right w:w="15" w:type="dxa"/>
        </w:tblCellMar>
      </w:tblPr>
      <w:tblGrid>
        <w:gridCol w:w="914"/>
        <w:gridCol w:w="466"/>
        <w:gridCol w:w="3433"/>
        <w:gridCol w:w="2061"/>
        <w:gridCol w:w="1684"/>
        <w:gridCol w:w="1233"/>
        <w:gridCol w:w="878"/>
        <w:gridCol w:w="911"/>
        <w:gridCol w:w="1089"/>
      </w:tblGrid>
      <w:tr>
        <w:tblPrEx>
          <w:tblCellMar>
            <w:top w:w="15" w:type="dxa"/>
            <w:left w:w="15" w:type="dxa"/>
            <w:bottom w:w="15" w:type="dxa"/>
            <w:right w:w="15" w:type="dxa"/>
          </w:tblCellMar>
        </w:tblPrEx>
        <w:trPr>
          <w:trHeight w:val="372" w:hRule="atLeast"/>
        </w:trPr>
        <w:tc>
          <w:tcPr>
            <w:tcW w:w="48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2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283" w:hRule="atLeast"/>
        </w:trPr>
        <w:tc>
          <w:tcPr>
            <w:tcW w:w="48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5,775.62</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3,722.77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2,052.85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3,426.46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1,804.17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1,622.29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人大事务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2010101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20103</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政府办公厅（室）及相关机构事务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3,151.25</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1,528.96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1,622.29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2010301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2010399</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其他政府办公厅（室）及相关机构事务支出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2,473.45</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851.16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1,622.29</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20106</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财政事务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2010603</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机关服务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20123</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民族事务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2012399</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其他民族事务支出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20131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党委办公厅（室）及相关机构事务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2013101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207</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文化旅游体育与传媒支出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20701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文化和旅游</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2070109</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群众文化</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20801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人力资源和社会保障管理事务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2080105</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劳动保障监察</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20805</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行政事业单位离退休</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2080505</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21007</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计划生育事务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2100799</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其他计划生育事务支出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21011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2101101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2101102</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城乡社区支出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21201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城乡社区管理事务</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2120199</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其他城乡社区管理事务支出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213</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971.30</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21301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农业</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2130112</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农业行业业务管理</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21307</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农村综合改革</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2130705</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对村民委员会和村党支部的补助</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208.71</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208.71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2130799</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其他农村综合改革支出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221.85</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221.85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389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6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tabs>
          <w:tab w:val="left" w:pos="10054"/>
        </w:tabs>
        <w:jc w:val="left"/>
        <w:sectPr>
          <w:pgSz w:w="16838" w:h="11906" w:orient="landscape"/>
          <w:pgMar w:top="1588" w:right="1985" w:bottom="1474" w:left="1985"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 xml:space="preserve"> 金额单位：万元</w:t>
      </w:r>
    </w:p>
    <w:tbl>
      <w:tblPr>
        <w:tblStyle w:val="7"/>
        <w:tblW w:w="12813" w:type="dxa"/>
        <w:tblInd w:w="0" w:type="dxa"/>
        <w:tblLayout w:type="fixed"/>
        <w:tblCellMar>
          <w:top w:w="15" w:type="dxa"/>
          <w:left w:w="15" w:type="dxa"/>
          <w:bottom w:w="15" w:type="dxa"/>
          <w:right w:w="15" w:type="dxa"/>
        </w:tblCellMar>
      </w:tblPr>
      <w:tblGrid>
        <w:gridCol w:w="2552"/>
        <w:gridCol w:w="1917"/>
        <w:gridCol w:w="2589"/>
        <w:gridCol w:w="1955"/>
        <w:gridCol w:w="2111"/>
        <w:gridCol w:w="1689"/>
      </w:tblGrid>
      <w:tr>
        <w:tblPrEx>
          <w:tblCellMar>
            <w:top w:w="15" w:type="dxa"/>
            <w:left w:w="15" w:type="dxa"/>
            <w:bottom w:w="15" w:type="dxa"/>
            <w:right w:w="15" w:type="dxa"/>
          </w:tblCellMar>
        </w:tblPrEx>
        <w:trPr>
          <w:trHeight w:val="183" w:hRule="atLeast"/>
        </w:trPr>
        <w:tc>
          <w:tcPr>
            <w:tcW w:w="44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834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33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1、一般公共预算财政拨款</w:t>
            </w: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5775.62</w:t>
            </w: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1、一般公共服务支出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3,426.46</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3,426.46</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2、政府性基金预算财政拨款</w:t>
            </w: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2、外交支出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3、国有资本经营预算收入</w:t>
            </w: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0</w:t>
            </w: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3、国防支出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4、公共安全支出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5、教育支出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6、科学技术支出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7、</w:t>
            </w:r>
            <w:r>
              <w:rPr>
                <w:rFonts w:hint="eastAsia" w:ascii="宋体" w:hAnsi="宋体" w:cs="宋体"/>
                <w:color w:val="000000"/>
                <w:spacing w:val="-11"/>
                <w:w w:val="98"/>
                <w:kern w:val="0"/>
                <w:sz w:val="20"/>
                <w:szCs w:val="20"/>
              </w:rPr>
              <w:t>文化旅游体育与传媒支出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74.93</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74.93</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8、社会保障和就业支出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340.18</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340.18</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9、卫生健康支出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535.35</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535.35</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10、节能环保支出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11、城乡社区支出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228.47</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228.47</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12、农林水支出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971.30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971.30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13、交通运输支出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14、资源勘探信息等支出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15、商业服务业等支出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16、金融支出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17、援助其他地区支出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18、</w:t>
            </w:r>
            <w:r>
              <w:rPr>
                <w:rFonts w:hint="eastAsia" w:ascii="宋体" w:hAnsi="宋体" w:cs="宋体"/>
                <w:color w:val="000000"/>
                <w:spacing w:val="-11"/>
                <w:w w:val="98"/>
                <w:kern w:val="0"/>
                <w:sz w:val="20"/>
                <w:szCs w:val="20"/>
              </w:rPr>
              <w:t>自然资源海洋气象等支出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19、住房保障支出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198.94</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198.94</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w:t>
            </w: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20、粮油物资储备支出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21、灾害防治及应急管理支出</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18"/>
                <w:szCs w:val="18"/>
              </w:rPr>
              <w:t>0.00</w:t>
            </w:r>
          </w:p>
        </w:tc>
        <w:tc>
          <w:tcPr>
            <w:tcW w:w="16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22、其他支出</w:t>
            </w:r>
          </w:p>
        </w:tc>
        <w:tc>
          <w:tcPr>
            <w:tcW w:w="195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 w:val="18"/>
                <w:szCs w:val="18"/>
              </w:rPr>
              <w:t>0.00</w:t>
            </w:r>
          </w:p>
        </w:tc>
        <w:tc>
          <w:tcPr>
            <w:tcW w:w="2111"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Cs w:val="21"/>
              </w:rPr>
            </w:pPr>
            <w:r>
              <w:rPr>
                <w:rFonts w:hint="eastAsia" w:ascii="宋体" w:hAnsi="宋体" w:cs="宋体"/>
                <w:color w:val="000000"/>
                <w:kern w:val="0"/>
                <w:sz w:val="18"/>
                <w:szCs w:val="18"/>
              </w:rPr>
              <w:t>0.00</w:t>
            </w:r>
          </w:p>
        </w:tc>
        <w:tc>
          <w:tcPr>
            <w:tcW w:w="16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本年收入合计</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szCs w:val="21"/>
              </w:rPr>
              <w:t>5775.62</w:t>
            </w: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本年支出合计</w:t>
            </w:r>
          </w:p>
        </w:tc>
        <w:tc>
          <w:tcPr>
            <w:tcW w:w="195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color w:val="000000"/>
                <w:szCs w:val="21"/>
              </w:rPr>
              <w:t>5775.62</w:t>
            </w:r>
          </w:p>
        </w:tc>
        <w:tc>
          <w:tcPr>
            <w:tcW w:w="211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color w:val="000000"/>
                <w:szCs w:val="21"/>
              </w:rPr>
              <w:t>5775.62</w:t>
            </w:r>
          </w:p>
        </w:tc>
        <w:tc>
          <w:tcPr>
            <w:tcW w:w="16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color w:val="000000"/>
                <w:szCs w:val="21"/>
              </w:rPr>
              <w:t>0</w:t>
            </w: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年初财政拨款结转和结余</w:t>
            </w: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color w:val="000000"/>
                <w:kern w:val="0"/>
                <w:sz w:val="20"/>
                <w:szCs w:val="20"/>
              </w:rPr>
              <w:t>年末财政拨款结转和结余</w:t>
            </w:r>
          </w:p>
        </w:tc>
        <w:tc>
          <w:tcPr>
            <w:tcW w:w="1955"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211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6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 w:val="20"/>
                <w:szCs w:val="20"/>
              </w:rPr>
            </w:pPr>
            <w:r>
              <w:rPr>
                <w:rFonts w:hint="eastAsia" w:ascii="宋体" w:hAnsi="宋体" w:cs="宋体"/>
                <w:color w:val="000000"/>
                <w:kern w:val="0"/>
                <w:sz w:val="20"/>
                <w:szCs w:val="20"/>
              </w:rPr>
              <w:t>1、一般公共预算财政拨款</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p>
        </w:tc>
        <w:tc>
          <w:tcPr>
            <w:tcW w:w="1955"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211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6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 w:val="20"/>
                <w:szCs w:val="20"/>
              </w:rPr>
            </w:pPr>
            <w:r>
              <w:rPr>
                <w:rFonts w:hint="eastAsia" w:ascii="宋体" w:hAnsi="宋体" w:cs="宋体"/>
                <w:color w:val="000000"/>
                <w:kern w:val="0"/>
                <w:sz w:val="20"/>
                <w:szCs w:val="20"/>
              </w:rPr>
              <w:t>2、政府性基金预算财政拨款</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p>
        </w:tc>
        <w:tc>
          <w:tcPr>
            <w:tcW w:w="1955"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211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6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收入总计</w:t>
            </w:r>
          </w:p>
        </w:tc>
        <w:tc>
          <w:tcPr>
            <w:tcW w:w="19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20"/>
                <w:szCs w:val="20"/>
              </w:rPr>
            </w:pPr>
            <w:r>
              <w:rPr>
                <w:rFonts w:hint="eastAsia" w:ascii="宋体" w:hAnsi="宋体" w:cs="宋体"/>
                <w:b/>
                <w:color w:val="000000"/>
                <w:szCs w:val="21"/>
              </w:rPr>
              <w:t>5775.62</w:t>
            </w:r>
          </w:p>
        </w:tc>
        <w:tc>
          <w:tcPr>
            <w:tcW w:w="2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支出总计</w:t>
            </w:r>
          </w:p>
        </w:tc>
        <w:tc>
          <w:tcPr>
            <w:tcW w:w="1955"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r>
              <w:rPr>
                <w:rFonts w:hint="eastAsia" w:ascii="宋体" w:hAnsi="宋体" w:cs="宋体"/>
                <w:b/>
                <w:color w:val="000000"/>
                <w:szCs w:val="21"/>
              </w:rPr>
              <w:t>5775.62</w:t>
            </w:r>
          </w:p>
        </w:tc>
        <w:tc>
          <w:tcPr>
            <w:tcW w:w="211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color w:val="000000"/>
                <w:szCs w:val="21"/>
              </w:rPr>
              <w:t>5775.62</w:t>
            </w:r>
          </w:p>
        </w:tc>
        <w:tc>
          <w:tcPr>
            <w:tcW w:w="168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color w:val="000000"/>
                <w:szCs w:val="21"/>
              </w:rPr>
              <w:t>0</w:t>
            </w:r>
          </w:p>
        </w:tc>
      </w:tr>
    </w:tbl>
    <w:p>
      <w:pPr>
        <w:jc w:val="left"/>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tabs>
          <w:tab w:val="left" w:pos="10054"/>
        </w:tabs>
        <w:jc w:val="left"/>
        <w:sectPr>
          <w:pgSz w:w="16838" w:h="11906" w:orient="landscape"/>
          <w:pgMar w:top="1588" w:right="1985" w:bottom="1474" w:left="1985"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 xml:space="preserve">  金额单位：万元</w:t>
      </w:r>
    </w:p>
    <w:tbl>
      <w:tblPr>
        <w:tblStyle w:val="7"/>
        <w:tblW w:w="12769" w:type="dxa"/>
        <w:tblInd w:w="0" w:type="dxa"/>
        <w:tblLayout w:type="fixed"/>
        <w:tblCellMar>
          <w:top w:w="15" w:type="dxa"/>
          <w:left w:w="15" w:type="dxa"/>
          <w:bottom w:w="15" w:type="dxa"/>
          <w:right w:w="15" w:type="dxa"/>
        </w:tblCellMar>
      </w:tblPr>
      <w:tblGrid>
        <w:gridCol w:w="1170"/>
        <w:gridCol w:w="3477"/>
        <w:gridCol w:w="1533"/>
        <w:gridCol w:w="1300"/>
        <w:gridCol w:w="1155"/>
        <w:gridCol w:w="1367"/>
        <w:gridCol w:w="1433"/>
        <w:gridCol w:w="1334"/>
      </w:tblGrid>
      <w:tr>
        <w:tblPrEx>
          <w:tblCellMar>
            <w:top w:w="15" w:type="dxa"/>
            <w:left w:w="15" w:type="dxa"/>
            <w:bottom w:w="15" w:type="dxa"/>
            <w:right w:w="15" w:type="dxa"/>
          </w:tblCellMar>
        </w:tblPrEx>
        <w:trPr>
          <w:trHeight w:val="414" w:hRule="atLeast"/>
        </w:trPr>
        <w:tc>
          <w:tcPr>
            <w:tcW w:w="4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5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3822"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3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4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5,775.62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3,722.77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2,850.13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872.64</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2,052.85</w:t>
            </w:r>
          </w:p>
        </w:tc>
        <w:tc>
          <w:tcPr>
            <w:tcW w:w="13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一般公共服务支出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3,426.46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1,804.17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931.53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872.64</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1,622.29</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人大事务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8.18</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0.78</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2010101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行政运行</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8.18</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0.78</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20103</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政府办公厅（室）及相关机构事务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3,151.25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1,528.96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851.16</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1,622.29</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2010301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行政运行</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677.80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2010399</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其他政府办公厅（室）及相关机构事务支出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2,473.45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851.16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851.16</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1,622.29</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20106</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财政事务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207.77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2010603</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机关服务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226.97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207.77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19.20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20123</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民族事务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2012399</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其他民族事务支出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20131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党委办公厅（室）及相关机构事务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2013101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行政运行</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207</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文化旅游体育与传媒支出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20701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文化和旅游</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2070109</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群众文化</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74.93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208</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社会保障和就业支出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340.18</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20801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人力资源和社会保障管理事务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2080105</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劳动保障监察</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20805</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行政事业单位离退休</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2080505</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机关事业单位基本养老保险缴费支出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266.54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210</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卫生健康支出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535.35</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21007</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计划生育事务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2100799</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其他计划生育事务支出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384.39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21011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行政事业单位医疗</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150.96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2101101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行政单位医疗</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34.62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2101102</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事业单位医疗</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116.34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212</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城乡社区支出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21201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城乡社区管理事务</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2120199</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其他城乡社区管理事务支出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228.47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213</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农林水支出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971.30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21301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农业</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2130112</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农业行业业务管理</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540.74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21307</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农村综合改革</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430.56</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2130705</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对村民委员会和村党支部的补助</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208.71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208.71</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2130799</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其他农村综合改革支出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221.85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221.85</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221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住房保障支出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22102</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住房改革支出</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28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2210201</w:t>
            </w:r>
          </w:p>
        </w:tc>
        <w:tc>
          <w:tcPr>
            <w:tcW w:w="34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住房公积金</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198.94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tabs>
          <w:tab w:val="left" w:pos="10054"/>
        </w:tabs>
        <w:jc w:val="left"/>
        <w:sectPr>
          <w:pgSz w:w="16838" w:h="11906" w:orient="landscape"/>
          <w:pgMar w:top="1588" w:right="1985" w:bottom="1474" w:left="1985" w:header="851" w:footer="992" w:gutter="0"/>
          <w:cols w:space="0" w:num="1"/>
          <w:titlePg/>
          <w:docGrid w:type="lines" w:linePitch="315" w:charSpace="0"/>
        </w:sectPr>
      </w:pPr>
    </w:p>
    <w:p>
      <w:pPr>
        <w:ind w:firstLine="2249" w:firstLineChars="700"/>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金额单位：万元</w:t>
      </w:r>
    </w:p>
    <w:tbl>
      <w:tblPr>
        <w:tblStyle w:val="7"/>
        <w:tblW w:w="12747" w:type="dxa"/>
        <w:tblInd w:w="0" w:type="dxa"/>
        <w:tblLayout w:type="fixed"/>
        <w:tblCellMar>
          <w:top w:w="15" w:type="dxa"/>
          <w:left w:w="15" w:type="dxa"/>
          <w:bottom w:w="15" w:type="dxa"/>
          <w:right w:w="15" w:type="dxa"/>
        </w:tblCellMar>
      </w:tblPr>
      <w:tblGrid>
        <w:gridCol w:w="1157"/>
        <w:gridCol w:w="4745"/>
        <w:gridCol w:w="1711"/>
        <w:gridCol w:w="1922"/>
        <w:gridCol w:w="1856"/>
        <w:gridCol w:w="1356"/>
      </w:tblGrid>
      <w:tr>
        <w:tblPrEx>
          <w:tblCellMar>
            <w:top w:w="15" w:type="dxa"/>
            <w:left w:w="15" w:type="dxa"/>
            <w:bottom w:w="15" w:type="dxa"/>
            <w:right w:w="15" w:type="dxa"/>
          </w:tblCellMar>
        </w:tblPrEx>
        <w:trPr>
          <w:trHeight w:val="434" w:hRule="atLeast"/>
        </w:trPr>
        <w:tc>
          <w:tcPr>
            <w:tcW w:w="59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7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170" w:hRule="atLeast"/>
        </w:trPr>
        <w:tc>
          <w:tcPr>
            <w:tcW w:w="5902"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711" w:type="dxa"/>
            <w:tcBorders>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3,722.77</w:t>
            </w:r>
          </w:p>
        </w:tc>
        <w:tc>
          <w:tcPr>
            <w:tcW w:w="1922" w:type="dxa"/>
            <w:tcBorders>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2850.13</w:t>
            </w:r>
          </w:p>
        </w:tc>
        <w:tc>
          <w:tcPr>
            <w:tcW w:w="1856" w:type="dxa"/>
            <w:tcBorders>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872.64</w:t>
            </w:r>
          </w:p>
        </w:tc>
        <w:tc>
          <w:tcPr>
            <w:tcW w:w="1356" w:type="dxa"/>
            <w:tcBorders>
              <w:left w:val="single" w:color="000000" w:sz="4" w:space="0"/>
              <w:bottom w:val="single" w:color="000000" w:sz="4" w:space="0"/>
              <w:right w:val="single" w:color="000000" w:sz="4" w:space="0"/>
            </w:tcBorders>
            <w:vAlign w:val="center"/>
          </w:tcPr>
          <w:p>
            <w:pPr>
              <w:rPr>
                <w:rFonts w:ascii="宋体" w:hAnsi="宋体" w:cs="宋体"/>
                <w:b/>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2,784.54</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2,784.54</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1,131.24</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1,131.24</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647.67</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647.67</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奖金</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64.17</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64.17</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30106</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伙食补助费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30107</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绩效工资</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325.03</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325.03</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266.54</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266.54</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职业年金缴费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职工基本医疗保险缴费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150.96</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150.96</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30111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公务员医疗补助缴费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其他社会保障缴费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198.94</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198.94</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30114</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医疗费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30199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其他工资福利支出</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872.64</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872.64</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72.77</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72.77</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30202</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印刷费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11.47</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11.47</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30203</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咨询费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30204</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手续费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3.99</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3.99</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30205</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9.46</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9.46</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30206</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18.72</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18.72</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30207</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邮电费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8.97</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8.97</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30208</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取暖费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18.82</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18.82</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30209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物业管理费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18.73</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18.73</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30212</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因公出国（境）费用</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30213</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维修（护）费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50.50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50.50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30214</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租赁费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30215</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会议费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30216</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培训费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30217</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4.50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4.50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30218</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30224</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30225</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30226</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419.59</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419.59</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30227</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24.18</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24.18</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30228</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30229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30231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9.75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9.75</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30239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26.34</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26.34</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30240</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30299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174.85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174.85</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65.59</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65.59</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30301</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离休费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40.99</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40.99</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30302</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30303</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退职（役）费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30304</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抚恤金</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30305</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16.92</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16.92</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30306</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救济费</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30307</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7.69</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30308</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助学金</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30309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30310</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个人农业生产补贴</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30399</w:t>
            </w:r>
          </w:p>
        </w:tc>
        <w:tc>
          <w:tcPr>
            <w:tcW w:w="47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其他对个人和家庭的补助</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2"/>
                <w:szCs w:val="22"/>
              </w:rPr>
              <w:t>0.00</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tabs>
          <w:tab w:val="left" w:pos="10054"/>
        </w:tabs>
        <w:jc w:val="left"/>
        <w:sectPr>
          <w:pgSz w:w="16838" w:h="11906" w:orient="landscape"/>
          <w:pgMar w:top="1588" w:right="1985" w:bottom="1474" w:left="1985"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 xml:space="preserve">  金额单位：万元</w:t>
      </w:r>
    </w:p>
    <w:tbl>
      <w:tblPr>
        <w:tblStyle w:val="7"/>
        <w:tblW w:w="12747" w:type="dxa"/>
        <w:tblInd w:w="0" w:type="dxa"/>
        <w:tblLayout w:type="fixed"/>
        <w:tblCellMar>
          <w:top w:w="15" w:type="dxa"/>
          <w:left w:w="15" w:type="dxa"/>
          <w:bottom w:w="15" w:type="dxa"/>
          <w:right w:w="15" w:type="dxa"/>
        </w:tblCellMar>
      </w:tblPr>
      <w:tblGrid>
        <w:gridCol w:w="1079"/>
        <w:gridCol w:w="1191"/>
        <w:gridCol w:w="1060"/>
        <w:gridCol w:w="1230"/>
        <w:gridCol w:w="1830"/>
        <w:gridCol w:w="1750"/>
        <w:gridCol w:w="1970"/>
        <w:gridCol w:w="1450"/>
        <w:gridCol w:w="1187"/>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03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14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11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55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14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14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14.48</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4.7</w:t>
            </w:r>
          </w:p>
        </w:tc>
        <w:tc>
          <w:tcPr>
            <w:tcW w:w="1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9.78</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c>
          <w:tcPr>
            <w:tcW w:w="19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9.78</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14.25</w:t>
            </w:r>
          </w:p>
        </w:tc>
        <w:tc>
          <w:tcPr>
            <w:tcW w:w="10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ascii="宋体" w:hAnsi="宋体" w:cs="宋体"/>
                <w:b/>
                <w:color w:val="000000"/>
                <w:szCs w:val="21"/>
              </w:rPr>
              <w:t>4.5</w:t>
            </w:r>
          </w:p>
        </w:tc>
        <w:tc>
          <w:tcPr>
            <w:tcW w:w="1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9.75</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c>
          <w:tcPr>
            <w:tcW w:w="19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9.75</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tabs>
          <w:tab w:val="left" w:pos="10054"/>
        </w:tabs>
        <w:jc w:val="left"/>
        <w:sectPr>
          <w:pgSz w:w="16838" w:h="11906" w:orient="landscape"/>
          <w:pgMar w:top="1588" w:right="1985" w:bottom="1474" w:left="1985"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2E75B5" w:themeColor="accent1" w:themeShade="BF"/>
          <w:szCs w:val="21"/>
        </w:rPr>
        <w:t>编制部门：靖边县张家畔镇人民政府</w:t>
      </w:r>
      <w:r>
        <w:rPr>
          <w:rFonts w:hint="eastAsia" w:ascii="宋体" w:hAnsi="宋体" w:cs="宋体"/>
          <w:b/>
          <w:bCs/>
          <w:szCs w:val="21"/>
        </w:rPr>
        <w:t>金额单位：万元</w:t>
      </w:r>
    </w:p>
    <w:tbl>
      <w:tblPr>
        <w:tblStyle w:val="7"/>
        <w:tblW w:w="12920" w:type="dxa"/>
        <w:tblInd w:w="0" w:type="dxa"/>
        <w:tblLayout w:type="fixed"/>
        <w:tblCellMar>
          <w:top w:w="15" w:type="dxa"/>
          <w:left w:w="15" w:type="dxa"/>
          <w:bottom w:w="15" w:type="dxa"/>
          <w:right w:w="15" w:type="dxa"/>
        </w:tblCellMar>
      </w:tblPr>
      <w:tblGrid>
        <w:gridCol w:w="1023"/>
        <w:gridCol w:w="1341"/>
        <w:gridCol w:w="1049"/>
        <w:gridCol w:w="990"/>
        <w:gridCol w:w="2017"/>
        <w:gridCol w:w="1770"/>
        <w:gridCol w:w="2250"/>
        <w:gridCol w:w="2480"/>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6037"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24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24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2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4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sectPr>
          <w:pgSz w:w="16838" w:h="11906" w:orient="landscape"/>
          <w:pgMar w:top="1588" w:right="1985" w:bottom="1474" w:left="1985" w:header="851" w:footer="992" w:gutter="0"/>
          <w:cols w:space="0" w:num="1"/>
          <w:titlePg/>
          <w:docGrid w:type="lines" w:linePitch="315" w:charSpace="0"/>
        </w:sect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35575" cy="3035935"/>
            <wp:effectExtent l="4445" t="4445" r="5080" b="76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w:t>
      </w:r>
      <w:r>
        <w:rPr>
          <w:rFonts w:hint="eastAsia" w:ascii="仿宋_GB2312" w:hAnsi="仿宋" w:eastAsia="仿宋_GB2312"/>
          <w:b/>
          <w:bCs/>
          <w:sz w:val="32"/>
          <w:szCs w:val="32"/>
        </w:rPr>
        <w:t>总计</w:t>
      </w:r>
      <w:r>
        <w:rPr>
          <w:rFonts w:hint="eastAsia" w:ascii="仿宋_GB2312" w:hAnsi="仿宋" w:eastAsia="仿宋_GB2312"/>
          <w:sz w:val="32"/>
          <w:szCs w:val="32"/>
        </w:rPr>
        <w:t>5775.62万元，与 2018 年收入3277.59万元相比，增加76.22%，主要原因是项目及公用经费增加。</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w:t>
      </w:r>
      <w:r>
        <w:rPr>
          <w:rFonts w:hint="eastAsia" w:ascii="仿宋_GB2312" w:hAnsi="仿宋" w:eastAsia="仿宋_GB2312"/>
          <w:b/>
          <w:bCs/>
          <w:sz w:val="32"/>
          <w:szCs w:val="32"/>
        </w:rPr>
        <w:t>总计</w:t>
      </w:r>
      <w:r>
        <w:rPr>
          <w:rFonts w:hint="eastAsia" w:ascii="仿宋_GB2312" w:hAnsi="仿宋" w:eastAsia="仿宋_GB2312"/>
          <w:sz w:val="32"/>
          <w:szCs w:val="32"/>
        </w:rPr>
        <w:t>5775.62万元，与 2018 年支出3277.59万元相比，增加76.22%，主要原因是项目及公用经费增加。</w:t>
      </w:r>
    </w:p>
    <w:p>
      <w:pPr>
        <w:widowControl/>
        <w:numPr>
          <w:ilvl w:val="0"/>
          <w:numId w:val="1"/>
        </w:numPr>
        <w:ind w:firstLine="640" w:firstLineChars="200"/>
        <w:jc w:val="left"/>
        <w:rPr>
          <w:rFonts w:ascii="黑体" w:hAnsi="黑体" w:eastAsia="黑体"/>
          <w:kern w:val="0"/>
          <w:sz w:val="32"/>
          <w:szCs w:val="32"/>
        </w:rPr>
      </w:pPr>
      <w:r>
        <w:rPr>
          <w:rFonts w:hint="eastAsia" w:ascii="黑体" w:hAnsi="黑体" w:eastAsia="黑体"/>
          <w:kern w:val="0"/>
          <w:sz w:val="32"/>
          <w:szCs w:val="32"/>
        </w:rPr>
        <w:t>收入决算情况说明</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2019</w:t>
      </w:r>
      <w:r>
        <w:rPr>
          <w:rFonts w:ascii="仿宋_GB2312" w:hAnsi="宋体" w:eastAsia="仿宋_GB2312" w:cs="仿宋_GB2312"/>
          <w:kern w:val="0"/>
          <w:sz w:val="32"/>
          <w:szCs w:val="32"/>
        </w:rPr>
        <w:t>年收入合计</w:t>
      </w:r>
      <w:r>
        <w:rPr>
          <w:rFonts w:hint="eastAsia" w:ascii="仿宋_GB2312" w:hAnsi="仿宋" w:eastAsia="仿宋_GB2312"/>
          <w:sz w:val="32"/>
          <w:szCs w:val="32"/>
        </w:rPr>
        <w:t>5775.62</w:t>
      </w:r>
      <w:r>
        <w:rPr>
          <w:rFonts w:ascii="仿宋_GB2312" w:hAnsi="宋体" w:eastAsia="仿宋_GB2312" w:cs="仿宋_GB2312"/>
          <w:kern w:val="0"/>
          <w:sz w:val="32"/>
          <w:szCs w:val="32"/>
        </w:rPr>
        <w:t>万元，其中：财政拨款收入</w:t>
      </w:r>
      <w:r>
        <w:rPr>
          <w:rFonts w:hint="eastAsia" w:ascii="仿宋_GB2312" w:hAnsi="仿宋" w:eastAsia="仿宋_GB2312"/>
          <w:sz w:val="32"/>
          <w:szCs w:val="32"/>
        </w:rPr>
        <w:t>5775.62</w:t>
      </w:r>
      <w:r>
        <w:rPr>
          <w:rFonts w:ascii="仿宋_GB2312" w:hAnsi="宋体" w:eastAsia="仿宋_GB2312" w:cs="仿宋_GB2312"/>
          <w:kern w:val="0"/>
          <w:sz w:val="32"/>
          <w:szCs w:val="32"/>
        </w:rPr>
        <w:t>万元，占收入</w:t>
      </w:r>
      <w:r>
        <w:rPr>
          <w:rFonts w:hint="eastAsia" w:ascii="仿宋_GB2312" w:hAnsi="宋体" w:eastAsia="仿宋_GB2312" w:cs="仿宋_GB2312"/>
          <w:kern w:val="0"/>
          <w:sz w:val="32"/>
          <w:szCs w:val="32"/>
        </w:rPr>
        <w:t>100</w:t>
      </w:r>
      <w:r>
        <w:rPr>
          <w:rFonts w:ascii="仿宋_GB2312" w:hAnsi="宋体" w:eastAsia="仿宋_GB2312" w:cs="仿宋_GB2312"/>
          <w:kern w:val="0"/>
          <w:sz w:val="32"/>
          <w:szCs w:val="32"/>
        </w:rPr>
        <w:t>%；其他收入</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万元，占收入</w:t>
      </w:r>
      <w:r>
        <w:rPr>
          <w:rFonts w:hint="eastAsia" w:ascii="仿宋_GB2312" w:hAnsi="宋体" w:eastAsia="仿宋_GB2312" w:cs="仿宋_GB2312"/>
          <w:kern w:val="0"/>
          <w:sz w:val="32"/>
          <w:szCs w:val="32"/>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widowControl/>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drawing>
          <wp:anchor distT="0" distB="0" distL="114300" distR="114300" simplePos="0" relativeHeight="251659264" behindDoc="0" locked="0" layoutInCell="1" allowOverlap="1">
            <wp:simplePos x="0" y="0"/>
            <wp:positionH relativeFrom="column">
              <wp:posOffset>1137285</wp:posOffset>
            </wp:positionH>
            <wp:positionV relativeFrom="paragraph">
              <wp:posOffset>143510</wp:posOffset>
            </wp:positionV>
            <wp:extent cx="3394075" cy="2168525"/>
            <wp:effectExtent l="4445" t="4445" r="5080" b="1143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w:t>
      </w:r>
      <w:r>
        <w:rPr>
          <w:rFonts w:ascii="仿宋_GB2312" w:hAnsi="宋体" w:eastAsia="仿宋_GB2312" w:cs="仿宋_GB2312"/>
          <w:kern w:val="0"/>
          <w:sz w:val="32"/>
          <w:szCs w:val="32"/>
        </w:rPr>
        <w:t>出合计</w:t>
      </w:r>
      <w:r>
        <w:rPr>
          <w:rFonts w:hint="eastAsia" w:ascii="仿宋_GB2312" w:hAnsi="仿宋" w:eastAsia="仿宋_GB2312"/>
          <w:sz w:val="32"/>
          <w:szCs w:val="32"/>
        </w:rPr>
        <w:t>5775.62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3722.77</w:t>
      </w:r>
      <w:r>
        <w:rPr>
          <w:rFonts w:ascii="仿宋_GB2312" w:hAnsi="宋体" w:eastAsia="仿宋_GB2312" w:cs="仿宋_GB2312"/>
          <w:color w:val="000000"/>
          <w:kern w:val="0"/>
          <w:sz w:val="32"/>
          <w:szCs w:val="32"/>
        </w:rPr>
        <w:t>万元，占支出</w:t>
      </w:r>
      <w:r>
        <w:rPr>
          <w:rFonts w:hint="eastAsia" w:ascii="仿宋_GB2312" w:hAnsi="宋体" w:eastAsia="仿宋_GB2312" w:cs="仿宋_GB2312"/>
          <w:color w:val="000000"/>
          <w:kern w:val="0"/>
          <w:sz w:val="32"/>
          <w:szCs w:val="32"/>
        </w:rPr>
        <w:t>64.46</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2052.85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35.54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anchor distT="0" distB="0" distL="114300" distR="114300" simplePos="0" relativeHeight="251660288" behindDoc="0" locked="0" layoutInCell="1" allowOverlap="1">
            <wp:simplePos x="0" y="0"/>
            <wp:positionH relativeFrom="column">
              <wp:posOffset>1038860</wp:posOffset>
            </wp:positionH>
            <wp:positionV relativeFrom="paragraph">
              <wp:posOffset>62865</wp:posOffset>
            </wp:positionV>
            <wp:extent cx="3790315" cy="2406650"/>
            <wp:effectExtent l="5080" t="4445" r="1460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77790" cy="2025015"/>
            <wp:effectExtent l="4445" t="4445" r="1206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2019年财政拨款收入</w:t>
      </w:r>
      <w:r>
        <w:rPr>
          <w:rFonts w:hint="eastAsia" w:ascii="仿宋_GB2312" w:hAnsi="仿宋" w:eastAsia="仿宋_GB2312"/>
          <w:b/>
          <w:bCs/>
          <w:sz w:val="32"/>
          <w:szCs w:val="32"/>
        </w:rPr>
        <w:t>总计</w:t>
      </w:r>
      <w:r>
        <w:rPr>
          <w:rFonts w:hint="eastAsia" w:ascii="仿宋_GB2312" w:hAnsi="仿宋" w:eastAsia="仿宋_GB2312"/>
          <w:sz w:val="32"/>
          <w:szCs w:val="32"/>
        </w:rPr>
        <w:t>5775.62万元，与2018年财政拨款收入3277.59万元相比，增加76.22%，主要原因是项目及公用经费增加。</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2019年财政拨款支出</w:t>
      </w:r>
      <w:r>
        <w:rPr>
          <w:rFonts w:hint="eastAsia" w:ascii="仿宋_GB2312" w:hAnsi="仿宋" w:eastAsia="仿宋_GB2312"/>
          <w:b/>
          <w:bCs/>
          <w:sz w:val="32"/>
          <w:szCs w:val="32"/>
        </w:rPr>
        <w:t>总计</w:t>
      </w:r>
      <w:r>
        <w:rPr>
          <w:rFonts w:hint="eastAsia" w:ascii="仿宋_GB2312" w:hAnsi="仿宋" w:eastAsia="仿宋_GB2312"/>
          <w:sz w:val="32"/>
          <w:szCs w:val="32"/>
        </w:rPr>
        <w:t>5775.62万元，与2018年财政拨款支出3277.59万元相比，增加76.22%，主要原因是项目及公用经费增加。</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0" w:firstLineChars="200"/>
        <w:jc w:val="left"/>
        <w:rPr>
          <w:rFonts w:ascii="楷体_GB2312" w:hAnsi="宋体" w:eastAsia="楷体_GB2312" w:cs="楷体_GB2312"/>
          <w:b/>
          <w:color w:val="000000"/>
          <w:kern w:val="0"/>
          <w:sz w:val="32"/>
          <w:szCs w:val="32"/>
        </w:rPr>
      </w:pPr>
      <w:r>
        <w:rPr>
          <w:rFonts w:hint="eastAsia" w:ascii="仿宋_GB2312" w:hAnsi="仿宋_GB2312" w:eastAsia="仿宋_GB2312" w:cs="仿宋_GB2312"/>
          <w:sz w:val="32"/>
          <w:szCs w:val="32"/>
        </w:rPr>
        <w:drawing>
          <wp:inline distT="0" distB="0" distL="114300" distR="114300">
            <wp:extent cx="5177790" cy="2025015"/>
            <wp:effectExtent l="4445" t="4445" r="12065" b="152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321" w:firstLineChars="100"/>
        <w:jc w:val="left"/>
        <w:rPr>
          <w:rFonts w:ascii="仿宋_GB2312" w:hAnsi="仿宋_GB2312" w:eastAsia="仿宋_GB2312" w:cs="仿宋_GB2312"/>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仿宋" w:eastAsia="仿宋_GB2312"/>
          <w:sz w:val="32"/>
          <w:szCs w:val="32"/>
        </w:rPr>
        <w:t>5775.62</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2498.03</w:t>
      </w:r>
      <w:r>
        <w:rPr>
          <w:rFonts w:ascii="仿宋_GB2312" w:hAnsi="宋体" w:eastAsia="仿宋_GB2312" w:cs="仿宋_GB2312"/>
          <w:color w:val="000000"/>
          <w:kern w:val="0"/>
          <w:sz w:val="32"/>
          <w:szCs w:val="32"/>
        </w:rPr>
        <w:t>万元，增长</w:t>
      </w:r>
      <w:r>
        <w:rPr>
          <w:rFonts w:hint="eastAsia" w:ascii="仿宋_GB2312" w:hAnsi="仿宋" w:eastAsia="仿宋_GB2312"/>
          <w:sz w:val="32"/>
          <w:szCs w:val="32"/>
        </w:rPr>
        <w:t>76.22%</w:t>
      </w:r>
      <w:r>
        <w:rPr>
          <w:rFonts w:ascii="仿宋_GB2312" w:hAnsi="宋体" w:eastAsia="仿宋_GB2312" w:cs="仿宋_GB2312"/>
          <w:color w:val="000000"/>
          <w:kern w:val="0"/>
          <w:sz w:val="32"/>
          <w:szCs w:val="32"/>
        </w:rPr>
        <w:t>，</w:t>
      </w:r>
      <w:r>
        <w:rPr>
          <w:rFonts w:hint="eastAsia" w:ascii="仿宋_GB2312" w:hAnsi="仿宋" w:eastAsia="仿宋_GB2312"/>
          <w:sz w:val="32"/>
          <w:szCs w:val="32"/>
        </w:rPr>
        <w:t>主要原因是项目及公用经费增加。</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eastAsia="仿宋_GB2312"/>
        </w:rPr>
      </w:pPr>
      <w:r>
        <w:rPr>
          <w:rFonts w:ascii="仿宋_GB2312" w:hAnsi="宋体" w:eastAsia="仿宋_GB2312" w:cs="仿宋_GB2312"/>
          <w:color w:val="000000"/>
          <w:kern w:val="0"/>
          <w:sz w:val="32"/>
          <w:szCs w:val="32"/>
        </w:rPr>
        <w:t>2019 年财政拨款支出决算为</w:t>
      </w:r>
      <w:r>
        <w:rPr>
          <w:rFonts w:hint="eastAsia" w:ascii="仿宋_GB2312" w:hAnsi="仿宋" w:eastAsia="仿宋_GB2312"/>
          <w:sz w:val="32"/>
          <w:szCs w:val="32"/>
        </w:rPr>
        <w:t>5775.62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其中：一般公共服务支出（类）为</w:t>
      </w:r>
      <w:r>
        <w:rPr>
          <w:rFonts w:hint="eastAsia" w:ascii="仿宋_GB2312" w:hAnsi="宋体" w:eastAsia="仿宋_GB2312" w:cs="仿宋_GB2312"/>
          <w:color w:val="000000"/>
          <w:kern w:val="0"/>
          <w:sz w:val="32"/>
          <w:szCs w:val="32"/>
        </w:rPr>
        <w:t>3426.46</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；文化旅游体育与传媒支出</w:t>
      </w:r>
      <w:r>
        <w:rPr>
          <w:rFonts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rPr>
        <w:t>74.93万元；社会保障和就业支出</w:t>
      </w:r>
      <w:r>
        <w:rPr>
          <w:rFonts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rPr>
        <w:t>340.18万元；卫生健康支出</w:t>
      </w:r>
      <w:r>
        <w:rPr>
          <w:rFonts w:ascii="仿宋_GB2312" w:hAnsi="宋体" w:eastAsia="仿宋_GB2312" w:cs="仿宋_GB2312"/>
          <w:color w:val="000000"/>
          <w:kern w:val="0"/>
          <w:sz w:val="32"/>
          <w:szCs w:val="32"/>
        </w:rPr>
        <w:t>（类）为</w:t>
      </w:r>
      <w:r>
        <w:rPr>
          <w:rFonts w:hint="eastAsia" w:ascii="仿宋_GB2312" w:hAnsi="宋体" w:eastAsia="仿宋_GB2312" w:cs="仿宋_GB2312"/>
          <w:color w:val="000000"/>
          <w:kern w:val="0"/>
          <w:sz w:val="32"/>
          <w:szCs w:val="32"/>
        </w:rPr>
        <w:t>535.35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,城乡社区支出</w:t>
      </w:r>
      <w:r>
        <w:rPr>
          <w:rFonts w:ascii="仿宋_GB2312" w:hAnsi="宋体" w:eastAsia="仿宋_GB2312" w:cs="仿宋_GB2312"/>
          <w:color w:val="000000"/>
          <w:kern w:val="0"/>
          <w:sz w:val="32"/>
          <w:szCs w:val="32"/>
        </w:rPr>
        <w:t>（类）为</w:t>
      </w:r>
      <w:r>
        <w:rPr>
          <w:rFonts w:hint="eastAsia" w:ascii="仿宋_GB2312" w:hAnsi="宋体" w:eastAsia="仿宋_GB2312" w:cs="仿宋_GB2312"/>
          <w:color w:val="000000"/>
          <w:kern w:val="0"/>
          <w:sz w:val="32"/>
          <w:szCs w:val="32"/>
        </w:rPr>
        <w:t>228.47万元；农林水支出</w:t>
      </w:r>
      <w:r>
        <w:rPr>
          <w:rFonts w:ascii="仿宋_GB2312" w:hAnsi="宋体" w:eastAsia="仿宋_GB2312" w:cs="仿宋_GB2312"/>
          <w:color w:val="000000"/>
          <w:kern w:val="0"/>
          <w:sz w:val="32"/>
          <w:szCs w:val="32"/>
        </w:rPr>
        <w:t>（类）为</w:t>
      </w:r>
      <w:r>
        <w:rPr>
          <w:rFonts w:hint="eastAsia" w:ascii="仿宋_GB2312" w:hAnsi="宋体" w:eastAsia="仿宋_GB2312" w:cs="仿宋_GB2312"/>
          <w:color w:val="000000"/>
          <w:kern w:val="0"/>
          <w:sz w:val="32"/>
          <w:szCs w:val="32"/>
        </w:rPr>
        <w:t>971.3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,住房保障支出</w:t>
      </w:r>
      <w:r>
        <w:rPr>
          <w:rFonts w:ascii="仿宋_GB2312" w:hAnsi="宋体" w:eastAsia="仿宋_GB2312" w:cs="仿宋_GB2312"/>
          <w:color w:val="000000"/>
          <w:kern w:val="0"/>
          <w:sz w:val="32"/>
          <w:szCs w:val="32"/>
        </w:rPr>
        <w:t>（类）为</w:t>
      </w:r>
      <w:r>
        <w:rPr>
          <w:rFonts w:hint="eastAsia" w:ascii="仿宋_GB2312" w:hAnsi="宋体" w:eastAsia="仿宋_GB2312" w:cs="仿宋_GB2312"/>
          <w:color w:val="000000"/>
          <w:kern w:val="0"/>
          <w:sz w:val="32"/>
          <w:szCs w:val="32"/>
        </w:rPr>
        <w:t>198.94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2019年一般公共预算财政拨款基本支出3722.77万元，包括：人员经费支出2850.13万元和公用经费支出872.64万元。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2850.13万元，主要包括:基本工资1131.24万元,津贴补贴647.67万元,奖金64.17万元,绩效工资325.03万元,机关事业单位基本养老保险缴费266.54万元,职工基本医疗保险缴费150.96万元,住房公积金198.94万元,离休费40.99万元，生活补助16.92万元,医疗费补助7.69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872.64万元，主要包括:办公费72.77万元,印刷费11.47万元,手续费3.99万元,水费9.46万元,电费18.72万元,邮电费8.97万元,取暖费18.82万元,差旅费18.73万元,维修（护）费50.5万元,公务接待费4.5万元,劳务费419.59万元,委托业务费24.18万元,公务用车运行维护费9.75万元,其他交通费用26.34万元,其他商品和服务支出174.85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14.48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14.25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98.41</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减少0.23万元，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逐年减少三公经费支出。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仿宋" w:eastAsia="仿宋_GB2312"/>
          <w:b/>
          <w:bCs/>
          <w:sz w:val="32"/>
          <w:szCs w:val="32"/>
        </w:rPr>
        <w:drawing>
          <wp:anchor distT="0" distB="0" distL="114300" distR="114300" simplePos="0" relativeHeight="251661312" behindDoc="0" locked="0" layoutInCell="1" allowOverlap="1">
            <wp:simplePos x="0" y="0"/>
            <wp:positionH relativeFrom="column">
              <wp:posOffset>396240</wp:posOffset>
            </wp:positionH>
            <wp:positionV relativeFrom="paragraph">
              <wp:posOffset>1701165</wp:posOffset>
            </wp:positionV>
            <wp:extent cx="4650105" cy="3061970"/>
            <wp:effectExtent l="4445" t="4445" r="6350" b="698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9.75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68.42</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4.5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31.58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eastAsia="仿宋_GB2312"/>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（如没有支出填0）。</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，（如没有支出填0）。</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9.78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9.75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99.69%，决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减少0.03万元，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逐年减少三公经费支出。</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61批次，710人次，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4.7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95.74%，决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减少0.2万元，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逐年减少三公经费支出。</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，（如没有支出填0）。</w:t>
      </w:r>
    </w:p>
    <w:p>
      <w:pPr>
        <w:numPr>
          <w:ilvl w:val="0"/>
          <w:numId w:val="2"/>
        </w:num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会议费支出情况说明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本年度无会议费支出</w:t>
      </w:r>
      <w:r>
        <w:rPr>
          <w:rFonts w:hint="eastAsia" w:ascii="仿宋_GB2312" w:hAnsi="宋体" w:eastAsia="仿宋_GB2312" w:cs="仿宋_GB2312"/>
          <w:color w:val="000000"/>
          <w:kern w:val="0"/>
          <w:sz w:val="32"/>
          <w:szCs w:val="32"/>
        </w:rPr>
        <w:t>（如没有支出填0）</w:t>
      </w:r>
      <w:r>
        <w:rPr>
          <w:rFonts w:hint="eastAsia" w:ascii="仿宋_GB2312" w:hAnsi="仿宋" w:eastAsia="仿宋_GB2312"/>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共计项目3</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420</w:t>
      </w:r>
      <w:r>
        <w:rPr>
          <w:rFonts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评价结果为优秀的项目3个，占全部项目的100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通过项目实施</w:t>
      </w:r>
      <w:r>
        <w:rPr>
          <w:rFonts w:hint="eastAsia" w:ascii="仿宋_GB2312" w:hAnsi="仿宋_GB2312" w:eastAsia="仿宋_GB2312" w:cs="仿宋_GB2312"/>
          <w:color w:val="000000"/>
          <w:kern w:val="0"/>
          <w:sz w:val="31"/>
          <w:szCs w:val="31"/>
        </w:rPr>
        <w:t>绩效自评工作，</w:t>
      </w:r>
      <w:r>
        <w:rPr>
          <w:rFonts w:ascii="仿宋_GB2312" w:hAnsi="仿宋_GB2312" w:eastAsia="仿宋_GB2312" w:cs="仿宋_GB2312"/>
          <w:color w:val="000000"/>
          <w:kern w:val="0"/>
          <w:sz w:val="31"/>
          <w:szCs w:val="31"/>
        </w:rPr>
        <w:t>发现的问题及原因：</w:t>
      </w:r>
      <w:r>
        <w:rPr>
          <w:rFonts w:ascii="仿宋_GB2312" w:hAnsi="宋体" w:eastAsia="仿宋_GB2312" w:cs="仿宋_GB2312"/>
          <w:color w:val="000000"/>
          <w:kern w:val="0"/>
          <w:sz w:val="31"/>
          <w:szCs w:val="31"/>
        </w:rPr>
        <w:t>部分项目年度完成情况提前不能预测，所以不能正确估计年度支付情况</w:t>
      </w:r>
      <w:r>
        <w:rPr>
          <w:rFonts w:hint="eastAsia" w:ascii="仿宋_GB2312" w:hAnsi="宋体" w:eastAsia="仿宋_GB2312" w:cs="仿宋_GB2312"/>
          <w:color w:val="000000"/>
          <w:kern w:val="0"/>
          <w:sz w:val="31"/>
          <w:szCs w:val="31"/>
        </w:rPr>
        <w:t>。</w:t>
      </w:r>
      <w:r>
        <w:rPr>
          <w:rFonts w:ascii="仿宋_GB2312" w:hAnsi="仿宋_GB2312" w:eastAsia="仿宋_GB2312" w:cs="仿宋_GB2312"/>
          <w:color w:val="000000"/>
          <w:kern w:val="0"/>
          <w:sz w:val="31"/>
          <w:szCs w:val="31"/>
        </w:rPr>
        <w:t>下一步改进措施：</w:t>
      </w:r>
      <w:r>
        <w:rPr>
          <w:rFonts w:ascii="仿宋_GB2312" w:hAnsi="宋体" w:eastAsia="仿宋_GB2312" w:cs="仿宋_GB2312"/>
          <w:color w:val="000000"/>
          <w:kern w:val="0"/>
          <w:sz w:val="31"/>
          <w:szCs w:val="31"/>
        </w:rPr>
        <w:t>进一步增加财政财务绩效工作专职人员，合理确定各相关项目年度实施情况，及时审核相关支出票据，一定要及时支付项目资金，最好达到均衡支付，一定要及时跟进项目，催促项目实施进度。</w:t>
      </w:r>
    </w:p>
    <w:p>
      <w:pPr>
        <w:widowControl/>
        <w:ind w:firstLine="420" w:firstLineChars="200"/>
        <w:jc w:val="left"/>
      </w:pPr>
    </w:p>
    <w:p>
      <w:pPr>
        <w:ind w:firstLine="480" w:firstLineChars="150"/>
        <w:rPr>
          <w:rFonts w:ascii="黑体" w:hAnsi="黑体" w:eastAsia="黑体"/>
          <w:sz w:val="32"/>
          <w:szCs w:val="32"/>
        </w:rPr>
      </w:pPr>
      <w:r>
        <w:rPr>
          <w:rFonts w:hint="eastAsia" w:ascii="黑体" w:hAnsi="黑体" w:eastAsia="黑体"/>
          <w:color w:val="000000"/>
          <w:kern w:val="0"/>
          <w:sz w:val="32"/>
          <w:szCs w:val="32"/>
        </w:rPr>
        <w:t>十、其他重要事项说明</w:t>
      </w:r>
    </w:p>
    <w:p>
      <w:pPr>
        <w:widowControl/>
        <w:ind w:firstLine="472" w:firstLineChars="147"/>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kern w:val="0"/>
          <w:sz w:val="32"/>
          <w:szCs w:val="32"/>
        </w:rPr>
        <w:t>预</w:t>
      </w:r>
      <w:r>
        <w:rPr>
          <w:rFonts w:ascii="仿宋_GB2312" w:hAnsi="宋体" w:eastAsia="仿宋_GB2312" w:cs="仿宋_GB2312"/>
          <w:color w:val="000000"/>
          <w:kern w:val="0"/>
          <w:sz w:val="32"/>
          <w:szCs w:val="32"/>
        </w:rPr>
        <w:t>算为</w:t>
      </w:r>
      <w:r>
        <w:rPr>
          <w:rFonts w:hint="eastAsia" w:ascii="仿宋_GB2312" w:hAnsi="宋体" w:eastAsia="仿宋_GB2312" w:cs="仿宋_GB2312"/>
          <w:kern w:val="0"/>
          <w:sz w:val="32"/>
          <w:szCs w:val="32"/>
        </w:rPr>
        <w:t>859.44</w:t>
      </w:r>
      <w:r>
        <w:rPr>
          <w:rFonts w:ascii="仿宋_GB2312" w:hAnsi="宋体" w:eastAsia="仿宋_GB2312" w:cs="仿宋_GB2312"/>
          <w:kern w:val="0"/>
          <w:sz w:val="32"/>
          <w:szCs w:val="32"/>
        </w:rPr>
        <w:t>万</w:t>
      </w:r>
      <w:r>
        <w:rPr>
          <w:rFonts w:ascii="仿宋_GB2312" w:hAnsi="宋体" w:eastAsia="仿宋_GB2312" w:cs="仿宋_GB2312"/>
          <w:color w:val="000000"/>
          <w:kern w:val="0"/>
          <w:sz w:val="32"/>
          <w:szCs w:val="32"/>
        </w:rPr>
        <w:t>元，支出决算</w:t>
      </w:r>
      <w:r>
        <w:rPr>
          <w:rFonts w:hint="eastAsia" w:ascii="仿宋_GB2312" w:hAnsi="宋体" w:eastAsia="仿宋_GB2312" w:cs="仿宋_GB2312"/>
          <w:kern w:val="0"/>
          <w:sz w:val="32"/>
          <w:szCs w:val="32"/>
        </w:rPr>
        <w:t>872.64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101.54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增加13.2万元，主要原因是本年度</w:t>
      </w:r>
      <w:r>
        <w:rPr>
          <w:rFonts w:ascii="仿宋_GB2312" w:hAnsi="仿宋_GB2312" w:eastAsia="仿宋_GB2312" w:cs="仿宋_GB2312"/>
          <w:color w:val="000000"/>
          <w:kern w:val="0"/>
          <w:sz w:val="31"/>
          <w:szCs w:val="31"/>
        </w:rPr>
        <w:t>机关运行经费</w:t>
      </w:r>
      <w:r>
        <w:rPr>
          <w:rFonts w:hint="eastAsia" w:ascii="仿宋_GB2312" w:hAnsi="仿宋_GB2312" w:eastAsia="仿宋_GB2312" w:cs="仿宋_GB2312"/>
          <w:color w:val="000000"/>
          <w:kern w:val="0"/>
          <w:sz w:val="31"/>
          <w:szCs w:val="31"/>
        </w:rPr>
        <w:t>增加。</w:t>
      </w:r>
    </w:p>
    <w:p>
      <w:pPr>
        <w:widowControl/>
        <w:numPr>
          <w:ilvl w:val="0"/>
          <w:numId w:val="3"/>
        </w:numPr>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政府采购支出情况说明</w:t>
      </w:r>
    </w:p>
    <w:p>
      <w:pPr>
        <w:widowControl/>
        <w:ind w:firstLine="470" w:firstLineChars="14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截至2019年末，本部门共有车辆2辆；单价50万元以上的通用设备0台（套）；单价100万元以上的专用设备0台（套）。201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bookmarkStart w:id="0" w:name="_GoBack"/>
      <w:bookmarkEnd w:id="0"/>
    </w:p>
    <w:p>
      <w:pPr>
        <w:rPr>
          <w:rFonts w:ascii="黑体" w:hAnsi="宋体" w:eastAsia="黑体"/>
          <w:color w:val="000000"/>
          <w:kern w:val="0"/>
          <w:sz w:val="44"/>
          <w:szCs w:val="44"/>
        </w:rPr>
      </w:pPr>
    </w:p>
    <w:sectPr>
      <w:pgSz w:w="11906" w:h="16838"/>
      <w:pgMar w:top="1985" w:right="1474" w:bottom="1985" w:left="1588"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sdtPr>
    <w:sdtContent>
      <w:p>
        <w:pPr>
          <w:pStyle w:val="4"/>
          <w:jc w:val="center"/>
        </w:pPr>
        <w:r>
          <w:fldChar w:fldCharType="begin"/>
        </w:r>
        <w:r>
          <w:instrText xml:space="preserve">PAGE   \* MERGEFORMAT</w:instrText>
        </w:r>
        <w:r>
          <w:fldChar w:fldCharType="separate"/>
        </w:r>
        <w:r>
          <w:rPr>
            <w:lang w:val="zh-CN"/>
          </w:rPr>
          <w:t>30</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CDA14"/>
    <w:multiLevelType w:val="singleLevel"/>
    <w:tmpl w:val="B12CDA14"/>
    <w:lvl w:ilvl="0" w:tentative="0">
      <w:start w:val="2"/>
      <w:numFmt w:val="chineseCounting"/>
      <w:suff w:val="nothing"/>
      <w:lvlText w:val="%1、"/>
      <w:lvlJc w:val="left"/>
      <w:rPr>
        <w:rFonts w:hint="eastAsia"/>
      </w:rPr>
    </w:lvl>
  </w:abstractNum>
  <w:abstractNum w:abstractNumId="1">
    <w:nsid w:val="EB55AF7A"/>
    <w:multiLevelType w:val="singleLevel"/>
    <w:tmpl w:val="EB55AF7A"/>
    <w:lvl w:ilvl="0" w:tentative="0">
      <w:start w:val="2"/>
      <w:numFmt w:val="chineseCounting"/>
      <w:suff w:val="nothing"/>
      <w:lvlText w:val="（%1）"/>
      <w:lvlJc w:val="left"/>
      <w:rPr>
        <w:rFonts w:hint="eastAsia"/>
      </w:rPr>
    </w:lvl>
  </w:abstractNum>
  <w:abstractNum w:abstractNumId="2">
    <w:nsid w:val="582FCE36"/>
    <w:multiLevelType w:val="singleLevel"/>
    <w:tmpl w:val="582FCE36"/>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4001"/>
    <w:rsid w:val="00166E3C"/>
    <w:rsid w:val="001B3406"/>
    <w:rsid w:val="001D7568"/>
    <w:rsid w:val="002424C8"/>
    <w:rsid w:val="00283CB6"/>
    <w:rsid w:val="002A7893"/>
    <w:rsid w:val="003364E9"/>
    <w:rsid w:val="00427EC1"/>
    <w:rsid w:val="00452E2E"/>
    <w:rsid w:val="004B6D6E"/>
    <w:rsid w:val="00504B80"/>
    <w:rsid w:val="005F0D12"/>
    <w:rsid w:val="00637D82"/>
    <w:rsid w:val="007A115D"/>
    <w:rsid w:val="008015FE"/>
    <w:rsid w:val="00813F4A"/>
    <w:rsid w:val="008D481B"/>
    <w:rsid w:val="008E5EB4"/>
    <w:rsid w:val="009C0506"/>
    <w:rsid w:val="00AB4A0E"/>
    <w:rsid w:val="00B37EA8"/>
    <w:rsid w:val="00B80654"/>
    <w:rsid w:val="00C2225D"/>
    <w:rsid w:val="00C44483"/>
    <w:rsid w:val="00E11323"/>
    <w:rsid w:val="00E8111E"/>
    <w:rsid w:val="00EC0B1D"/>
    <w:rsid w:val="00F61B04"/>
    <w:rsid w:val="010B74FF"/>
    <w:rsid w:val="013B79AC"/>
    <w:rsid w:val="01FA44DB"/>
    <w:rsid w:val="041C6C05"/>
    <w:rsid w:val="063362B9"/>
    <w:rsid w:val="06F30C89"/>
    <w:rsid w:val="07743683"/>
    <w:rsid w:val="0C476F5A"/>
    <w:rsid w:val="0EBB153E"/>
    <w:rsid w:val="11A0534C"/>
    <w:rsid w:val="125E2600"/>
    <w:rsid w:val="12877A52"/>
    <w:rsid w:val="132E46A0"/>
    <w:rsid w:val="14184F94"/>
    <w:rsid w:val="14411117"/>
    <w:rsid w:val="14AB2DF0"/>
    <w:rsid w:val="14B4469B"/>
    <w:rsid w:val="1586116E"/>
    <w:rsid w:val="18BB4AD7"/>
    <w:rsid w:val="1AA658F5"/>
    <w:rsid w:val="1B4A3FDA"/>
    <w:rsid w:val="1B524C98"/>
    <w:rsid w:val="1C5E2F73"/>
    <w:rsid w:val="1CC10448"/>
    <w:rsid w:val="1D6E0C0D"/>
    <w:rsid w:val="1F06439E"/>
    <w:rsid w:val="1F9223C7"/>
    <w:rsid w:val="221C15BB"/>
    <w:rsid w:val="2383244E"/>
    <w:rsid w:val="29785A6B"/>
    <w:rsid w:val="2D1F3974"/>
    <w:rsid w:val="31AA6038"/>
    <w:rsid w:val="33887EE3"/>
    <w:rsid w:val="34677C61"/>
    <w:rsid w:val="3873394D"/>
    <w:rsid w:val="39115597"/>
    <w:rsid w:val="3B121AD1"/>
    <w:rsid w:val="3C6731E3"/>
    <w:rsid w:val="3CFD0D2E"/>
    <w:rsid w:val="3D680EBC"/>
    <w:rsid w:val="3E2F573E"/>
    <w:rsid w:val="41603979"/>
    <w:rsid w:val="4169453B"/>
    <w:rsid w:val="442E3637"/>
    <w:rsid w:val="44E4297C"/>
    <w:rsid w:val="4619368A"/>
    <w:rsid w:val="48BD5F59"/>
    <w:rsid w:val="49014BD3"/>
    <w:rsid w:val="495A47C9"/>
    <w:rsid w:val="4D6E0FDF"/>
    <w:rsid w:val="4E4243EA"/>
    <w:rsid w:val="4E8A75EF"/>
    <w:rsid w:val="4EE4307A"/>
    <w:rsid w:val="50666CF3"/>
    <w:rsid w:val="5153143F"/>
    <w:rsid w:val="52AE1D20"/>
    <w:rsid w:val="52E350F4"/>
    <w:rsid w:val="54F12DEE"/>
    <w:rsid w:val="55B0043D"/>
    <w:rsid w:val="577E18EF"/>
    <w:rsid w:val="61610E1C"/>
    <w:rsid w:val="654C73AB"/>
    <w:rsid w:val="65C86D4A"/>
    <w:rsid w:val="66AD6BA6"/>
    <w:rsid w:val="67281171"/>
    <w:rsid w:val="6BD317C8"/>
    <w:rsid w:val="6C0A6199"/>
    <w:rsid w:val="6EC85A2D"/>
    <w:rsid w:val="70894351"/>
    <w:rsid w:val="72A029BE"/>
    <w:rsid w:val="74B76F2C"/>
    <w:rsid w:val="75C31473"/>
    <w:rsid w:val="76A56223"/>
    <w:rsid w:val="76EB540B"/>
    <w:rsid w:val="78D51910"/>
    <w:rsid w:val="7C2507D0"/>
    <w:rsid w:val="7C3E5E46"/>
    <w:rsid w:val="7EB14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 w:type="character" w:customStyle="1" w:styleId="14">
    <w:name w:val="页眉 Char"/>
    <w:basedOn w:val="9"/>
    <w:link w:val="5"/>
    <w:qFormat/>
    <w:uiPriority w:val="99"/>
    <w:rPr>
      <w:rFonts w:ascii="Calibri" w:hAnsi="Calibri" w:cs="黑体"/>
      <w:kern w:val="2"/>
      <w:sz w:val="18"/>
      <w:szCs w:val="24"/>
    </w:rPr>
  </w:style>
  <w:style w:type="character" w:customStyle="1" w:styleId="15">
    <w:name w:val="页脚 Char"/>
    <w:basedOn w:val="9"/>
    <w:link w:val="4"/>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manualLayout>
          <c:layoutTarget val="inner"/>
          <c:xMode val="edge"/>
          <c:yMode val="edge"/>
          <c:x val="0.0679093684717982"/>
          <c:y val="0.0370210934136892"/>
          <c:w val="0.927269805560019"/>
          <c:h val="0.716616444253121"/>
        </c:manualLayout>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Sheet1!$A$2:$A$3</c:f>
              <c:strCache>
                <c:ptCount val="2"/>
                <c:pt idx="0">
                  <c:v>人员编制</c:v>
                </c:pt>
                <c:pt idx="1">
                  <c:v>实有人员</c:v>
                </c:pt>
              </c:strCache>
            </c:strRef>
          </c:cat>
          <c:val>
            <c:numRef>
              <c:f>Sheet1!$B$2:$B$3</c:f>
              <c:numCache>
                <c:formatCode>General</c:formatCode>
                <c:ptCount val="2"/>
                <c:pt idx="0">
                  <c:v>55</c:v>
                </c:pt>
                <c:pt idx="1">
                  <c:v>50</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Sheet1!$A$2:$A$3</c:f>
              <c:strCache>
                <c:ptCount val="2"/>
                <c:pt idx="0">
                  <c:v>人员编制</c:v>
                </c:pt>
                <c:pt idx="1">
                  <c:v>实有人员</c:v>
                </c:pt>
              </c:strCache>
            </c:strRef>
          </c:cat>
          <c:val>
            <c:numRef>
              <c:f>Sheet1!$C$2:$C$3</c:f>
              <c:numCache>
                <c:formatCode>General</c:formatCode>
                <c:ptCount val="2"/>
                <c:pt idx="0">
                  <c:v>153</c:v>
                </c:pt>
                <c:pt idx="1">
                  <c:v>189</c:v>
                </c:pt>
              </c:numCache>
            </c:numRef>
          </c:val>
        </c:ser>
        <c:ser>
          <c:idx val="2"/>
          <c:order val="2"/>
          <c:tx>
            <c:strRef>
              <c:f>Sheet1!$D$1</c:f>
              <c:strCache>
                <c:ptCount val="1"/>
                <c:pt idx="0">
                  <c:v>合计</c:v>
                </c:pt>
              </c:strCache>
            </c:strRef>
          </c:tx>
          <c:spPr>
            <a:solidFill>
              <a:schemeClr val="accent3"/>
            </a:solidFill>
            <a:ln>
              <a:noFill/>
            </a:ln>
            <a:effectLst/>
          </c:spPr>
          <c:invertIfNegative val="0"/>
          <c:dLbls>
            <c:delete val="1"/>
          </c:dLbls>
          <c:cat>
            <c:strRef>
              <c:f>Sheet1!$A$2:$A$3</c:f>
              <c:strCache>
                <c:ptCount val="2"/>
                <c:pt idx="0">
                  <c:v>人员编制</c:v>
                </c:pt>
                <c:pt idx="1">
                  <c:v>实有人员</c:v>
                </c:pt>
              </c:strCache>
            </c:strRef>
          </c:cat>
          <c:val>
            <c:numRef>
              <c:f>Sheet1!$D$2:$D$3</c:f>
              <c:numCache>
                <c:formatCode>General</c:formatCode>
                <c:ptCount val="2"/>
                <c:pt idx="0">
                  <c:v>208</c:v>
                </c:pt>
                <c:pt idx="1">
                  <c:v>239</c:v>
                </c:pt>
              </c:numCache>
            </c:numRef>
          </c:val>
        </c:ser>
        <c:dLbls>
          <c:showLegendKey val="0"/>
          <c:showVal val="0"/>
          <c:showCatName val="0"/>
          <c:showSerName val="0"/>
          <c:showPercent val="0"/>
          <c:showBubbleSize val="0"/>
        </c:dLbls>
        <c:gapWidth val="219"/>
        <c:overlap val="-27"/>
        <c:axId val="185669504"/>
        <c:axId val="194780544"/>
      </c:barChart>
      <c:catAx>
        <c:axId val="1856695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780544"/>
        <c:crosses val="autoZero"/>
        <c:auto val="1"/>
        <c:lblAlgn val="ctr"/>
        <c:lblOffset val="100"/>
        <c:noMultiLvlLbl val="0"/>
      </c:catAx>
      <c:valAx>
        <c:axId val="194780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669504"/>
        <c:crosses val="autoZero"/>
        <c:crossBetween val="between"/>
      </c:valAx>
      <c:spPr>
        <a:noFill/>
        <a:ln>
          <a:noFill/>
        </a:ln>
        <a:effectLst/>
      </c:spPr>
    </c:plotArea>
    <c:legend>
      <c:legendPos val="r"/>
      <c:layout>
        <c:manualLayout>
          <c:xMode val="edge"/>
          <c:yMode val="edge"/>
          <c:x val="0.393340270551509"/>
          <c:y val="0.795191069128381"/>
          <c:w val="0.230098855359001"/>
          <c:h val="0.18956633748389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收入（万元）</c:v>
                </c:pt>
                <c:pt idx="1">
                  <c:v>支出（万元）</c:v>
                </c:pt>
              </c:strCache>
            </c:strRef>
          </c:cat>
          <c:val>
            <c:numRef>
              <c:f>Sheet1!$B$2:$B$3</c:f>
              <c:numCache>
                <c:formatCode>General</c:formatCode>
                <c:ptCount val="2"/>
                <c:pt idx="0">
                  <c:v>5775.62</c:v>
                </c:pt>
                <c:pt idx="1">
                  <c:v>5775.62</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f>Sheet1!$A$2:$A$3</c:f>
              <c:strCache>
                <c:ptCount val="2"/>
                <c:pt idx="0">
                  <c:v>收入（万元）</c:v>
                </c:pt>
                <c:pt idx="1">
                  <c:v>支出（万元）</c:v>
                </c:pt>
              </c:strCache>
            </c:strRef>
          </c:cat>
          <c:val>
            <c:numRef>
              <c:f>Sheet1!$C$2:$C$3</c:f>
              <c:numCache>
                <c:formatCode>General</c:formatCode>
                <c:ptCount val="2"/>
                <c:pt idx="0">
                  <c:v>3277.59</c:v>
                </c:pt>
                <c:pt idx="1">
                  <c:v>3277.59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收入（万元）</c:v>
                </c:pt>
                <c:pt idx="1">
                  <c:v>支出（万元）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8577664"/>
        <c:axId val="78579200"/>
      </c:barChart>
      <c:catAx>
        <c:axId val="78577664"/>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79200"/>
        <c:crosses val="autoZero"/>
        <c:auto val="1"/>
        <c:lblAlgn val="ctr"/>
        <c:lblOffset val="100"/>
        <c:noMultiLvlLbl val="0"/>
      </c:catAx>
      <c:valAx>
        <c:axId val="78579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7766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45088868101029"/>
          <c:y val="0.0773060029282577"/>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5775.62</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支出表</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3722.77</c:v>
                </c:pt>
                <c:pt idx="1">
                  <c:v>2052.85</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endParaRPr lang="en-US" altLang="zh-CN"/>
          </a:p>
        </c:rich>
      </c:tx>
      <c:layout>
        <c:manualLayout>
          <c:xMode val="edge"/>
          <c:yMode val="edge"/>
          <c:x val="0.236067821967336"/>
          <c:y val="0.036720972329971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5775.62</c:v>
                </c:pt>
                <c:pt idx="1">
                  <c:v>5775.62</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3277.59</c:v>
                </c:pt>
                <c:pt idx="1">
                  <c:v>3277.59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95653632"/>
        <c:axId val="195655168"/>
      </c:barChart>
      <c:catAx>
        <c:axId val="1956536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655168"/>
        <c:crosses val="autoZero"/>
        <c:auto val="1"/>
        <c:lblAlgn val="ctr"/>
        <c:lblOffset val="100"/>
        <c:noMultiLvlLbl val="0"/>
      </c:catAx>
      <c:valAx>
        <c:axId val="195655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653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endParaRPr lang="en-US" altLang="zh-CN"/>
          </a:p>
        </c:rich>
      </c:tx>
      <c:layout>
        <c:manualLayout>
          <c:xMode val="edge"/>
          <c:yMode val="edge"/>
          <c:x val="0.236067821967336"/>
          <c:y val="0.036720972329971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5775.62</c:v>
                </c:pt>
                <c:pt idx="1">
                  <c:v>5775.62</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3277.59</c:v>
                </c:pt>
                <c:pt idx="1">
                  <c:v>3277.59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01945088"/>
        <c:axId val="201946624"/>
      </c:barChart>
      <c:catAx>
        <c:axId val="2019450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46624"/>
        <c:crosses val="autoZero"/>
        <c:auto val="1"/>
        <c:lblAlgn val="ctr"/>
        <c:lblOffset val="100"/>
        <c:noMultiLvlLbl val="0"/>
      </c:catAx>
      <c:valAx>
        <c:axId val="201946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45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9.75</c:v>
                </c:pt>
                <c:pt idx="3">
                  <c:v>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2162</Words>
  <Characters>12330</Characters>
  <Lines>102</Lines>
  <Paragraphs>28</Paragraphs>
  <TotalTime>8</TotalTime>
  <ScaleCrop>false</ScaleCrop>
  <LinksUpToDate>false</LinksUpToDate>
  <CharactersWithSpaces>14464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Administrator</cp:lastModifiedBy>
  <cp:lastPrinted>2020-12-11T07:11:00Z</cp:lastPrinted>
  <dcterms:modified xsi:type="dcterms:W3CDTF">2020-12-11T08:39:07Z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