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default"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靖边县宁条梁镇人民政府</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color w:val="auto"/>
          <w:sz w:val="32"/>
          <w:szCs w:val="32"/>
        </w:rPr>
      </w:pPr>
    </w:p>
    <w:p>
      <w:pPr>
        <w:spacing w:line="400" w:lineRule="exact"/>
        <w:ind w:firstLine="2088" w:firstLineChars="650"/>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保密审查情况：</w:t>
      </w:r>
      <w:r>
        <w:rPr>
          <w:rFonts w:hint="eastAsia" w:asciiTheme="majorEastAsia" w:hAnsiTheme="majorEastAsia" w:eastAsiaTheme="majorEastAsia" w:cstheme="majorEastAsia"/>
          <w:b/>
          <w:bCs/>
          <w:color w:val="auto"/>
          <w:sz w:val="32"/>
          <w:szCs w:val="32"/>
          <w:lang w:val="en-US" w:eastAsia="zh-CN"/>
        </w:rPr>
        <w:t>已审查</w:t>
      </w:r>
    </w:p>
    <w:p>
      <w:pPr>
        <w:spacing w:line="400" w:lineRule="exact"/>
        <w:jc w:val="center"/>
        <w:rPr>
          <w:rFonts w:ascii="宋体" w:hAnsi="宋体" w:cs="宋体"/>
          <w:b/>
          <w:bCs/>
          <w:color w:val="auto"/>
          <w:sz w:val="32"/>
          <w:szCs w:val="32"/>
        </w:rPr>
      </w:pPr>
    </w:p>
    <w:p>
      <w:pPr>
        <w:spacing w:line="400" w:lineRule="exact"/>
        <w:ind w:firstLine="2088" w:firstLineChars="65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部门主要负责人审签情况：</w:t>
      </w:r>
      <w:r>
        <w:rPr>
          <w:rFonts w:hint="eastAsia" w:ascii="宋体" w:hAnsi="宋体" w:cs="宋体"/>
          <w:b/>
          <w:bCs/>
          <w:color w:val="auto"/>
          <w:sz w:val="32"/>
          <w:szCs w:val="32"/>
          <w:lang w:val="en-US" w:eastAsia="zh-CN"/>
        </w:rPr>
        <w:t>已签审</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lang w:bidi="ar"/>
        </w:rPr>
        <w:t xml:space="preserve">四、财政拨款收入支出决算总体情况说明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（一）“三公”经费财政拨款支出决算总体情况说明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（二）“三公”经费财政拨款支出决算具体情况说明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（三）培训费支出情况说明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（四）会议费支出情况说明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八、政府性基金预算财政拨款收入支出情况说明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九、预算绩效情况说明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（一）预算绩效管理工作开展情况说明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十、其他重要事项说明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（一）机关运行经费支出情况说明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（二）政府采购支出情况说明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（三）国有资产占用及购置情况说明 </w:t>
      </w:r>
    </w:p>
    <w:p>
      <w:pPr>
        <w:jc w:val="center"/>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第四部分 专业名词解释</w:t>
      </w:r>
    </w:p>
    <w:p>
      <w:pPr>
        <w:jc w:val="center"/>
        <w:rPr>
          <w:rFonts w:ascii="宋体" w:hAnsi="宋体" w:cs="宋体"/>
          <w:b/>
          <w:bCs/>
          <w:sz w:val="44"/>
          <w:szCs w:val="44"/>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（一）主要职责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eastAsia="zh-CN"/>
        </w:rPr>
        <w:t>宁条梁</w:t>
      </w:r>
      <w:r>
        <w:rPr>
          <w:rFonts w:hint="eastAsia" w:ascii="仿宋" w:hAnsi="仿宋" w:eastAsia="仿宋" w:cs="仿宋"/>
          <w:i w:val="0"/>
          <w:caps w:val="0"/>
          <w:color w:val="000000"/>
          <w:spacing w:val="0"/>
          <w:sz w:val="32"/>
          <w:szCs w:val="32"/>
        </w:rPr>
        <w:t>镇人民政府是本级人民代表大会的执行机关，是地方国家行政机关。主要职责为：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1、执行本级人民代表大会的决议和上级国家行政机关的决定和命令，发布决定和命令；对本级人民代表大会和县人民政府负责报告工作。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2、贯彻和执行党和国家的各项方针、政策及法律、法规，依法制定行政措施和实施方案。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3、研究制定、执行本镇经济建设和社会发展规划、政策，执行本行政区域内的经济和社会发展计划、预算。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4、负责本行政区域内的经济管理工作、农村基础设施建设、经济发展规划、农业生产和农村综合开发等工作；负责本行政区域内农村财务指导、监督和管理工作；负责本行政区域内农村土地承包管理和农村经济发展统计工作，保障农村集体经济组织和农民应有的生产经营自主权，加强农村劳动力技能培训，引导农民进行科学化、现代化农业生产，以及农村剩余劳动力就业和转移，进一步提高农民的收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5、负责本行政区域内教育、科学、文化、卫生和体育事业的发展工作，做好农村合作医疗保障和环境卫生服务工作；负责本行政区域内计划生育行政管理工作，以及计划生育服务、宣传和流动人口管理；负责本级政府的财政收支、宗教和民政工作，做好救灾救济和社会保障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6、负责本行政区域内公安、司法行政管理工作，搞好社会治安综合治理，保护社会主义的全民所有的财产和劳动群众集体所有的财产，保护公民私人所有的合法财产，维护社会秩序，保障公民的人身权利、民主权利和其他权利；保护各种经济组织的合法权益；协助有关部门做好道路运输、消防、威胁化学品、农机和电网等监督管理工作，抓好本行政区域内的安全生产工作，以及事故救援、处理和善后调查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7、保障少数民族的权利和尊重少数民族的风俗习惯；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8、保障宪法和法律赋予妇女的男女平等、同工同酬和婚姻自由等各项权利；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　　9、负责办理县委、县人民政府交办的其他事项。</w:t>
      </w:r>
    </w:p>
    <w:p>
      <w:pPr>
        <w:widowControl/>
        <w:ind w:firstLine="643" w:firstLineChars="200"/>
        <w:jc w:val="left"/>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（二）内设机构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（一）党政机构</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1.党政办公室（挂财政所牌子），主要承担党委、政府日常事务;负责组织、统战和群团等工作; 负责党务、政务公开工作;负责镇财政财务工作。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2.人大主席团办公室，主要承担镇人大日常事务和代表联络工作。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发展（市场监管）办公室，主要承担制定并实施区域经济社会发展规划和镇村公共基础设施建设规划;负责产业发展、公共基础设施建设、农业综合开发、扶贫开发、商贸流通、动植物防疫、气象公共服务、人工影响天气、灾害防御、环境保护、食品药品安全、安全生产监管等工作;协调经济社会发展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4.社会事务管理办公室（挂民政工作站牌子），主要承担民政、社会保障等综合性事务; 负责社会救助、防汛抗旱和防灾减灾、社区建设、拥军优抚、民族宗教、老龄、残疾人等工作;协调社会事务相关工作。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5.维护稳定办公室（挂司法所牌子及社会治安综合治理委员会办公室牌子），主要承担社会治安综合治理、信访维稳、国防动员教育、民兵预备役等工作;负责调解和处理民事纠纷，负责社区矫正等工作。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6.宣传科教文卫办公室，主要承担精神文明建设工作;负责宣传、科技、教育、文化、体育、卫生、计生等工作; 负责公共教育文化服务体系建设。</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（二）事业单位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1.经济综合服务站，副科级建制。承担生产经营、集体资产管理、土地流转、科技推广、就业创业等具体服务工作。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2.社会保障服务站，副科级建制。承担就业培训、社会保险、救助、福利等具体服务工作。</w:t>
      </w:r>
    </w:p>
    <w:p>
      <w:pPr>
        <w:widowControl/>
        <w:ind w:firstLine="640" w:firstLineChars="200"/>
        <w:jc w:val="left"/>
        <w:rPr>
          <w:rFonts w:hint="eastAsia" w:ascii="楷体" w:hAnsi="楷体" w:eastAsia="楷体" w:cs="楷体"/>
          <w:b/>
          <w:bCs/>
          <w:color w:val="000000"/>
          <w:kern w:val="0"/>
          <w:sz w:val="32"/>
          <w:szCs w:val="32"/>
          <w:lang w:bidi="ar"/>
        </w:rPr>
      </w:pPr>
      <w:r>
        <w:rPr>
          <w:rFonts w:hint="eastAsia" w:ascii="仿宋_GB2312" w:hAnsi="仿宋_GB2312" w:eastAsia="仿宋_GB2312" w:cs="仿宋_GB2312"/>
          <w:sz w:val="32"/>
          <w:szCs w:val="32"/>
        </w:rPr>
        <w:t>3.公用事业服务站，副科级建制。承担乡镇道路管护、环境卫生、供水供电等公共事业服务。</w:t>
      </w:r>
    </w:p>
    <w:p>
      <w:pPr>
        <w:widowControl/>
        <w:ind w:firstLine="640" w:firstLineChars="200"/>
        <w:jc w:val="left"/>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w:t>
      </w:r>
      <w:r>
        <w:rPr>
          <w:rFonts w:hint="eastAsia" w:ascii="仿宋_GB2312" w:hAnsi="仿宋_GB2312" w:eastAsia="仿宋_GB2312" w:cs="仿宋_GB2312"/>
          <w:b w:val="0"/>
          <w:bCs w:val="0"/>
          <w:color w:val="auto"/>
          <w:sz w:val="32"/>
          <w:szCs w:val="32"/>
        </w:rPr>
        <w:t>入2019年本部门决算编制范围的单位共</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个，包括本级及所属</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个</w:t>
      </w:r>
      <w:r>
        <w:rPr>
          <w:rFonts w:ascii="仿宋_GB2312" w:hAnsi="仿宋_GB2312" w:eastAsia="仿宋_GB2312" w:cs="仿宋_GB2312"/>
          <w:b w:val="0"/>
          <w:bCs w:val="0"/>
          <w:color w:val="auto"/>
          <w:kern w:val="0"/>
          <w:sz w:val="31"/>
          <w:szCs w:val="31"/>
          <w:lang w:bidi="ar"/>
        </w:rPr>
        <w:t>二级预</w:t>
      </w:r>
      <w:r>
        <w:rPr>
          <w:rFonts w:ascii="仿宋_GB2312" w:hAnsi="仿宋_GB2312" w:eastAsia="仿宋_GB2312" w:cs="仿宋_GB2312"/>
          <w:color w:val="000000"/>
          <w:kern w:val="0"/>
          <w:sz w:val="31"/>
          <w:szCs w:val="31"/>
          <w:lang w:bidi="ar"/>
        </w:rPr>
        <w:t>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宁条梁镇人民政府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镇文广站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w:t>
            </w:r>
            <w:r>
              <w:rPr>
                <w:rFonts w:hint="eastAsia" w:ascii="仿宋_GB2312" w:hAnsi="宋体" w:eastAsia="仿宋_GB2312"/>
                <w:sz w:val="32"/>
                <w:szCs w:val="32"/>
                <w:lang w:val="en-US"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镇社会保障事务所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0" w:type="auto"/>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镇计生站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0" w:type="auto"/>
            <w:vAlign w:val="center"/>
          </w:tcPr>
          <w:p>
            <w:pPr>
              <w:jc w:val="center"/>
              <w:rPr>
                <w:rFonts w:hint="eastAsia" w:ascii="仿宋_GB2312" w:hAnsi="宋体" w:eastAsia="仿宋_GB2312" w:cs="黑体"/>
                <w:kern w:val="2"/>
                <w:sz w:val="32"/>
                <w:szCs w:val="32"/>
                <w:lang w:val="en-US" w:eastAsia="zh-CN" w:bidi="ar-SA"/>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镇农综站</w:t>
            </w:r>
          </w:p>
        </w:tc>
      </w:tr>
    </w:tbl>
    <w:p>
      <w:pPr>
        <w:ind w:firstLine="640"/>
        <w:rPr>
          <w:rFonts w:hint="eastAsia" w:ascii="黑体" w:hAnsi="黑体" w:eastAsia="黑体"/>
          <w:b/>
          <w:bCs/>
          <w:sz w:val="32"/>
          <w:szCs w:val="32"/>
        </w:rPr>
      </w:pPr>
      <w:r>
        <w:rPr>
          <w:rFonts w:hint="eastAsia" w:ascii="黑体" w:hAnsi="黑体" w:eastAsia="黑体"/>
          <w:b/>
          <w:bCs/>
          <w:sz w:val="32"/>
          <w:szCs w:val="32"/>
        </w:rPr>
        <w:t>三、部门人员情况</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参公管理事业单位7人，</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人。本单位管理的离退休人员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tbl>
      <w:tblPr>
        <w:tblStyle w:val="8"/>
        <w:tblpPr w:leftFromText="180" w:rightFromText="180" w:vertAnchor="text" w:horzAnchor="page" w:tblpX="1795" w:tblpY="205"/>
        <w:tblOverlap w:val="never"/>
        <w:tblW w:w="8579" w:type="dxa"/>
        <w:tblInd w:w="0" w:type="dxa"/>
        <w:tblLayout w:type="fixed"/>
        <w:tblCellMar>
          <w:top w:w="0" w:type="dxa"/>
          <w:left w:w="0" w:type="dxa"/>
          <w:bottom w:w="0" w:type="dxa"/>
          <w:right w:w="0" w:type="dxa"/>
        </w:tblCellMar>
      </w:tblPr>
      <w:tblGrid>
        <w:gridCol w:w="776"/>
        <w:gridCol w:w="4347"/>
        <w:gridCol w:w="3456"/>
      </w:tblGrid>
      <w:tr>
        <w:tblPrEx>
          <w:tblCellMar>
            <w:top w:w="0" w:type="dxa"/>
            <w:left w:w="0" w:type="dxa"/>
            <w:bottom w:w="0" w:type="dxa"/>
            <w:right w:w="0" w:type="dxa"/>
          </w:tblCellMar>
        </w:tblPrEx>
        <w:trPr>
          <w:trHeight w:val="559"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黑体" w:hAnsi="宋体" w:eastAsia="黑体"/>
                <w:color w:val="000000"/>
                <w:sz w:val="24"/>
                <w:lang w:val="en-US" w:eastAsia="zh-CN"/>
              </w:rPr>
            </w:pPr>
            <w:r>
              <w:rPr>
                <w:rFonts w:hint="eastAsia" w:ascii="黑体" w:hAnsi="宋体" w:eastAsia="黑体"/>
                <w:color w:val="000000"/>
                <w:sz w:val="24"/>
                <w:lang w:val="en-US" w:eastAsia="zh-CN"/>
              </w:rPr>
              <w:t>预算单位名称</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黑体" w:hAnsi="宋体" w:eastAsia="黑体"/>
                <w:color w:val="000000"/>
                <w:sz w:val="24"/>
                <w:lang w:val="en-US" w:eastAsia="zh-CN"/>
              </w:rPr>
            </w:pPr>
            <w:r>
              <w:rPr>
                <w:rFonts w:hint="eastAsia" w:ascii="黑体" w:hAnsi="宋体" w:eastAsia="黑体"/>
                <w:color w:val="000000"/>
                <w:sz w:val="24"/>
                <w:lang w:val="en-US" w:eastAsia="zh-CN"/>
              </w:rPr>
              <w:t>实有人数（人）</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仿宋_GB2312" w:hAnsi="仿宋_GB2312" w:eastAsia="仿宋_GB2312" w:cs="仿宋_GB2312"/>
                <w:sz w:val="32"/>
                <w:szCs w:val="32"/>
                <w:lang w:val="en-US" w:eastAsia="zh-CN"/>
              </w:rPr>
              <w:t>宁条梁镇人民政府</w:t>
            </w:r>
            <w:r>
              <w:rPr>
                <w:rFonts w:hint="eastAsia" w:ascii="仿宋_GB2312" w:hAnsi="仿宋_GB2312" w:eastAsia="仿宋_GB2312" w:cs="仿宋_GB2312"/>
                <w:sz w:val="32"/>
                <w:szCs w:val="32"/>
              </w:rPr>
              <w:t>部门本级（机关）</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17</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2</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镇财政所</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3</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镇文广站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r>
      <w:tr>
        <w:tblPrEx>
          <w:tblCellMar>
            <w:top w:w="0" w:type="dxa"/>
            <w:left w:w="0" w:type="dxa"/>
            <w:bottom w:w="0" w:type="dxa"/>
            <w:right w:w="0" w:type="dxa"/>
          </w:tblCellMar>
        </w:tblPrEx>
        <w:trPr>
          <w:trHeight w:val="552"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4</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镇社会保障事务所</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637"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5</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镇计生站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650"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bidi="ar"/>
              </w:rPr>
            </w:pP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w:t>
            </w:r>
            <w:r>
              <w:rPr>
                <w:rFonts w:hint="eastAsia" w:ascii="仿宋_GB2312" w:hAnsi="宋体" w:eastAsia="仿宋_GB2312"/>
                <w:sz w:val="32"/>
                <w:szCs w:val="32"/>
                <w:lang w:val="en-US" w:eastAsia="zh-CN"/>
              </w:rPr>
              <w:t>社区</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650" w:hRule="exac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4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4"/>
                <w:lang w:bidi="ar"/>
              </w:rPr>
            </w:pPr>
            <w:r>
              <w:rPr>
                <w:rFonts w:hint="eastAsia" w:ascii="仿宋_GB2312" w:hAnsi="宋体" w:eastAsia="仿宋_GB2312"/>
                <w:sz w:val="32"/>
                <w:szCs w:val="32"/>
                <w:lang w:eastAsia="zh-CN"/>
              </w:rPr>
              <w:t>宁条梁</w:t>
            </w:r>
            <w:r>
              <w:rPr>
                <w:rFonts w:hint="eastAsia" w:ascii="仿宋_GB2312" w:hAnsi="宋体" w:eastAsia="仿宋_GB2312"/>
                <w:sz w:val="32"/>
                <w:szCs w:val="32"/>
              </w:rPr>
              <w:t>镇农综站</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rPr>
            </w:pPr>
            <w:r>
              <w:rPr>
                <w:rFonts w:hint="eastAsia" w:ascii="宋体" w:hAnsi="宋体" w:cs="宋体"/>
                <w:color w:val="000000"/>
                <w:sz w:val="24"/>
                <w:lang w:val="en-US" w:eastAsia="zh-CN"/>
              </w:rPr>
              <w:t>24</w:t>
            </w:r>
          </w:p>
        </w:tc>
      </w:tr>
      <w:tr>
        <w:tblPrEx>
          <w:tblCellMar>
            <w:top w:w="0" w:type="dxa"/>
            <w:left w:w="0" w:type="dxa"/>
            <w:bottom w:w="0" w:type="dxa"/>
            <w:right w:w="0" w:type="dxa"/>
          </w:tblCellMar>
        </w:tblPrEx>
        <w:trPr>
          <w:trHeight w:val="650" w:hRule="exact"/>
        </w:trPr>
        <w:tc>
          <w:tcPr>
            <w:tcW w:w="51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3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73</w:t>
            </w:r>
          </w:p>
        </w:tc>
      </w:tr>
    </w:tbl>
    <w:p>
      <w:pPr>
        <w:widowControl/>
        <w:jc w:val="both"/>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center"/>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无政府性基金收入支出</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边县宁条梁镇人民政府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1,457.38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717.37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6、经营收入</w:t>
            </w:r>
          </w:p>
        </w:tc>
        <w:tc>
          <w:tcPr>
            <w:tcW w:w="1080" w:type="dxa"/>
            <w:tcBorders>
              <w:top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80.16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107.98</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lang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328.06</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58.68</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1,457.38</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1,457.38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1,457.38</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bookmarkStart w:id="0" w:name="_GoBack"/>
      <w:bookmarkEnd w:id="0"/>
    </w:p>
    <w:p>
      <w:pPr>
        <w:rPr>
          <w:rFonts w:ascii="宋体" w:hAnsi="宋体" w:cs="宋体"/>
          <w:b/>
          <w:bCs/>
          <w:sz w:val="48"/>
          <w:szCs w:val="48"/>
        </w:rPr>
      </w:pPr>
      <w:r>
        <w:rPr>
          <w:rFonts w:hint="eastAsia" w:ascii="宋体" w:hAnsi="宋体" w:cs="宋体"/>
          <w:b/>
          <w:bCs/>
          <w:color w:val="auto"/>
          <w:szCs w:val="21"/>
        </w:rPr>
        <w:t xml:space="preserve">编制部门：  </w:t>
      </w:r>
      <w:r>
        <w:rPr>
          <w:rFonts w:hint="eastAsia" w:ascii="宋体" w:hAnsi="宋体" w:cs="宋体"/>
          <w:b/>
          <w:bCs/>
          <w:color w:val="auto"/>
          <w:szCs w:val="21"/>
          <w:lang w:val="en-US" w:eastAsia="zh-CN"/>
        </w:rPr>
        <w:t>靖</w:t>
      </w:r>
      <w:r>
        <w:rPr>
          <w:rFonts w:hint="eastAsia" w:ascii="宋体" w:hAnsi="宋体" w:cs="宋体"/>
          <w:b/>
          <w:bCs/>
          <w:szCs w:val="21"/>
          <w:lang w:val="en-US" w:eastAsia="zh-CN"/>
        </w:rPr>
        <w:t xml:space="preserve">边县宁条梁镇人民政府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8" w:type="dxa"/>
        <w:tblInd w:w="0" w:type="dxa"/>
        <w:tblLayout w:type="fixed"/>
        <w:tblCellMar>
          <w:top w:w="15" w:type="dxa"/>
          <w:left w:w="15" w:type="dxa"/>
          <w:bottom w:w="15" w:type="dxa"/>
          <w:right w:w="15" w:type="dxa"/>
        </w:tblCellMar>
      </w:tblPr>
      <w:tblGrid>
        <w:gridCol w:w="774"/>
        <w:gridCol w:w="910"/>
        <w:gridCol w:w="856"/>
        <w:gridCol w:w="871"/>
        <w:gridCol w:w="721"/>
        <w:gridCol w:w="721"/>
        <w:gridCol w:w="1472"/>
        <w:gridCol w:w="751"/>
        <w:gridCol w:w="991"/>
        <w:gridCol w:w="811"/>
      </w:tblGrid>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030" w:hRule="atLeast"/>
        </w:trPr>
        <w:tc>
          <w:tcPr>
            <w:tcW w:w="77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717.37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717.37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572.08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572.08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262.59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262.59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机关服务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68.32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民族事务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149.80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706"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2080105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劳动保障监察</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行政事业单位离退休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107.98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107.98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计划生育事务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2100716</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计划生育机构</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城乡社区规划与管理</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328.06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328.06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2130104</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43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ascii="宋体" w:hAnsi="宋体" w:cs="宋体"/>
          <w:b/>
          <w:bCs/>
          <w:sz w:val="32"/>
          <w:szCs w:val="32"/>
        </w:rPr>
      </w:pPr>
      <w:r>
        <w:rPr>
          <w:rFonts w:hint="eastAsia" w:ascii="宋体" w:hAnsi="宋体" w:cs="宋体"/>
          <w:b/>
          <w:bCs/>
          <w:sz w:val="32"/>
          <w:szCs w:val="32"/>
          <w:lang w:val="en-US" w:eastAsia="zh-CN"/>
        </w:rPr>
        <w:t>支出</w:t>
      </w:r>
      <w:r>
        <w:rPr>
          <w:rFonts w:hint="eastAsia" w:ascii="宋体" w:hAnsi="宋体" w:cs="宋体"/>
          <w:b/>
          <w:bCs/>
          <w:sz w:val="32"/>
          <w:szCs w:val="32"/>
        </w:rPr>
        <w:t>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color w:val="auto"/>
          <w:szCs w:val="21"/>
        </w:rPr>
        <w:t xml:space="preserve">编制部门：  </w:t>
      </w:r>
      <w:r>
        <w:rPr>
          <w:rFonts w:hint="eastAsia" w:ascii="宋体" w:hAnsi="宋体" w:cs="宋体"/>
          <w:b/>
          <w:bCs/>
          <w:color w:val="auto"/>
          <w:szCs w:val="21"/>
          <w:lang w:val="en-US" w:eastAsia="zh-CN"/>
        </w:rPr>
        <w:t>靖</w:t>
      </w:r>
      <w:r>
        <w:rPr>
          <w:rFonts w:hint="eastAsia" w:ascii="宋体" w:hAnsi="宋体" w:cs="宋体"/>
          <w:b/>
          <w:bCs/>
          <w:szCs w:val="21"/>
          <w:lang w:val="en-US" w:eastAsia="zh-CN"/>
        </w:rPr>
        <w:t xml:space="preserve">边县宁条梁镇人民政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8" w:type="dxa"/>
        <w:tblInd w:w="0" w:type="dxa"/>
        <w:tblLayout w:type="fixed"/>
        <w:tblCellMar>
          <w:top w:w="15" w:type="dxa"/>
          <w:left w:w="15" w:type="dxa"/>
          <w:bottom w:w="15" w:type="dxa"/>
          <w:right w:w="15" w:type="dxa"/>
        </w:tblCellMar>
      </w:tblPr>
      <w:tblGrid>
        <w:gridCol w:w="774"/>
        <w:gridCol w:w="910"/>
        <w:gridCol w:w="856"/>
        <w:gridCol w:w="871"/>
        <w:gridCol w:w="721"/>
        <w:gridCol w:w="721"/>
        <w:gridCol w:w="1472"/>
        <w:gridCol w:w="751"/>
        <w:gridCol w:w="991"/>
        <w:gridCol w:w="811"/>
      </w:tblGrid>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030" w:hRule="atLeast"/>
        </w:trPr>
        <w:tc>
          <w:tcPr>
            <w:tcW w:w="77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24" w:hRule="atLeast"/>
        </w:trPr>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717.37</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717.37</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572.08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572.08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262.59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262.59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机关服务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68.32</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民族事务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7.33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984"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2012399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2013199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428"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2070109</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80.16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149.80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1706"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2080105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劳动保障监察</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行政事业单位离退休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120.53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107.98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107.98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计划生育事务</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2100716</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计划生育机构</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60.94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47.04</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城乡社区规划与管理</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1149"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15.33</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328.06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328.06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59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2130104</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事业运行</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188.40</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433"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2130705</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139.66</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CellMar>
            <w:top w:w="15" w:type="dxa"/>
            <w:left w:w="15" w:type="dxa"/>
            <w:bottom w:w="15" w:type="dxa"/>
            <w:right w:w="15" w:type="dxa"/>
          </w:tblCellMar>
        </w:tblPrEx>
        <w:trPr>
          <w:trHeight w:val="601" w:hRule="atLeast"/>
        </w:trPr>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7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边县宁条梁镇人民政府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99" w:type="dxa"/>
        <w:tblInd w:w="0" w:type="dxa"/>
        <w:tblLayout w:type="fixed"/>
        <w:tblCellMar>
          <w:top w:w="15" w:type="dxa"/>
          <w:left w:w="15" w:type="dxa"/>
          <w:bottom w:w="15" w:type="dxa"/>
          <w:right w:w="15" w:type="dxa"/>
        </w:tblCellMar>
      </w:tblPr>
      <w:tblGrid>
        <w:gridCol w:w="2545"/>
        <w:gridCol w:w="996"/>
        <w:gridCol w:w="2377"/>
        <w:gridCol w:w="852"/>
        <w:gridCol w:w="1072"/>
        <w:gridCol w:w="957"/>
      </w:tblGrid>
      <w:tr>
        <w:tblPrEx>
          <w:tblCellMar>
            <w:top w:w="15" w:type="dxa"/>
            <w:left w:w="15" w:type="dxa"/>
            <w:bottom w:w="15" w:type="dxa"/>
            <w:right w:w="15" w:type="dxa"/>
          </w:tblCellMar>
        </w:tblPrEx>
        <w:trPr>
          <w:trHeight w:val="276" w:hRule="atLeast"/>
        </w:trPr>
        <w:tc>
          <w:tcPr>
            <w:tcW w:w="35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25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764"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52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1,457.38</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717.37</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41"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9"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107.98</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328.06</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58.68</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1,457.38</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1,457.38</w:t>
            </w: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年末财政拨款结转和结余</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7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1、一般公共预算财政拨款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486"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w:t>
            </w:r>
            <w:r>
              <w:rPr>
                <w:rFonts w:hint="eastAsia" w:ascii="宋体" w:hAnsi="宋体" w:cs="宋体"/>
                <w:color w:val="000000"/>
                <w:kern w:val="0"/>
                <w:szCs w:val="21"/>
              </w:rPr>
              <w:t>政府性基金预算财政拨款</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eastAsia="宋体" w:cs="宋体"/>
                <w:color w:val="000000"/>
                <w:kern w:val="0"/>
                <w:szCs w:val="21"/>
                <w:lang w:eastAsia="zh-CN"/>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283"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9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1,457.38</w:t>
            </w:r>
          </w:p>
        </w:tc>
        <w:tc>
          <w:tcPr>
            <w:tcW w:w="2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852"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07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1,457.38</w:t>
            </w:r>
          </w:p>
        </w:tc>
        <w:tc>
          <w:tcPr>
            <w:tcW w:w="957"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left"/>
        <w:rPr>
          <w:rFonts w:ascii="宋体" w:hAnsi="宋体" w:cs="宋体"/>
          <w:bCs/>
          <w:szCs w:val="21"/>
        </w:rPr>
      </w:pPr>
      <w:r>
        <w:rPr>
          <w:rFonts w:hint="eastAsia" w:ascii="宋体" w:hAnsi="宋体" w:cs="宋体"/>
          <w:bCs/>
          <w:szCs w:val="21"/>
        </w:rPr>
        <w:t>注：本表反映部门本年度一般公共预算财政拨款和政府性基金预算财政拨款的总收支和年末结转结余情况。本表金额转换为万元时，因四舍五入可能存在尾差。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边县宁条梁镇人民政府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1,457.38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981.63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843.51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138.12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475.75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717.37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381.27</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243.15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138.12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336.09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人大事务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572.08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262.59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262.59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126.14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309.49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63.32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2010603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机关服务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63.32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20123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民族事务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2012399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7.33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20131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2013101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33.04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2013199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其他党委办公厅（室）及相关机构事务支出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2070109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80.16</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149.80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2080105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劳动保障监察</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29.28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107.98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107.98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107.98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2100716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计划生育机构</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60.94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21202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2120201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328.06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2130104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188.40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139.66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2130705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139.66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139.66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58.68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边县宁条梁镇人民政府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981.63</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843.51</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138.12</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9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843.51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276.48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7"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107.40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47.04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58.68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1"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18.55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咨询费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因公出国（境）费用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租赁费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被装购置费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专用燃料费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kern w:val="0"/>
                <w:sz w:val="21"/>
                <w:szCs w:val="21"/>
              </w:rPr>
            </w:pPr>
            <w:r>
              <w:rPr>
                <w:rFonts w:hint="eastAsia" w:ascii="宋体" w:hAnsi="宋体" w:eastAsia="宋体" w:cs="宋体"/>
                <w:b w:val="0"/>
                <w:bCs w:val="0"/>
                <w:i w:val="0"/>
                <w:color w:val="000000"/>
                <w:kern w:val="0"/>
                <w:sz w:val="21"/>
                <w:szCs w:val="21"/>
                <w:u w:val="none"/>
                <w:lang w:val="en-US" w:eastAsia="zh-CN" w:bidi="ar"/>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val="0"/>
                <w:bCs w:val="0"/>
                <w:color w:val="000000"/>
                <w:sz w:val="21"/>
                <w:szCs w:val="21"/>
              </w:rPr>
            </w:pPr>
            <w:r>
              <w:rPr>
                <w:rFonts w:hint="eastAsia" w:ascii="宋体" w:hAnsi="宋体" w:eastAsia="宋体" w:cs="宋体"/>
                <w:b w:val="0"/>
                <w:bCs w:val="0"/>
                <w:i w:val="0"/>
                <w:color w:val="000000"/>
                <w:kern w:val="0"/>
                <w:sz w:val="21"/>
                <w:szCs w:val="21"/>
                <w:u w:val="none"/>
                <w:lang w:val="en-US" w:eastAsia="zh-CN" w:bidi="ar"/>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30229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30240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税金及附加费用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28.19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37"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离休费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退休费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2"/>
                <w:sz w:val="21"/>
                <w:szCs w:val="21"/>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抚恤金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救济费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医疗费补助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助学金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个人农业生产补贴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30399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其他对个人和家庭的补助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 xml:space="preserve">边县宁条梁镇人民政府  </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13.66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6.78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6.88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6.88</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13.07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6.35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6.72</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6.72</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val="0"/>
                <w:bCs/>
                <w:color w:val="000000"/>
                <w:szCs w:val="21"/>
                <w:lang w:val="en-US" w:eastAsia="zh-CN"/>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color w:val="auto"/>
          <w:szCs w:val="21"/>
        </w:rPr>
        <w:t>编制部门：</w:t>
      </w:r>
      <w:r>
        <w:rPr>
          <w:rFonts w:hint="eastAsia" w:ascii="宋体" w:hAnsi="宋体" w:cs="宋体"/>
          <w:b/>
          <w:bCs/>
          <w:color w:val="auto"/>
          <w:szCs w:val="21"/>
          <w:lang w:val="en-US" w:eastAsia="zh-CN"/>
        </w:rPr>
        <w:t>靖</w:t>
      </w:r>
      <w:r>
        <w:rPr>
          <w:rFonts w:hint="eastAsia" w:ascii="宋体" w:hAnsi="宋体" w:cs="宋体"/>
          <w:b/>
          <w:bCs/>
          <w:szCs w:val="21"/>
          <w:lang w:val="en-US" w:eastAsia="zh-CN"/>
        </w:rPr>
        <w:t>边县宁条梁镇人民政府</w:t>
      </w:r>
      <w:r>
        <w:rPr>
          <w:rFonts w:hint="eastAsia" w:ascii="宋体" w:hAnsi="宋体" w:cs="宋体"/>
          <w:b/>
          <w:bCs/>
          <w:color w:val="2E75B6" w:themeColor="accent1" w:themeShade="BF"/>
          <w:szCs w:val="21"/>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第三部分 2019 年部门决算情况说明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一、收入支出决算总体情况说明 </w:t>
      </w:r>
    </w:p>
    <w:p>
      <w:pPr>
        <w:widowControl/>
        <w:ind w:firstLine="640" w:firstLineChars="200"/>
        <w:jc w:val="left"/>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2019年收入、支出总计1457.38万元，与 2018 年相比，收入、支出总计增加455.65万元，增加45.49%，主要是人员工资及项目增加。</w:t>
      </w:r>
    </w:p>
    <w:p>
      <w:pPr>
        <w:widowControl/>
        <w:ind w:firstLine="640" w:firstLineChars="200"/>
        <w:jc w:val="left"/>
        <w:rPr>
          <w:rFonts w:hint="eastAsia" w:ascii="仿宋_GB2312" w:hAnsi="仿宋" w:eastAsia="仿宋_GB2312"/>
          <w:color w:val="2E75B6" w:themeColor="accent1" w:themeShade="BF"/>
          <w:sz w:val="32"/>
          <w:szCs w:val="32"/>
          <w:lang w:val="en-US" w:eastAsia="zh-CN"/>
        </w:rPr>
      </w:pPr>
      <w:r>
        <w:rPr>
          <w:rFonts w:hint="eastAsia" w:ascii="仿宋_GB2312" w:hAnsi="仿宋" w:eastAsia="仿宋_GB2312"/>
          <w:color w:val="2E75B6" w:themeColor="accent1" w:themeShade="BF"/>
          <w:sz w:val="32"/>
          <w:szCs w:val="32"/>
          <w:lang w:val="en-US" w:eastAsia="zh-CN"/>
        </w:rPr>
        <w:drawing>
          <wp:inline distT="0" distB="0" distL="114300" distR="114300">
            <wp:extent cx="5080000" cy="38100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二、收入决算情况说明</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825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ascii="仿宋_GB2312" w:hAnsi="宋体" w:eastAsia="仿宋_GB2312" w:cs="仿宋_GB2312"/>
          <w:color w:val="auto"/>
          <w:kern w:val="0"/>
          <w:sz w:val="32"/>
          <w:szCs w:val="32"/>
          <w:lang w:bidi="ar"/>
        </w:rPr>
        <w:t>收入合计</w:t>
      </w:r>
      <w:r>
        <w:rPr>
          <w:rFonts w:hint="eastAsia" w:ascii="仿宋_GB2312" w:hAnsi="仿宋" w:eastAsia="仿宋_GB2312"/>
          <w:b w:val="0"/>
          <w:bCs w:val="0"/>
          <w:color w:val="auto"/>
          <w:sz w:val="32"/>
          <w:szCs w:val="32"/>
          <w:lang w:val="en-US" w:eastAsia="zh-CN"/>
        </w:rPr>
        <w:t>1457.38</w:t>
      </w:r>
      <w:r>
        <w:rPr>
          <w:rFonts w:ascii="仿宋_GB2312" w:hAnsi="宋体" w:eastAsia="仿宋_GB2312" w:cs="仿宋_GB2312"/>
          <w:color w:val="auto"/>
          <w:kern w:val="0"/>
          <w:sz w:val="32"/>
          <w:szCs w:val="32"/>
          <w:lang w:bidi="ar"/>
        </w:rPr>
        <w:t>万元，其中：财政拨款收入</w:t>
      </w:r>
      <w:r>
        <w:rPr>
          <w:rFonts w:hint="eastAsia" w:ascii="仿宋_GB2312" w:hAnsi="仿宋" w:eastAsia="仿宋_GB2312"/>
          <w:b w:val="0"/>
          <w:bCs w:val="0"/>
          <w:color w:val="auto"/>
          <w:sz w:val="32"/>
          <w:szCs w:val="32"/>
          <w:lang w:val="en-US" w:eastAsia="zh-CN"/>
        </w:rPr>
        <w:t>1457.38</w:t>
      </w:r>
      <w:r>
        <w:rPr>
          <w:rFonts w:ascii="仿宋_GB2312" w:hAnsi="宋体" w:eastAsia="仿宋_GB2312" w:cs="仿宋_GB2312"/>
          <w:color w:val="auto"/>
          <w:kern w:val="0"/>
          <w:sz w:val="32"/>
          <w:szCs w:val="32"/>
          <w:lang w:bidi="ar"/>
        </w:rPr>
        <w:t>万元，占收入</w:t>
      </w:r>
      <w:r>
        <w:rPr>
          <w:rFonts w:hint="eastAsia" w:ascii="仿宋_GB2312" w:hAnsi="宋体" w:eastAsia="仿宋_GB2312" w:cs="仿宋_GB2312"/>
          <w:color w:val="auto"/>
          <w:kern w:val="0"/>
          <w:sz w:val="32"/>
          <w:szCs w:val="32"/>
          <w:lang w:val="en-US" w:eastAsia="zh-CN" w:bidi="ar"/>
        </w:rPr>
        <w:t>100</w:t>
      </w:r>
      <w:r>
        <w:rPr>
          <w:rFonts w:ascii="仿宋_GB2312" w:hAnsi="宋体" w:eastAsia="仿宋_GB2312" w:cs="仿宋_GB2312"/>
          <w:color w:val="auto"/>
          <w:kern w:val="0"/>
          <w:sz w:val="32"/>
          <w:szCs w:val="32"/>
          <w:lang w:bidi="ar"/>
        </w:rPr>
        <w:t>%；事业</w:t>
      </w:r>
      <w:r>
        <w:rPr>
          <w:rFonts w:ascii="仿宋_GB2312" w:hAnsi="宋体" w:eastAsia="仿宋_GB2312" w:cs="仿宋_GB2312"/>
          <w:color w:val="000000"/>
          <w:kern w:val="0"/>
          <w:sz w:val="32"/>
          <w:szCs w:val="32"/>
          <w:lang w:bidi="ar"/>
        </w:rPr>
        <w:t>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 xml:space="preserve">三、支出决算情况说明  </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825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w:t>
      </w:r>
      <w:r>
        <w:rPr>
          <w:rFonts w:ascii="仿宋_GB2312" w:hAnsi="宋体" w:eastAsia="仿宋_GB2312" w:cs="仿宋_GB2312"/>
          <w:color w:val="auto"/>
          <w:kern w:val="0"/>
          <w:sz w:val="32"/>
          <w:szCs w:val="32"/>
          <w:lang w:bidi="ar"/>
        </w:rPr>
        <w:t>支出合计</w:t>
      </w:r>
      <w:r>
        <w:rPr>
          <w:rFonts w:hint="eastAsia" w:ascii="仿宋_GB2312" w:hAnsi="仿宋" w:eastAsia="仿宋_GB2312"/>
          <w:b w:val="0"/>
          <w:bCs w:val="0"/>
          <w:color w:val="auto"/>
          <w:sz w:val="32"/>
          <w:szCs w:val="32"/>
          <w:lang w:val="en-US" w:eastAsia="zh-CN"/>
        </w:rPr>
        <w:t>1457.38</w:t>
      </w:r>
      <w:r>
        <w:rPr>
          <w:rFonts w:ascii="仿宋_GB2312" w:hAnsi="宋体" w:eastAsia="仿宋_GB2312" w:cs="仿宋_GB2312"/>
          <w:color w:val="auto"/>
          <w:kern w:val="0"/>
          <w:sz w:val="32"/>
          <w:szCs w:val="32"/>
          <w:lang w:bidi="ar"/>
        </w:rPr>
        <w:t>万元，其中：基本支出</w:t>
      </w:r>
      <w:r>
        <w:rPr>
          <w:rFonts w:hint="eastAsia" w:ascii="仿宋_GB2312" w:hAnsi="宋体" w:eastAsia="仿宋_GB2312" w:cs="仿宋_GB2312"/>
          <w:color w:val="auto"/>
          <w:kern w:val="0"/>
          <w:sz w:val="32"/>
          <w:szCs w:val="32"/>
          <w:lang w:val="en-US" w:eastAsia="zh-CN" w:bidi="ar"/>
        </w:rPr>
        <w:t>981.63</w:t>
      </w:r>
      <w:r>
        <w:rPr>
          <w:rFonts w:ascii="仿宋_GB2312" w:hAnsi="宋体" w:eastAsia="仿宋_GB2312" w:cs="仿宋_GB2312"/>
          <w:color w:val="auto"/>
          <w:kern w:val="0"/>
          <w:sz w:val="32"/>
          <w:szCs w:val="32"/>
          <w:lang w:bidi="ar"/>
        </w:rPr>
        <w:t>万元，占支出</w:t>
      </w:r>
      <w:r>
        <w:rPr>
          <w:rFonts w:hint="eastAsia" w:ascii="仿宋_GB2312" w:hAnsi="宋体" w:eastAsia="仿宋_GB2312" w:cs="仿宋_GB2312"/>
          <w:color w:val="auto"/>
          <w:kern w:val="0"/>
          <w:sz w:val="32"/>
          <w:szCs w:val="32"/>
          <w:lang w:val="en-US" w:eastAsia="zh-CN" w:bidi="ar"/>
        </w:rPr>
        <w:t>60</w:t>
      </w:r>
      <w:r>
        <w:rPr>
          <w:rFonts w:ascii="仿宋_GB2312" w:hAnsi="宋体" w:eastAsia="仿宋_GB2312" w:cs="仿宋_GB2312"/>
          <w:color w:val="auto"/>
          <w:kern w:val="0"/>
          <w:sz w:val="32"/>
          <w:szCs w:val="32"/>
          <w:lang w:bidi="ar"/>
        </w:rPr>
        <w:t>%；项目支出</w:t>
      </w:r>
      <w:r>
        <w:rPr>
          <w:rFonts w:hint="eastAsia" w:ascii="仿宋_GB2312" w:hAnsi="宋体" w:eastAsia="仿宋_GB2312" w:cs="仿宋_GB2312"/>
          <w:color w:val="auto"/>
          <w:kern w:val="0"/>
          <w:sz w:val="32"/>
          <w:szCs w:val="32"/>
          <w:lang w:val="en-US" w:eastAsia="zh-CN" w:bidi="ar"/>
        </w:rPr>
        <w:t>475.75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40</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四、财政拨款收入支出决算总体情况说明  </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8255"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2019 年财政拨款收入、支出总计 1457.38万元，与 2018 年相比，收入、支出总计增加455.65万元，增加45.49%，主要是人员工资及项目增加。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五、一般公共预算财政拨款支出决算情况说明</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8255"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3" w:firstLineChars="200"/>
        <w:jc w:val="left"/>
        <w:rPr>
          <w:rFonts w:hint="eastAsia" w:ascii="仿宋_GB2312" w:hAnsi="仿宋" w:eastAsia="仿宋_GB2312"/>
          <w:sz w:val="32"/>
          <w:szCs w:val="32"/>
          <w:lang w:eastAsia="zh-CN"/>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ascii="仿宋_GB2312" w:hAnsi="宋体" w:eastAsia="仿宋_GB2312" w:cs="仿宋_GB2312"/>
          <w:color w:val="000000"/>
          <w:kern w:val="0"/>
          <w:sz w:val="32"/>
          <w:szCs w:val="32"/>
          <w:lang w:bidi="ar"/>
        </w:rPr>
        <w:t>2019 年</w:t>
      </w:r>
      <w:r>
        <w:rPr>
          <w:rFonts w:ascii="仿宋_GB2312" w:hAnsi="宋体" w:eastAsia="仿宋_GB2312" w:cs="仿宋_GB2312"/>
          <w:color w:val="auto"/>
          <w:kern w:val="0"/>
          <w:sz w:val="32"/>
          <w:szCs w:val="32"/>
          <w:lang w:bidi="ar"/>
        </w:rPr>
        <w:t>财政拨款支出</w:t>
      </w:r>
      <w:r>
        <w:rPr>
          <w:rFonts w:hint="eastAsia" w:ascii="仿宋_GB2312" w:hAnsi="仿宋" w:eastAsia="仿宋_GB2312"/>
          <w:color w:val="auto"/>
          <w:sz w:val="32"/>
          <w:szCs w:val="32"/>
          <w:lang w:val="en-US" w:eastAsia="zh-CN"/>
        </w:rPr>
        <w:t>1457.38</w:t>
      </w:r>
      <w:r>
        <w:rPr>
          <w:rFonts w:ascii="仿宋_GB2312" w:hAnsi="宋体" w:eastAsia="仿宋_GB2312" w:cs="仿宋_GB2312"/>
          <w:color w:val="auto"/>
          <w:kern w:val="0"/>
          <w:sz w:val="32"/>
          <w:szCs w:val="32"/>
          <w:lang w:bidi="ar"/>
        </w:rPr>
        <w:t xml:space="preserve"> 万元，占本年支出合计的</w:t>
      </w:r>
      <w:r>
        <w:rPr>
          <w:rFonts w:hint="eastAsia" w:ascii="仿宋_GB2312" w:hAnsi="宋体" w:eastAsia="仿宋_GB2312" w:cs="仿宋_GB2312"/>
          <w:color w:val="auto"/>
          <w:kern w:val="0"/>
          <w:sz w:val="32"/>
          <w:szCs w:val="32"/>
          <w:lang w:val="en-US" w:eastAsia="zh-CN" w:bidi="ar"/>
        </w:rPr>
        <w:t>100</w:t>
      </w:r>
      <w:r>
        <w:rPr>
          <w:rFonts w:ascii="仿宋_GB2312" w:hAnsi="宋体" w:eastAsia="仿宋_GB2312" w:cs="仿宋_GB2312"/>
          <w:color w:val="auto"/>
          <w:kern w:val="0"/>
          <w:sz w:val="32"/>
          <w:szCs w:val="32"/>
          <w:lang w:bidi="ar"/>
        </w:rPr>
        <w:t>%。与</w:t>
      </w:r>
      <w:r>
        <w:rPr>
          <w:rFonts w:hint="eastAsia" w:ascii="仿宋_GB2312" w:hAnsi="宋体" w:eastAsia="仿宋_GB2312" w:cs="仿宋_GB2312"/>
          <w:color w:val="auto"/>
          <w:kern w:val="0"/>
          <w:sz w:val="32"/>
          <w:szCs w:val="32"/>
          <w:lang w:bidi="ar"/>
        </w:rPr>
        <w:t>上年</w:t>
      </w:r>
      <w:r>
        <w:rPr>
          <w:rFonts w:ascii="仿宋_GB2312" w:hAnsi="宋体" w:eastAsia="仿宋_GB2312" w:cs="仿宋_GB2312"/>
          <w:color w:val="auto"/>
          <w:kern w:val="0"/>
          <w:sz w:val="32"/>
          <w:szCs w:val="32"/>
          <w:lang w:bidi="ar"/>
        </w:rPr>
        <w:t>相比，财政拨款支出增加</w:t>
      </w:r>
      <w:r>
        <w:rPr>
          <w:rFonts w:hint="eastAsia" w:ascii="仿宋_GB2312" w:hAnsi="仿宋" w:eastAsia="仿宋_GB2312"/>
          <w:b w:val="0"/>
          <w:bCs w:val="0"/>
          <w:color w:val="auto"/>
          <w:sz w:val="32"/>
          <w:szCs w:val="32"/>
          <w:lang w:val="en-US" w:eastAsia="zh-CN"/>
        </w:rPr>
        <w:t>455.65</w:t>
      </w:r>
      <w:r>
        <w:rPr>
          <w:rFonts w:ascii="仿宋_GB2312" w:hAnsi="宋体" w:eastAsia="仿宋_GB2312" w:cs="仿宋_GB2312"/>
          <w:color w:val="auto"/>
          <w:kern w:val="0"/>
          <w:sz w:val="32"/>
          <w:szCs w:val="32"/>
          <w:lang w:bidi="ar"/>
        </w:rPr>
        <w:t>万元，增长</w:t>
      </w:r>
      <w:r>
        <w:rPr>
          <w:rFonts w:hint="eastAsia" w:ascii="仿宋_GB2312" w:hAnsi="仿宋" w:eastAsia="仿宋_GB2312"/>
          <w:b w:val="0"/>
          <w:bCs w:val="0"/>
          <w:color w:val="auto"/>
          <w:sz w:val="32"/>
          <w:szCs w:val="32"/>
          <w:lang w:val="en-US" w:eastAsia="zh-CN"/>
        </w:rPr>
        <w:t>45.49%</w:t>
      </w:r>
      <w:r>
        <w:rPr>
          <w:rFonts w:ascii="仿宋_GB2312" w:hAnsi="宋体" w:eastAsia="仿宋_GB2312" w:cs="仿宋_GB2312"/>
          <w:color w:val="auto"/>
          <w:kern w:val="0"/>
          <w:sz w:val="32"/>
          <w:szCs w:val="32"/>
          <w:lang w:bidi="ar"/>
        </w:rPr>
        <w:t>，主要</w:t>
      </w:r>
      <w:r>
        <w:rPr>
          <w:rFonts w:hint="eastAsia" w:ascii="仿宋_GB2312" w:hAnsi="宋体" w:eastAsia="仿宋_GB2312" w:cs="仿宋_GB2312"/>
          <w:color w:val="auto"/>
          <w:kern w:val="0"/>
          <w:sz w:val="32"/>
          <w:szCs w:val="32"/>
          <w:lang w:bidi="ar"/>
        </w:rPr>
        <w:t>原因是</w:t>
      </w:r>
      <w:r>
        <w:rPr>
          <w:rFonts w:hint="eastAsia" w:ascii="仿宋_GB2312" w:hAnsi="仿宋" w:eastAsia="仿宋_GB2312"/>
          <w:color w:val="auto"/>
          <w:sz w:val="32"/>
          <w:szCs w:val="32"/>
          <w:lang w:val="en-US" w:eastAsia="zh-CN"/>
        </w:rPr>
        <w:t>人员工资及项目增加</w:t>
      </w:r>
      <w:r>
        <w:rPr>
          <w:rFonts w:hint="eastAsia" w:ascii="仿宋_GB2312" w:hAnsi="宋体" w:eastAsia="仿宋_GB2312" w:cs="仿宋_GB2312"/>
          <w:color w:val="auto"/>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val="en-US" w:eastAsia="zh-CN"/>
        </w:rPr>
      </w:pPr>
      <w:r>
        <w:rPr>
          <w:rFonts w:ascii="仿宋_GB2312" w:hAnsi="宋体" w:eastAsia="仿宋_GB2312" w:cs="仿宋_GB2312"/>
          <w:color w:val="000000"/>
          <w:kern w:val="0"/>
          <w:sz w:val="32"/>
          <w:szCs w:val="32"/>
          <w:lang w:bidi="ar"/>
        </w:rPr>
        <w:t>2019 年财政拨款支出决算为</w:t>
      </w:r>
      <w:r>
        <w:rPr>
          <w:rFonts w:hint="eastAsia" w:ascii="仿宋_GB2312" w:hAnsi="宋体" w:eastAsia="仿宋_GB2312" w:cs="仿宋_GB2312"/>
          <w:color w:val="000000"/>
          <w:kern w:val="0"/>
          <w:sz w:val="32"/>
          <w:szCs w:val="32"/>
          <w:lang w:val="en-US" w:eastAsia="zh-CN" w:bidi="ar"/>
        </w:rPr>
        <w:t>1457.38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其中：一般公共服务支出（类）为</w:t>
      </w:r>
      <w:r>
        <w:rPr>
          <w:rFonts w:hint="eastAsia" w:ascii="仿宋_GB2312" w:hAnsi="宋体" w:eastAsia="仿宋_GB2312" w:cs="仿宋_GB2312"/>
          <w:color w:val="000000"/>
          <w:kern w:val="0"/>
          <w:sz w:val="32"/>
          <w:szCs w:val="32"/>
          <w:lang w:val="en-US" w:eastAsia="zh-CN" w:bidi="ar"/>
        </w:rPr>
        <w:t>717.37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文化旅游体育与传媒支出</w:t>
      </w:r>
      <w:r>
        <w:rPr>
          <w:rFonts w:hint="eastAsia" w:ascii="仿宋_GB2312" w:hAnsi="宋体" w:eastAsia="仿宋_GB2312" w:cs="仿宋_GB2312"/>
          <w:color w:val="000000"/>
          <w:kern w:val="0"/>
          <w:sz w:val="32"/>
          <w:szCs w:val="32"/>
          <w:lang w:val="en-US" w:eastAsia="zh-CN" w:bidi="ar"/>
        </w:rPr>
        <w:t>80.16</w:t>
      </w:r>
      <w:r>
        <w:rPr>
          <w:rFonts w:hint="eastAsia" w:ascii="仿宋_GB2312" w:hAnsi="宋体" w:eastAsia="仿宋_GB2312" w:cs="仿宋_GB2312"/>
          <w:color w:val="000000"/>
          <w:kern w:val="0"/>
          <w:sz w:val="32"/>
          <w:szCs w:val="32"/>
          <w:lang w:bidi="ar"/>
        </w:rPr>
        <w:t xml:space="preserve"> 万元；社会保障和就业支出</w:t>
      </w:r>
      <w:r>
        <w:rPr>
          <w:rFonts w:hint="eastAsia" w:ascii="仿宋_GB2312" w:hAnsi="宋体" w:eastAsia="仿宋_GB2312" w:cs="仿宋_GB2312"/>
          <w:color w:val="000000"/>
          <w:kern w:val="0"/>
          <w:sz w:val="32"/>
          <w:szCs w:val="32"/>
          <w:lang w:val="en-US" w:eastAsia="zh-CN" w:bidi="ar"/>
        </w:rPr>
        <w:t>149.80</w:t>
      </w:r>
      <w:r>
        <w:rPr>
          <w:rFonts w:hint="eastAsia" w:ascii="仿宋_GB2312" w:hAnsi="宋体" w:eastAsia="仿宋_GB2312" w:cs="仿宋_GB2312"/>
          <w:color w:val="000000"/>
          <w:kern w:val="0"/>
          <w:sz w:val="32"/>
          <w:szCs w:val="32"/>
          <w:lang w:bidi="ar"/>
        </w:rPr>
        <w:t>万元；卫生健康支出</w:t>
      </w:r>
      <w:r>
        <w:rPr>
          <w:rFonts w:ascii="仿宋_GB2312" w:hAnsi="宋体" w:eastAsia="仿宋_GB2312" w:cs="仿宋_GB2312"/>
          <w:color w:val="000000"/>
          <w:kern w:val="0"/>
          <w:sz w:val="32"/>
          <w:szCs w:val="32"/>
          <w:lang w:bidi="ar"/>
        </w:rPr>
        <w:t>（类）为</w:t>
      </w:r>
      <w:r>
        <w:rPr>
          <w:rFonts w:hint="eastAsia" w:ascii="仿宋_GB2312" w:hAnsi="宋体" w:eastAsia="仿宋_GB2312" w:cs="仿宋_GB2312"/>
          <w:color w:val="000000"/>
          <w:kern w:val="0"/>
          <w:sz w:val="32"/>
          <w:szCs w:val="32"/>
          <w:lang w:val="en-US" w:eastAsia="zh-CN" w:bidi="ar"/>
        </w:rPr>
        <w:t>107.98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;城乡社区支出为15.33；</w:t>
      </w:r>
      <w:r>
        <w:rPr>
          <w:rFonts w:hint="eastAsia" w:ascii="仿宋_GB2312" w:hAnsi="宋体" w:eastAsia="仿宋_GB2312" w:cs="仿宋_GB2312"/>
          <w:color w:val="000000"/>
          <w:kern w:val="0"/>
          <w:sz w:val="32"/>
          <w:szCs w:val="32"/>
          <w:lang w:bidi="ar"/>
        </w:rPr>
        <w:t>农林水支出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val="en-US" w:eastAsia="zh-CN" w:bidi="ar"/>
        </w:rPr>
        <w:t>328.06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;住房保障支出</w:t>
      </w:r>
      <w:r>
        <w:rPr>
          <w:rFonts w:ascii="仿宋_GB2312" w:hAnsi="宋体" w:eastAsia="仿宋_GB2312" w:cs="仿宋_GB2312"/>
          <w:color w:val="000000"/>
          <w:kern w:val="0"/>
          <w:sz w:val="32"/>
          <w:szCs w:val="32"/>
          <w:lang w:bidi="ar"/>
        </w:rPr>
        <w:t>（类）</w:t>
      </w:r>
      <w:r>
        <w:rPr>
          <w:rFonts w:hint="eastAsia" w:ascii="仿宋_GB2312" w:hAnsi="宋体" w:eastAsia="仿宋_GB2312" w:cs="仿宋_GB2312"/>
          <w:color w:val="000000"/>
          <w:kern w:val="0"/>
          <w:sz w:val="32"/>
          <w:szCs w:val="32"/>
          <w:lang w:val="en-US" w:eastAsia="zh-CN" w:bidi="ar"/>
        </w:rPr>
        <w:t>58.68</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 xml:space="preserve">六、一般公共预算财政拨款基本支出决算情况说明 </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2</w:t>
      </w:r>
      <w:r>
        <w:rPr>
          <w:rFonts w:hint="eastAsia" w:ascii="仿宋_GB2312" w:hAnsi="宋体" w:eastAsia="仿宋_GB2312" w:cs="仿宋_GB2312"/>
          <w:color w:val="000000"/>
          <w:kern w:val="0"/>
          <w:sz w:val="32"/>
          <w:szCs w:val="32"/>
          <w:lang w:bidi="ar"/>
        </w:rPr>
        <w:t>019年一般公共预算财政拨款基本支出</w:t>
      </w:r>
      <w:r>
        <w:rPr>
          <w:rFonts w:hint="eastAsia" w:ascii="仿宋_GB2312" w:hAnsi="宋体" w:eastAsia="仿宋_GB2312" w:cs="仿宋_GB2312"/>
          <w:color w:val="000000"/>
          <w:kern w:val="0"/>
          <w:sz w:val="32"/>
          <w:szCs w:val="32"/>
          <w:lang w:val="en-US" w:eastAsia="zh-CN" w:bidi="ar"/>
        </w:rPr>
        <w:t>981.63</w:t>
      </w:r>
      <w:r>
        <w:rPr>
          <w:rFonts w:hint="eastAsia" w:ascii="仿宋_GB2312" w:hAnsi="宋体" w:eastAsia="仿宋_GB2312" w:cs="仿宋_GB2312"/>
          <w:color w:val="000000"/>
          <w:kern w:val="0"/>
          <w:sz w:val="32"/>
          <w:szCs w:val="32"/>
          <w:lang w:bidi="ar"/>
        </w:rPr>
        <w:t>万元，包括：人员经费支出</w:t>
      </w:r>
      <w:r>
        <w:rPr>
          <w:rFonts w:hint="eastAsia" w:ascii="仿宋_GB2312" w:hAnsi="宋体" w:eastAsia="仿宋_GB2312" w:cs="仿宋_GB2312"/>
          <w:color w:val="000000"/>
          <w:kern w:val="0"/>
          <w:sz w:val="32"/>
          <w:szCs w:val="32"/>
          <w:lang w:val="en-US" w:eastAsia="zh-CN" w:bidi="ar"/>
        </w:rPr>
        <w:t>845.51</w:t>
      </w:r>
      <w:r>
        <w:rPr>
          <w:rFonts w:hint="eastAsia" w:ascii="仿宋_GB2312" w:hAnsi="宋体" w:eastAsia="仿宋_GB2312" w:cs="仿宋_GB2312"/>
          <w:color w:val="000000"/>
          <w:kern w:val="0"/>
          <w:sz w:val="32"/>
          <w:szCs w:val="32"/>
          <w:lang w:bidi="ar"/>
        </w:rPr>
        <w:t>万元和公用经费支出</w:t>
      </w:r>
      <w:r>
        <w:rPr>
          <w:rFonts w:hint="eastAsia" w:ascii="仿宋_GB2312" w:hAnsi="宋体" w:eastAsia="仿宋_GB2312" w:cs="仿宋_GB2312"/>
          <w:color w:val="000000"/>
          <w:kern w:val="0"/>
          <w:sz w:val="32"/>
          <w:szCs w:val="32"/>
          <w:lang w:val="en-US" w:eastAsia="zh-CN" w:bidi="ar"/>
        </w:rPr>
        <w:t>138.12</w:t>
      </w:r>
      <w:r>
        <w:rPr>
          <w:rFonts w:hint="eastAsia" w:ascii="仿宋_GB2312" w:hAnsi="宋体" w:eastAsia="仿宋_GB2312" w:cs="仿宋_GB2312"/>
          <w:color w:val="000000"/>
          <w:kern w:val="0"/>
          <w:sz w:val="32"/>
          <w:szCs w:val="32"/>
          <w:lang w:bidi="ar"/>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693.38</w:t>
      </w:r>
      <w:r>
        <w:rPr>
          <w:rFonts w:hint="eastAsia"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val="en-US" w:eastAsia="zh-CN" w:bidi="ar"/>
        </w:rPr>
        <w:t>:基本工资276.48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,津贴补贴216.01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,奖金17.37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,绩效工资107.40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,机关事业单位基本养老保险缴费120.53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,职工基本医疗保险缴费47.04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,住房公积金58.68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ind w:firstLine="643" w:firstLineChars="200"/>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138.12万元，主要包括:办公费18.55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,印刷费4.92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,水费0.42万元，电费13.59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,邮电费2.95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,取暖费9.80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,差旅费0.71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,维修（护）费8.48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,公务接待费6.35</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,劳务费28.31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公务用车运行维护费6.72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,其他交通费用9.14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,其他商品和服务支出28.19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numPr>
          <w:ilvl w:val="0"/>
          <w:numId w:val="1"/>
        </w:num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一般公共预算财政拨款“三公”经费及会议费、培训费支出决算情况说明 </w:t>
      </w:r>
    </w:p>
    <w:p>
      <w:pPr>
        <w:numPr>
          <w:ilvl w:val="0"/>
          <w:numId w:val="0"/>
        </w:numPr>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inline distT="0" distB="0" distL="114300" distR="114300">
            <wp:extent cx="5080000" cy="3810000"/>
            <wp:effectExtent l="4445" t="4445" r="825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6.72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51</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6.35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bidi="ar"/>
        </w:rPr>
        <w:t>说明</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6.88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6.72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97.67</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bidi="ar"/>
        </w:rPr>
        <w:t>说明</w:t>
      </w:r>
    </w:p>
    <w:p>
      <w:pPr>
        <w:widowControl/>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255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1270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6.78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6.35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93.66</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val="en-US" w:eastAsia="zh-CN"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val="en-US" w:eastAsia="zh-CN" w:bidi="ar"/>
        </w:rPr>
        <w:t>减少0.43万元，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逐年减少三公经费支出</w:t>
      </w:r>
      <w:r>
        <w:rPr>
          <w:rFonts w:hint="eastAsia" w:ascii="仿宋_GB2312" w:hAnsi="宋体" w:eastAsia="仿宋_GB2312" w:cs="仿宋_GB2312"/>
          <w:color w:val="000000"/>
          <w:kern w:val="0"/>
          <w:sz w:val="32"/>
          <w:szCs w:val="32"/>
          <w:lang w:val="en-US" w:eastAsia="zh-CN"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（三）培训费支出情况说明</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numPr>
          <w:ilvl w:val="0"/>
          <w:numId w:val="2"/>
        </w:numPr>
        <w:spacing w:line="360" w:lineRule="auto"/>
        <w:ind w:firstLine="643" w:firstLineChars="200"/>
        <w:rPr>
          <w:rFonts w:hint="eastAsia"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会议费支出情况说明</w:t>
      </w:r>
    </w:p>
    <w:p>
      <w:pPr>
        <w:widowControl/>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九、预算绩效情况说明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bidi="ar"/>
        </w:rPr>
        <w:t xml:space="preserve">说明     </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rPr>
        <w:t>共计项目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个，涉及</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475.75</w:t>
      </w:r>
      <w:r>
        <w:rPr>
          <w:rFonts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评价结果为优秀的项目</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；良好的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；一般的</w:t>
      </w:r>
      <w:r>
        <w:rPr>
          <w:rFonts w:ascii="仿宋_GB2312" w:hAnsi="仿宋_GB2312" w:eastAsia="仿宋_GB2312" w:cs="仿宋_GB2312"/>
          <w:color w:val="000000"/>
          <w:kern w:val="0"/>
          <w:sz w:val="31"/>
          <w:szCs w:val="31"/>
          <w:lang w:bidi="ar"/>
        </w:rPr>
        <w:t>项目</w:t>
      </w:r>
      <w:r>
        <w:rPr>
          <w:rFonts w:hint="eastAsia" w:ascii="仿宋_GB2312" w:hAnsi="仿宋_GB2312" w:eastAsia="仿宋_GB2312" w:cs="仿宋_GB2312"/>
          <w:color w:val="000000"/>
          <w:kern w:val="0"/>
          <w:sz w:val="31"/>
          <w:szCs w:val="31"/>
          <w:lang w:val="en-US" w:eastAsia="zh-CN" w:bidi="ar"/>
        </w:rPr>
        <w:t>0</w:t>
      </w:r>
      <w:r>
        <w:rPr>
          <w:rFonts w:hint="eastAsia" w:ascii="仿宋_GB2312" w:hAnsi="仿宋_GB2312" w:eastAsia="仿宋_GB2312" w:cs="仿宋_GB2312"/>
          <w:color w:val="000000"/>
          <w:kern w:val="0"/>
          <w:sz w:val="31"/>
          <w:szCs w:val="31"/>
          <w:lang w:bidi="ar"/>
        </w:rPr>
        <w:t>个，占全部项目的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eastAsia="zh-CN" w:bidi="ar"/>
        </w:rPr>
        <w:t>绩效自评工作</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部分工程不能很好的预计程序实施进度</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加强相关人员业务水平，做好工程的实施计划</w:t>
      </w:r>
      <w:r>
        <w:rPr>
          <w:rFonts w:hint="eastAsia" w:ascii="仿宋_GB2312" w:hAnsi="仿宋_GB2312" w:eastAsia="仿宋_GB2312" w:cs="仿宋_GB2312"/>
          <w:color w:val="000000"/>
          <w:kern w:val="0"/>
          <w:sz w:val="31"/>
          <w:szCs w:val="31"/>
          <w:lang w:bidi="ar"/>
        </w:rPr>
        <w:t>。</w:t>
      </w:r>
    </w:p>
    <w:p>
      <w:pPr>
        <w:ind w:firstLine="480" w:firstLineChars="150"/>
        <w:rPr>
          <w:rFonts w:ascii="黑体" w:hAnsi="黑体" w:eastAsia="黑体"/>
          <w:sz w:val="32"/>
          <w:szCs w:val="32"/>
        </w:rPr>
      </w:pPr>
      <w:r>
        <w:rPr>
          <w:rFonts w:hint="eastAsia" w:ascii="黑体" w:hAnsi="黑体" w:eastAsia="黑体"/>
          <w:color w:val="000000"/>
          <w:kern w:val="0"/>
          <w:sz w:val="32"/>
          <w:szCs w:val="32"/>
          <w:lang w:bidi="ar"/>
        </w:rPr>
        <w:t>十、其他重要事项说明</w:t>
      </w:r>
    </w:p>
    <w:p>
      <w:pPr>
        <w:widowControl/>
        <w:ind w:firstLine="472" w:firstLineChars="147"/>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auto"/>
          <w:kern w:val="0"/>
          <w:sz w:val="32"/>
          <w:szCs w:val="32"/>
          <w:lang w:bidi="ar"/>
        </w:rPr>
        <w:t>预</w:t>
      </w:r>
      <w:r>
        <w:rPr>
          <w:rFonts w:ascii="仿宋_GB2312" w:hAnsi="宋体" w:eastAsia="仿宋_GB2312" w:cs="仿宋_GB2312"/>
          <w:color w:val="000000"/>
          <w:kern w:val="0"/>
          <w:sz w:val="32"/>
          <w:szCs w:val="32"/>
          <w:lang w:bidi="ar"/>
        </w:rPr>
        <w:t>算为</w:t>
      </w:r>
      <w:r>
        <w:rPr>
          <w:rFonts w:hint="eastAsia" w:ascii="仿宋_GB2312" w:hAnsi="宋体" w:eastAsia="仿宋_GB2312" w:cs="仿宋_GB2312"/>
          <w:color w:val="auto"/>
          <w:kern w:val="0"/>
          <w:sz w:val="32"/>
          <w:szCs w:val="32"/>
          <w:lang w:val="en-US" w:eastAsia="zh-CN" w:bidi="ar"/>
        </w:rPr>
        <w:t>113.68</w:t>
      </w:r>
      <w:r>
        <w:rPr>
          <w:rFonts w:ascii="仿宋_GB2312" w:hAnsi="宋体" w:eastAsia="仿宋_GB2312" w:cs="仿宋_GB2312"/>
          <w:color w:val="auto"/>
          <w:kern w:val="0"/>
          <w:sz w:val="32"/>
          <w:szCs w:val="32"/>
          <w:lang w:bidi="ar"/>
        </w:rPr>
        <w:t>万</w:t>
      </w:r>
      <w:r>
        <w:rPr>
          <w:rFonts w:ascii="仿宋_GB2312" w:hAnsi="宋体" w:eastAsia="仿宋_GB2312" w:cs="仿宋_GB2312"/>
          <w:color w:val="000000"/>
          <w:kern w:val="0"/>
          <w:sz w:val="32"/>
          <w:szCs w:val="32"/>
          <w:lang w:bidi="ar"/>
        </w:rPr>
        <w:t>元，支出决算</w:t>
      </w:r>
      <w:r>
        <w:rPr>
          <w:rFonts w:hint="eastAsia" w:ascii="仿宋_GB2312" w:hAnsi="宋体" w:eastAsia="仿宋_GB2312" w:cs="仿宋_GB2312"/>
          <w:color w:val="auto"/>
          <w:kern w:val="0"/>
          <w:sz w:val="32"/>
          <w:szCs w:val="32"/>
          <w:lang w:val="en-US" w:eastAsia="zh-CN" w:bidi="ar"/>
        </w:rPr>
        <w:t>113.68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w:t>
      </w:r>
      <w:r>
        <w:rPr>
          <w:rFonts w:hint="eastAsia" w:ascii="仿宋_GB2312" w:hAnsi="宋体" w:eastAsia="仿宋_GB2312" w:cs="仿宋_GB2312"/>
          <w:color w:val="000000"/>
          <w:kern w:val="0"/>
          <w:sz w:val="32"/>
          <w:szCs w:val="32"/>
          <w:lang w:bidi="ar"/>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472" w:firstLineChars="147"/>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（三）国有资产占用及购置情况说明</w:t>
      </w:r>
    </w:p>
    <w:p>
      <w:pPr>
        <w:ind w:firstLine="640"/>
        <w:rPr>
          <w:rFonts w:ascii="黑体" w:hAnsi="宋体" w:eastAsia="黑体"/>
          <w:color w:val="000000"/>
          <w:kern w:val="0"/>
          <w:sz w:val="32"/>
          <w:szCs w:val="32"/>
          <w:lang w:bidi="ar"/>
        </w:rPr>
      </w:pPr>
      <w:r>
        <w:rPr>
          <w:rFonts w:hint="eastAsia" w:ascii="仿宋_GB2312" w:hAnsi="仿宋_GB2312" w:eastAsia="仿宋_GB2312" w:cs="仿宋_GB2312"/>
          <w:sz w:val="32"/>
          <w:szCs w:val="32"/>
        </w:rPr>
        <w:t>截至2019年末，本部门共有车辆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5.调整预算数：</w:t>
      </w:r>
      <w:r>
        <w:rPr>
          <w:rFonts w:hint="eastAsia" w:ascii="仿宋_GB2312" w:hAnsi="宋体" w:eastAsia="仿宋_GB2312"/>
          <w:bCs/>
          <w:sz w:val="32"/>
          <w:szCs w:val="32"/>
        </w:rPr>
        <w:t>填列经调整后的全年预算数，包括年初预算数和预算调增调减数</w:t>
      </w:r>
      <w:r>
        <w:rPr>
          <w:rFonts w:hint="eastAsia" w:ascii="仿宋_GB2312" w:eastAsia="仿宋_GB2312"/>
          <w:bCs/>
          <w:sz w:val="32"/>
          <w:szCs w:val="32"/>
        </w:rPr>
        <w:t>，即：调整预算数＝年初预算数＋预算调增数－预算调减数</w:t>
      </w:r>
      <w:r>
        <w:rPr>
          <w:rFonts w:hint="eastAsia" w:ascii="仿宋_GB2312" w:hAnsi="宋体" w:eastAsia="仿宋_GB2312"/>
          <w:bCs/>
          <w:sz w:val="32"/>
          <w:szCs w:val="32"/>
        </w:rPr>
        <w:t>。</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footerReference r:id="rId3" w:type="default"/>
      <w:pgSz w:w="11906" w:h="16838"/>
      <w:pgMar w:top="1985" w:right="1474" w:bottom="1985" w:left="1588" w:header="851" w:footer="992" w:gutter="0"/>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975718"/>
      <w:docPartObj>
        <w:docPartGallery w:val="autotext"/>
      </w:docPartObj>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61BDA"/>
    <w:multiLevelType w:val="singleLevel"/>
    <w:tmpl w:val="E8361BDA"/>
    <w:lvl w:ilvl="0" w:tentative="0">
      <w:start w:val="7"/>
      <w:numFmt w:val="chineseCounting"/>
      <w:suff w:val="nothing"/>
      <w:lvlText w:val="%1、"/>
      <w:lvlJc w:val="left"/>
      <w:rPr>
        <w:rFonts w:hint="eastAsia"/>
      </w:rPr>
    </w:lvl>
  </w:abstractNum>
  <w:abstractNum w:abstractNumId="1">
    <w:nsid w:val="582FCE36"/>
    <w:multiLevelType w:val="singleLevel"/>
    <w:tmpl w:val="582FCE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NmMzMDBmZmQzODRkOTEwZGYyNzlmZDgwOGMzMGIifQ=="/>
  </w:docVars>
  <w:rsids>
    <w:rsidRoot w:val="31AA6038"/>
    <w:rsid w:val="00050E89"/>
    <w:rsid w:val="00146787"/>
    <w:rsid w:val="00164001"/>
    <w:rsid w:val="00166E3C"/>
    <w:rsid w:val="001B3406"/>
    <w:rsid w:val="001D7568"/>
    <w:rsid w:val="002424C8"/>
    <w:rsid w:val="00283CB6"/>
    <w:rsid w:val="002A7893"/>
    <w:rsid w:val="003364E9"/>
    <w:rsid w:val="00427EC1"/>
    <w:rsid w:val="00452E2E"/>
    <w:rsid w:val="004B6D6E"/>
    <w:rsid w:val="00504B80"/>
    <w:rsid w:val="005F0D12"/>
    <w:rsid w:val="00637D82"/>
    <w:rsid w:val="007A115D"/>
    <w:rsid w:val="008015FE"/>
    <w:rsid w:val="00813F4A"/>
    <w:rsid w:val="008D481B"/>
    <w:rsid w:val="009C0506"/>
    <w:rsid w:val="00AB4A0E"/>
    <w:rsid w:val="00B37EA8"/>
    <w:rsid w:val="00B80654"/>
    <w:rsid w:val="00C2225D"/>
    <w:rsid w:val="00E8111E"/>
    <w:rsid w:val="00EC0B1D"/>
    <w:rsid w:val="00F61B04"/>
    <w:rsid w:val="013B79AC"/>
    <w:rsid w:val="08E75036"/>
    <w:rsid w:val="09053F9F"/>
    <w:rsid w:val="125E2600"/>
    <w:rsid w:val="132E46A0"/>
    <w:rsid w:val="14411117"/>
    <w:rsid w:val="1586116E"/>
    <w:rsid w:val="18BB4AD7"/>
    <w:rsid w:val="1AA658F5"/>
    <w:rsid w:val="1B4A3FDA"/>
    <w:rsid w:val="1B524C98"/>
    <w:rsid w:val="1C5E2F73"/>
    <w:rsid w:val="1D6E0C0D"/>
    <w:rsid w:val="1F9223C7"/>
    <w:rsid w:val="221C15BB"/>
    <w:rsid w:val="23CD646A"/>
    <w:rsid w:val="23F93940"/>
    <w:rsid w:val="29785A6B"/>
    <w:rsid w:val="2D1F3974"/>
    <w:rsid w:val="31AA6038"/>
    <w:rsid w:val="33887EE3"/>
    <w:rsid w:val="34677C61"/>
    <w:rsid w:val="3B121AD1"/>
    <w:rsid w:val="3CFD0D2E"/>
    <w:rsid w:val="41603979"/>
    <w:rsid w:val="42E402A3"/>
    <w:rsid w:val="4619368A"/>
    <w:rsid w:val="495A47C9"/>
    <w:rsid w:val="4D6E0FDF"/>
    <w:rsid w:val="4EE4307A"/>
    <w:rsid w:val="5153143F"/>
    <w:rsid w:val="52E350F4"/>
    <w:rsid w:val="54F12DEE"/>
    <w:rsid w:val="577E18EF"/>
    <w:rsid w:val="5B153F27"/>
    <w:rsid w:val="5C672DBA"/>
    <w:rsid w:val="5C9C0A89"/>
    <w:rsid w:val="6C0A6199"/>
    <w:rsid w:val="6D7859DF"/>
    <w:rsid w:val="6ED74F17"/>
    <w:rsid w:val="75C31473"/>
    <w:rsid w:val="7A522B17"/>
    <w:rsid w:val="7C3E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 w:type="character" w:customStyle="1" w:styleId="15">
    <w:name w:val="页眉 Char"/>
    <w:basedOn w:val="10"/>
    <w:link w:val="5"/>
    <w:qFormat/>
    <w:uiPriority w:val="99"/>
    <w:rPr>
      <w:rFonts w:ascii="Calibri" w:hAnsi="Calibri" w:cs="黑体"/>
      <w:kern w:val="2"/>
      <w:sz w:val="18"/>
      <w:szCs w:val="24"/>
    </w:rPr>
  </w:style>
  <w:style w:type="character" w:customStyle="1" w:styleId="16">
    <w:name w:val="页脚 Char"/>
    <w:basedOn w:val="10"/>
    <w:link w:val="4"/>
    <w:qFormat/>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收入、支出</c:v>
                </c:pt>
              </c:strCache>
            </c:strRef>
          </c:cat>
          <c:val>
            <c:numRef>
              <c:f>Sheet1!$B$2</c:f>
              <c:numCache>
                <c:formatCode>General</c:formatCode>
                <c:ptCount val="1"/>
                <c:pt idx="0">
                  <c:v>1001.73</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收入、支出</c:v>
                </c:pt>
              </c:strCache>
            </c:strRef>
          </c:cat>
          <c:val>
            <c:numRef>
              <c:f>Sheet1!$C$2</c:f>
              <c:numCache>
                <c:formatCode>General</c:formatCode>
                <c:ptCount val="1"/>
                <c:pt idx="0">
                  <c:v>1457.38</c:v>
                </c:pt>
              </c:numCache>
            </c:numRef>
          </c:val>
        </c:ser>
        <c:dLbls>
          <c:showLegendKey val="0"/>
          <c:showVal val="1"/>
          <c:showCatName val="0"/>
          <c:showSerName val="0"/>
          <c:showPercent val="0"/>
          <c:showBubbleSize val="0"/>
        </c:dLbls>
        <c:gapWidth val="219"/>
        <c:overlap val="-27"/>
        <c:axId val="968165670"/>
        <c:axId val="59450642"/>
      </c:barChart>
      <c:catAx>
        <c:axId val="9681656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50642"/>
        <c:crosses val="autoZero"/>
        <c:auto val="1"/>
        <c:lblAlgn val="ctr"/>
        <c:lblOffset val="100"/>
        <c:noMultiLvlLbl val="0"/>
      </c:catAx>
      <c:valAx>
        <c:axId val="594506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1656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收入合计</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1457.38</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981.63</c:v>
                </c:pt>
                <c:pt idx="1">
                  <c:v>475.75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1001.73</c:v>
                </c:pt>
                <c:pt idx="1">
                  <c:v>1457.38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Sheet1!$C$2:$C$3</c:f>
              <c:numCache>
                <c:formatCode>General</c:formatCode>
                <c:ptCount val="2"/>
                <c:pt idx="0">
                  <c:v>1001.73</c:v>
                </c:pt>
                <c:pt idx="1">
                  <c:v>1457.38</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94067554"/>
        <c:axId val="972470560"/>
      </c:barChart>
      <c:catAx>
        <c:axId val="69406755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70560"/>
        <c:crosses val="autoZero"/>
        <c:auto val="1"/>
        <c:lblAlgn val="ctr"/>
        <c:lblOffset val="100"/>
        <c:noMultiLvlLbl val="0"/>
      </c:catAx>
      <c:valAx>
        <c:axId val="97247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06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7745"/>
          <c:y val="0.125333333333333"/>
          <c:w val="0.8938"/>
          <c:h val="0.7169"/>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Sheet1!$B$2:$B$3</c:f>
              <c:numCache>
                <c:formatCode>General</c:formatCode>
                <c:ptCount val="2"/>
                <c:pt idx="0">
                  <c:v>1001.73</c:v>
                </c:pt>
                <c:pt idx="1">
                  <c:v>1001.73</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Sheet1!$C$2:$C$3</c:f>
              <c:numCache>
                <c:formatCode>General</c:formatCode>
                <c:ptCount val="2"/>
                <c:pt idx="0">
                  <c:v>1457.38</c:v>
                </c:pt>
                <c:pt idx="1">
                  <c:v>1457.38</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拨款收入</c:v>
                </c:pt>
                <c:pt idx="1">
                  <c:v>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694067554"/>
        <c:axId val="972470560"/>
      </c:barChart>
      <c:catAx>
        <c:axId val="694067554"/>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70560"/>
        <c:crosses val="autoZero"/>
        <c:auto val="1"/>
        <c:lblAlgn val="ctr"/>
        <c:lblOffset val="100"/>
        <c:noMultiLvlLbl val="0"/>
      </c:catAx>
      <c:valAx>
        <c:axId val="97247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0675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公务车运行维护费</c:v>
                </c:pt>
                <c:pt idx="1">
                  <c:v>公务用车购置费</c:v>
                </c:pt>
                <c:pt idx="2">
                  <c:v>因公出国（境）费</c:v>
                </c:pt>
                <c:pt idx="3">
                  <c:v>公务接待费</c:v>
                </c:pt>
              </c:strCache>
            </c:strRef>
          </c:cat>
          <c:val>
            <c:numRef>
              <c:f>Sheet1!$B$2:$B$5</c:f>
              <c:numCache>
                <c:formatCode>General</c:formatCode>
                <c:ptCount val="4"/>
                <c:pt idx="0">
                  <c:v>6.72</c:v>
                </c:pt>
                <c:pt idx="1">
                  <c:v>0</c:v>
                </c:pt>
                <c:pt idx="2">
                  <c:v>0</c:v>
                </c:pt>
                <c:pt idx="3">
                  <c:v>6.35</c:v>
                </c:pt>
              </c:numCache>
            </c:numRef>
          </c:val>
        </c:ser>
        <c:dLbls>
          <c:showLegendKey val="0"/>
          <c:showVal val="1"/>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36</Pages>
  <Words>8094</Words>
  <Characters>11134</Characters>
  <Lines>60</Lines>
  <Paragraphs>16</Paragraphs>
  <TotalTime>31</TotalTime>
  <ScaleCrop>false</ScaleCrop>
  <LinksUpToDate>false</LinksUpToDate>
  <CharactersWithSpaces>12351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2020-08-28T09:53:00Z</dcterms:created>
  <dc:creator>Administrator</dc:creator>
  <cp:lastModifiedBy>彼岸</cp:lastModifiedBy>
  <cp:lastPrinted>2020-08-31T02:54:00Z</cp:lastPrinted>
  <dcterms:modified xsi:type="dcterms:W3CDTF">2023-05-31T01:31:06Z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CEF29F6F2E7B41DE86A5CEAB1E712C6D_13</vt:lpwstr>
  </property>
</Properties>
</file>