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0" w:name="_GoBack"/>
      <w:bookmarkEnd w:id="0"/>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靖边县天赐湾镇人民政府</w:t>
      </w:r>
    </w:p>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color w:val="2E75B5" w:themeColor="accent1" w:themeShade="BF"/>
          <w:sz w:val="32"/>
          <w:szCs w:val="32"/>
          <w:lang w:val="en-US" w:eastAsia="zh-CN"/>
        </w:rPr>
      </w:pPr>
      <w:r>
        <w:rPr>
          <w:rFonts w:hint="eastAsia" w:asciiTheme="majorEastAsia" w:hAnsiTheme="majorEastAsia" w:eastAsiaTheme="majorEastAsia" w:cstheme="majorEastAsia"/>
          <w:b/>
          <w:bCs/>
          <w:color w:val="2E75B5" w:themeColor="accent1" w:themeShade="BF"/>
          <w:sz w:val="32"/>
          <w:szCs w:val="32"/>
        </w:rPr>
        <w:t>保密审查情况：</w:t>
      </w:r>
      <w:r>
        <w:rPr>
          <w:rFonts w:hint="eastAsia" w:asciiTheme="majorEastAsia" w:hAnsiTheme="majorEastAsia" w:eastAsiaTheme="majorEastAsia" w:cstheme="majorEastAsia"/>
          <w:b/>
          <w:bCs/>
          <w:color w:val="2E75B5" w:themeColor="accent1" w:themeShade="BF"/>
          <w:sz w:val="32"/>
          <w:szCs w:val="32"/>
          <w:lang w:val="en-US" w:eastAsia="zh-CN"/>
        </w:rPr>
        <w:t>已审查</w:t>
      </w:r>
    </w:p>
    <w:p>
      <w:pPr>
        <w:spacing w:line="400" w:lineRule="exact"/>
        <w:jc w:val="center"/>
        <w:rPr>
          <w:rFonts w:ascii="宋体" w:hAnsi="宋体" w:cs="宋体"/>
          <w:b/>
          <w:bCs/>
          <w:color w:val="2E75B5" w:themeColor="accent1" w:themeShade="BF"/>
          <w:sz w:val="32"/>
          <w:szCs w:val="32"/>
        </w:rPr>
      </w:pPr>
    </w:p>
    <w:p>
      <w:pPr>
        <w:spacing w:line="400" w:lineRule="exact"/>
        <w:ind w:firstLine="2088" w:firstLineChars="650"/>
        <w:rPr>
          <w:rFonts w:hint="default" w:ascii="宋体" w:hAnsi="宋体" w:eastAsia="宋体" w:cs="宋体"/>
          <w:b/>
          <w:bCs/>
          <w:color w:val="2E75B5" w:themeColor="accent1" w:themeShade="BF"/>
          <w:sz w:val="32"/>
          <w:szCs w:val="32"/>
          <w:lang w:val="en-US" w:eastAsia="zh-CN"/>
        </w:rPr>
      </w:pPr>
      <w:r>
        <w:rPr>
          <w:rFonts w:hint="eastAsia" w:ascii="宋体" w:hAnsi="宋体" w:cs="宋体"/>
          <w:b/>
          <w:bCs/>
          <w:color w:val="2E75B5" w:themeColor="accent1" w:themeShade="BF"/>
          <w:sz w:val="32"/>
          <w:szCs w:val="32"/>
        </w:rPr>
        <w:t>部门主要负责人审签情况：</w:t>
      </w:r>
      <w:r>
        <w:rPr>
          <w:rFonts w:hint="eastAsia" w:ascii="宋体" w:hAnsi="宋体" w:cs="宋体"/>
          <w:b/>
          <w:bCs/>
          <w:color w:val="2E75B5" w:themeColor="accent1" w:themeShade="BF"/>
          <w:sz w:val="32"/>
          <w:szCs w:val="32"/>
          <w:lang w:val="en-US" w:eastAsia="zh-CN"/>
        </w:rPr>
        <w:t>已审签</w:t>
      </w:r>
    </w:p>
    <w:p>
      <w:pPr>
        <w:spacing w:line="400" w:lineRule="exact"/>
        <w:rPr>
          <w:rFonts w:ascii="宋体" w:hAnsi="宋体" w:cs="宋体"/>
          <w:b/>
          <w:bCs/>
          <w:sz w:val="32"/>
          <w:szCs w:val="32"/>
        </w:rPr>
      </w:pPr>
    </w:p>
    <w:p>
      <w:pPr>
        <w:spacing w:line="400" w:lineRule="exact"/>
        <w:rPr>
          <w:rFonts w:ascii="宋体" w:hAnsi="宋体" w:cs="宋体"/>
          <w:b/>
          <w:bCs/>
          <w:sz w:val="32"/>
          <w:szCs w:val="32"/>
        </w:rPr>
      </w:pP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目录</w:t>
      </w:r>
    </w:p>
    <w:p>
      <w:pPr>
        <w:widowControl/>
        <w:jc w:val="center"/>
      </w:pPr>
      <w:r>
        <w:rPr>
          <w:rFonts w:hint="eastAsia" w:ascii="黑体" w:hAnsi="宋体" w:eastAsia="黑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2019年部门决算表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 2019年部门决算情况说明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（一）“三公”经费财政拨款支出决算总体情况说明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（二）“三公”经费财政拨款支出决算具体情况说明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（三）培训费支出情况说明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（四）会议费支出情况说明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九、预算绩效情况说明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（一）预算绩效管理工作开展情况说明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十、其他重要事项说明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（一）机关运行经费支出情况说明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（二）政府采购支出情况说明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（三）国有资产占用及购置情况说明 </w:t>
      </w:r>
    </w:p>
    <w:p>
      <w:pPr>
        <w:jc w:val="center"/>
        <w:rPr>
          <w:rFonts w:ascii="黑体" w:hAnsi="宋体" w:eastAsia="黑体"/>
          <w:color w:val="000000"/>
          <w:kern w:val="0"/>
          <w:sz w:val="32"/>
          <w:szCs w:val="32"/>
        </w:rPr>
      </w:pPr>
      <w:r>
        <w:rPr>
          <w:rFonts w:hint="eastAsia" w:ascii="黑体" w:hAnsi="宋体" w:eastAsia="黑体"/>
          <w:color w:val="000000"/>
          <w:kern w:val="0"/>
          <w:sz w:val="32"/>
          <w:szCs w:val="32"/>
        </w:rPr>
        <w:t>第四部分 专业名词解释</w:t>
      </w:r>
    </w:p>
    <w:p>
      <w:pPr>
        <w:jc w:val="center"/>
        <w:rPr>
          <w:rFonts w:ascii="宋体" w:hAnsi="宋体" w:cs="宋体"/>
          <w:b/>
          <w:bCs/>
          <w:sz w:val="44"/>
          <w:szCs w:val="44"/>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天赐湾镇人民政府是本级人民代表大会的执行机关，是地方国家行政机关。主要职责为：</w:t>
      </w:r>
    </w:p>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　　1、执行本级人民代表大会的决议和上级国家行政机关的决定和命令，发布决定和命令；对本级人民代表大会和县人民政府负责报告工作。</w:t>
      </w:r>
    </w:p>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　　2、贯彻和执行党和国家的各项方针、政策及法律、法规，依法制定行政措施和实施方案。</w:t>
      </w:r>
    </w:p>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　　3、研究制定、执行本镇经济建设和社会发展规划、政策，执行本行政区域内的经济和社会发展计划、预算。</w:t>
      </w:r>
    </w:p>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　　4、负责本行政区域内的经济管理工作、农村基础设施建设、经济发展规划、农业生产和农村综合开发等工作；负责本行政区域内农村财务指导、监督和管理工作；负责本行政区域内农村土地承包管理和农村经济发展统计工作，保障农村集体经济组织和农民应有的生产经营自主权，加强农村劳动力技能培训，引导农民进行科学化、现代化农业生产，以及农村剩余劳动力就业和转移，进一步提高农民的收入。</w:t>
      </w:r>
    </w:p>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　　5、负责本行政区域内教育、科学、文化、卫生和体育事业的发展工作，做好农村合作医疗保障和环境卫生服务工作；负责本行政区域内计划生育行政管理工作，以及计划生育服务、宣传和流动人口管理；负责本级政府的财政收支、宗教和民政工作，做好救灾救济和社会保障等工作。</w:t>
      </w:r>
    </w:p>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　　6、负责本行政区域内公安、司法行政管理工作，搞好社会治安综合治理，保护社会主义的全民所有的财产和劳动群众集体所有的财产，保护公民私人所有的合法财产，维护社会秩序，保障公民的人身权利、民主权利和其他权利；保护各种经济组织的合法权益；协助有关部门做好道路运输、消防、威胁化学品、农机和电网等监督管理工作，抓好本行政区域内的安全生产工作，以及事故救援、处理和善后调查等工作。</w:t>
      </w:r>
    </w:p>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　　7、保障少数民族的权利和尊重少数民族的风俗习惯；</w:t>
      </w:r>
    </w:p>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　　8、保障宪法和法律赋予妇女的男女平等、同工同酬和婚姻自由等各项权利；</w:t>
      </w:r>
    </w:p>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　　9、负责办理县委、县人民政府交办的其他事项。</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widowControl/>
        <w:spacing w:line="360" w:lineRule="auto"/>
        <w:ind w:firstLine="600"/>
        <w:jc w:val="left"/>
        <w:rPr>
          <w:rFonts w:ascii="仿宋_GB2312" w:eastAsia="仿宋_GB2312"/>
          <w:color w:val="000000"/>
          <w:sz w:val="30"/>
          <w:szCs w:val="30"/>
        </w:rPr>
      </w:pPr>
      <w:r>
        <w:rPr>
          <w:rFonts w:hint="eastAsia" w:ascii="仿宋_GB2312" w:eastAsia="仿宋_GB2312"/>
          <w:color w:val="000000"/>
          <w:sz w:val="30"/>
          <w:szCs w:val="30"/>
        </w:rPr>
        <w:t>纳入本单位2019年部门预算编制范围的二级预算单位共6个，包括：</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58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序号</w:t>
            </w:r>
          </w:p>
        </w:tc>
        <w:tc>
          <w:tcPr>
            <w:tcW w:w="4580" w:type="dxa"/>
          </w:tcPr>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单位名称</w:t>
            </w:r>
          </w:p>
        </w:tc>
        <w:tc>
          <w:tcPr>
            <w:tcW w:w="2841" w:type="dxa"/>
          </w:tcPr>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1</w:t>
            </w:r>
          </w:p>
        </w:tc>
        <w:tc>
          <w:tcPr>
            <w:tcW w:w="4580" w:type="dxa"/>
          </w:tcPr>
          <w:p>
            <w:pPr>
              <w:widowControl/>
              <w:spacing w:line="360" w:lineRule="auto"/>
              <w:jc w:val="left"/>
              <w:rPr>
                <w:rFonts w:ascii="仿宋_GB2312" w:hAnsi="微软雅黑" w:eastAsia="仿宋_GB2312" w:cs="宋体"/>
                <w:color w:val="000000"/>
                <w:kern w:val="0"/>
                <w:sz w:val="30"/>
                <w:szCs w:val="30"/>
              </w:rPr>
            </w:pPr>
            <w:r>
              <w:rPr>
                <w:rFonts w:hint="eastAsia" w:ascii="仿宋_GB2312" w:eastAsia="仿宋_GB2312"/>
                <w:color w:val="000000"/>
                <w:sz w:val="30"/>
                <w:szCs w:val="30"/>
              </w:rPr>
              <w:t>天赐湾镇人民政府机关</w:t>
            </w:r>
          </w:p>
        </w:tc>
        <w:tc>
          <w:tcPr>
            <w:tcW w:w="2841" w:type="dxa"/>
          </w:tcPr>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2</w:t>
            </w:r>
          </w:p>
        </w:tc>
        <w:tc>
          <w:tcPr>
            <w:tcW w:w="4580" w:type="dxa"/>
          </w:tcPr>
          <w:p>
            <w:pPr>
              <w:widowControl/>
              <w:spacing w:line="360" w:lineRule="auto"/>
              <w:jc w:val="left"/>
              <w:rPr>
                <w:rFonts w:ascii="仿宋_GB2312" w:hAnsi="微软雅黑" w:eastAsia="仿宋_GB2312" w:cs="宋体"/>
                <w:color w:val="000000"/>
                <w:kern w:val="0"/>
                <w:sz w:val="30"/>
                <w:szCs w:val="30"/>
              </w:rPr>
            </w:pPr>
            <w:r>
              <w:rPr>
                <w:rFonts w:hint="eastAsia" w:ascii="仿宋_GB2312" w:eastAsia="仿宋_GB2312"/>
                <w:color w:val="000000"/>
                <w:sz w:val="30"/>
                <w:szCs w:val="30"/>
              </w:rPr>
              <w:t>天赐湾镇财政所</w:t>
            </w:r>
          </w:p>
        </w:tc>
        <w:tc>
          <w:tcPr>
            <w:tcW w:w="2841" w:type="dxa"/>
          </w:tcPr>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参公管理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3</w:t>
            </w:r>
          </w:p>
        </w:tc>
        <w:tc>
          <w:tcPr>
            <w:tcW w:w="4580" w:type="dxa"/>
          </w:tcPr>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天赐湾镇农业技术服务站</w:t>
            </w:r>
          </w:p>
        </w:tc>
        <w:tc>
          <w:tcPr>
            <w:tcW w:w="2841" w:type="dxa"/>
          </w:tcPr>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全额事业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4</w:t>
            </w:r>
          </w:p>
        </w:tc>
        <w:tc>
          <w:tcPr>
            <w:tcW w:w="4580" w:type="dxa"/>
          </w:tcPr>
          <w:p>
            <w:pPr>
              <w:widowControl/>
              <w:spacing w:line="360" w:lineRule="auto"/>
              <w:jc w:val="left"/>
              <w:rPr>
                <w:rFonts w:ascii="仿宋_GB2312" w:hAnsi="微软雅黑" w:eastAsia="仿宋_GB2312" w:cs="宋体"/>
                <w:color w:val="000000"/>
                <w:kern w:val="0"/>
                <w:sz w:val="30"/>
                <w:szCs w:val="30"/>
              </w:rPr>
            </w:pPr>
            <w:r>
              <w:rPr>
                <w:rFonts w:hint="eastAsia" w:ascii="仿宋_GB2312" w:eastAsia="仿宋_GB2312"/>
                <w:color w:val="000000"/>
                <w:sz w:val="30"/>
                <w:szCs w:val="30"/>
              </w:rPr>
              <w:t>天赐湾镇社会保障事务所</w:t>
            </w:r>
          </w:p>
        </w:tc>
        <w:tc>
          <w:tcPr>
            <w:tcW w:w="2841" w:type="dxa"/>
          </w:tcPr>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全额事业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5</w:t>
            </w:r>
          </w:p>
        </w:tc>
        <w:tc>
          <w:tcPr>
            <w:tcW w:w="4580" w:type="dxa"/>
          </w:tcPr>
          <w:p>
            <w:pPr>
              <w:widowControl/>
              <w:spacing w:line="360" w:lineRule="auto"/>
              <w:jc w:val="left"/>
              <w:rPr>
                <w:rFonts w:ascii="仿宋_GB2312" w:hAnsi="微软雅黑" w:eastAsia="仿宋_GB2312" w:cs="宋体"/>
                <w:color w:val="000000"/>
                <w:kern w:val="0"/>
                <w:sz w:val="30"/>
                <w:szCs w:val="30"/>
              </w:rPr>
            </w:pPr>
            <w:r>
              <w:rPr>
                <w:rFonts w:hint="eastAsia" w:ascii="仿宋_GB2312" w:eastAsia="仿宋_GB2312"/>
                <w:color w:val="000000"/>
                <w:sz w:val="30"/>
                <w:szCs w:val="30"/>
              </w:rPr>
              <w:t>天赐湾镇计生站</w:t>
            </w:r>
          </w:p>
        </w:tc>
        <w:tc>
          <w:tcPr>
            <w:tcW w:w="2841" w:type="dxa"/>
          </w:tcPr>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全额事业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6</w:t>
            </w:r>
          </w:p>
        </w:tc>
        <w:tc>
          <w:tcPr>
            <w:tcW w:w="4580" w:type="dxa"/>
          </w:tcPr>
          <w:p>
            <w:pPr>
              <w:widowControl/>
              <w:spacing w:line="360" w:lineRule="auto"/>
              <w:jc w:val="left"/>
              <w:rPr>
                <w:rFonts w:ascii="仿宋_GB2312" w:hAnsi="微软雅黑" w:eastAsia="仿宋_GB2312" w:cs="宋体"/>
                <w:color w:val="000000"/>
                <w:kern w:val="0"/>
                <w:sz w:val="30"/>
                <w:szCs w:val="30"/>
              </w:rPr>
            </w:pPr>
            <w:r>
              <w:rPr>
                <w:rFonts w:hint="eastAsia" w:ascii="仿宋_GB2312" w:eastAsia="仿宋_GB2312"/>
                <w:color w:val="000000"/>
                <w:sz w:val="30"/>
                <w:szCs w:val="30"/>
              </w:rPr>
              <w:t>天赐湾镇文广站</w:t>
            </w:r>
          </w:p>
        </w:tc>
        <w:tc>
          <w:tcPr>
            <w:tcW w:w="2841" w:type="dxa"/>
          </w:tcPr>
          <w:p>
            <w:pPr>
              <w:widowControl/>
              <w:spacing w:line="360" w:lineRule="auto"/>
              <w:jc w:val="left"/>
              <w:rPr>
                <w:rFonts w:ascii="仿宋_GB2312" w:hAnsi="微软雅黑" w:eastAsia="仿宋_GB2312" w:cs="宋体"/>
                <w:color w:val="000000"/>
                <w:kern w:val="0"/>
                <w:sz w:val="30"/>
                <w:szCs w:val="30"/>
              </w:rPr>
            </w:pPr>
            <w:r>
              <w:rPr>
                <w:rFonts w:hint="eastAsia" w:ascii="仿宋_GB2312" w:hAnsi="微软雅黑" w:eastAsia="仿宋_GB2312" w:cs="宋体"/>
                <w:color w:val="000000"/>
                <w:kern w:val="0"/>
                <w:sz w:val="30"/>
                <w:szCs w:val="30"/>
              </w:rPr>
              <w:t>全额事业</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color w:val="2E75B5" w:themeColor="accent1" w:themeShade="BF"/>
          <w:sz w:val="32"/>
          <w:szCs w:val="32"/>
        </w:rPr>
      </w:pPr>
      <w:r>
        <w:rPr>
          <w:rFonts w:ascii="仿宋_GB2312" w:hAnsi="仿宋_GB2312" w:eastAsia="仿宋_GB2312" w:cs="仿宋_GB2312"/>
          <w:color w:val="2E75B5" w:themeColor="accent1" w:themeShade="BF"/>
          <w:sz w:val="32"/>
          <w:szCs w:val="32"/>
        </w:rPr>
        <w:drawing>
          <wp:inline distT="0" distB="0" distL="0" distR="0">
            <wp:extent cx="3987800" cy="1764665"/>
            <wp:effectExtent l="19050" t="0" r="12092" b="6461"/>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截止2019年底，本部门人员编制81人，其中行政编制31人、事业编制50人；实有人员106人，其中行政29人、事业77人。本单位管理的离退休人员5人，一般公共预算财政拨款开支人员2人，年末遗属人员3人。</w:t>
      </w: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widowControl/>
        <w:jc w:val="center"/>
        <w:rPr>
          <w:rFonts w:ascii="黑体" w:hAnsi="宋体" w:eastAsia="黑体"/>
          <w:color w:val="000000"/>
          <w:kern w:val="0"/>
          <w:sz w:val="44"/>
          <w:szCs w:val="44"/>
        </w:rPr>
      </w:pPr>
    </w:p>
    <w:p>
      <w:pPr>
        <w:widowControl/>
        <w:jc w:val="center"/>
        <w:rPr>
          <w:sz w:val="44"/>
          <w:szCs w:val="44"/>
        </w:rPr>
      </w:pPr>
      <w:r>
        <w:rPr>
          <w:rFonts w:ascii="黑体" w:hAnsi="宋体" w:eastAsia="黑体"/>
          <w:color w:val="000000"/>
          <w:kern w:val="0"/>
          <w:sz w:val="44"/>
          <w:szCs w:val="44"/>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cs="宋体"/>
                <w:color w:val="000000"/>
                <w:sz w:val="24"/>
              </w:rPr>
            </w:pPr>
            <w:r>
              <w:rPr>
                <w:rFonts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cs="宋体"/>
                <w:color w:val="000000"/>
                <w:sz w:val="24"/>
              </w:rPr>
            </w:pPr>
            <w:r>
              <w:rPr>
                <w:rFonts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cs="宋体"/>
                <w:color w:val="000000"/>
                <w:sz w:val="24"/>
              </w:rPr>
            </w:pPr>
            <w:r>
              <w:rPr>
                <w:rFonts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cs="宋体"/>
                <w:color w:val="000000"/>
                <w:sz w:val="24"/>
              </w:rPr>
            </w:pPr>
            <w:r>
              <w:rPr>
                <w:rFonts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jc w:val="center"/>
              <w:rPr>
                <w:rFonts w:ascii="宋体" w:hAnsi="宋体" w:cs="宋体"/>
                <w:color w:val="000000"/>
                <w:sz w:val="24"/>
              </w:rPr>
            </w:pPr>
            <w:r>
              <w:rPr>
                <w:rFonts w:ascii="宋体" w:hAnsi="宋体" w:cs="宋体"/>
                <w:color w:val="000000"/>
                <w:sz w:val="24"/>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我单位无政府性基金拨款</w:t>
            </w: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rPr>
          <w:rFonts w:ascii="宋体" w:hAnsi="宋体" w:cs="宋体"/>
          <w:b/>
          <w:bCs/>
          <w:szCs w:val="21"/>
        </w:rPr>
      </w:pPr>
      <w:r>
        <w:rPr>
          <w:rFonts w:hint="eastAsia" w:ascii="宋体" w:hAnsi="宋体" w:cs="宋体"/>
          <w:b/>
          <w:bCs/>
          <w:color w:val="2E75B5" w:themeColor="accent1" w:themeShade="BF"/>
          <w:szCs w:val="21"/>
        </w:rPr>
        <w:t>编制部门：靖边县天赐湾镇人民政府</w:t>
      </w:r>
      <w:r>
        <w:rPr>
          <w:rFonts w:hint="eastAsia" w:ascii="宋体" w:hAnsi="宋体" w:cs="宋体"/>
          <w:b/>
          <w:bCs/>
          <w:szCs w:val="21"/>
        </w:rPr>
        <w:t xml:space="preserve">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2,291.40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988.15</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98.42</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284.32</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141.08</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696.26</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83.17</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2,291.40</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2,291.40</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2,291.40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2,291.40</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color w:val="2E75B5" w:themeColor="accent1" w:themeShade="BF"/>
          <w:szCs w:val="21"/>
        </w:rPr>
        <w:t>编制部门：靖边县天赐湾镇人民政府</w:t>
      </w:r>
      <w:r>
        <w:rPr>
          <w:rFonts w:hint="eastAsia" w:ascii="宋体" w:hAnsi="宋体" w:cs="宋体"/>
          <w:b/>
          <w:bCs/>
          <w:szCs w:val="21"/>
        </w:rPr>
        <w:t xml:space="preserve">                                     金额单位：万元</w:t>
      </w:r>
    </w:p>
    <w:tbl>
      <w:tblPr>
        <w:tblStyle w:val="7"/>
        <w:tblW w:w="8867" w:type="dxa"/>
        <w:tblInd w:w="0" w:type="dxa"/>
        <w:tblLayout w:type="fixed"/>
        <w:tblCellMar>
          <w:top w:w="15" w:type="dxa"/>
          <w:left w:w="15" w:type="dxa"/>
          <w:bottom w:w="15" w:type="dxa"/>
          <w:right w:w="15" w:type="dxa"/>
        </w:tblCellMar>
      </w:tblPr>
      <w:tblGrid>
        <w:gridCol w:w="927"/>
        <w:gridCol w:w="941"/>
        <w:gridCol w:w="669"/>
        <w:gridCol w:w="856"/>
        <w:gridCol w:w="734"/>
        <w:gridCol w:w="720"/>
        <w:gridCol w:w="1470"/>
        <w:gridCol w:w="750"/>
        <w:gridCol w:w="990"/>
        <w:gridCol w:w="810"/>
      </w:tblGrid>
      <w:tr>
        <w:tblPrEx>
          <w:tblCellMar>
            <w:top w:w="15" w:type="dxa"/>
            <w:left w:w="15" w:type="dxa"/>
            <w:bottom w:w="15" w:type="dxa"/>
            <w:right w:w="15" w:type="dxa"/>
          </w:tblCellMar>
        </w:tblPrEx>
        <w:trPr>
          <w:trHeight w:val="439" w:hRule="atLeast"/>
        </w:trPr>
        <w:tc>
          <w:tcPr>
            <w:tcW w:w="18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6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941"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6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 xml:space="preserve">其中：教育 </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8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2,291.40</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2,291.40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一般公共服务支出</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988.15</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988.15</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20101</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人大事务</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19.89</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19.89</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2010101</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行政运行</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19.89</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19.89</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20103</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政府办公厅（室）及相关机构事务</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812.21</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812.21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2010301</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行政运行</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563.17</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563.17</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2010399</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其他政府办公厅（室）及相关机构事务支出</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249.04</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249.04</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20106</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财政事务</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111.51</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111.51</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2010601</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行政运行</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53.92</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53.92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2010603</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机关服务</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57.58</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57.58</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20131</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党委办公厅（室）及相关机构事务</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44.55</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44.55</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2013101</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行政运行</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19.55</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19.55</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2013199</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其他党委办公厅（室）及相关机构事务支出</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25.00</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25.00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207</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文化旅游体育与传媒支出</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98.42</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98.42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20701</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文化和旅游</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98.42</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98.42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2070199</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其他文化和旅游支出</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98.42</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98.42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208</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社会保障和就业支出</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284.32</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284.32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20801</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人力资源和社会保障管理事务</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136.29</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136.29</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2080199</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其他人力资源和社会保障管理事务支出</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136.29</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136.29</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20805</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行政事业单位离退休</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148.03</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148.03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2080505</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机关事业单位基本养老保险缴费支出</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148.03</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148.03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210</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卫生健康支出</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141.08</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141.08</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21007</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计划生育事务</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77.33</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77.33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2100799</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其他计划生育事务支出</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77.33</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77.33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21011</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行政事业单位医疗</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63.75</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63.75</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2101102</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事业单位医疗</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63.75</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63.75</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农林水支出</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696.26</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696.26</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21301</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农业</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443.56</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443.56</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2130104</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事业运行</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221.19</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221.19</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2130142</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农村道路建设</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222.37</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222.37</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21306</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农业综合开发</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30.00</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30.00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2130699</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其他农业综合开发支出</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30.00</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val="en-US" w:eastAsia="zh-CN"/>
              </w:rPr>
              <w:t>30.00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21307</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农村综合改革</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221.77</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221.77</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2130705</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对村民委员会和村党支部的补助</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135.77</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135.77</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2130799</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其他农村综合改革支出</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86.00</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86.00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21399</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其他农林水支出</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0.93</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0.93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2139999</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其他农林水支出</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0.93</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0.93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221</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住房保障支出</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83.17</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83.17</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22102</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住房改革支出</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83.17</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83.17</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2210201</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住房公积金</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83.17</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83.17</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color w:val="2E75B5" w:themeColor="accent1" w:themeShade="BF"/>
          <w:szCs w:val="21"/>
        </w:rPr>
        <w:t>编制部门：靖边县天赐湾镇人民政府</w:t>
      </w:r>
      <w:r>
        <w:rPr>
          <w:rFonts w:hint="eastAsia" w:ascii="宋体" w:hAnsi="宋体" w:cs="宋体"/>
          <w:b/>
          <w:bCs/>
          <w:szCs w:val="21"/>
        </w:rPr>
        <w:t xml:space="preserve">                                     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2,291.40</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1,542.29</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749.11</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一般公共服务支出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988.15</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714.11</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274.04</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人大事务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19.89</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19.89</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2010101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19.89</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19.89</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20103</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政府办公厅（室）及相关机构事务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812.21</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563.17</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249.04</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2010301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563.17</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563.17</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2010399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其他政府办公厅（室）及相关机构事务支出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249.04</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249.04</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20106</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财政事务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111.51</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111.51</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2010601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53.92</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53.92</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2010603</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机关服务</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57.58</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57.58</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20131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党委办公厅（室）及相关机构事务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44.55</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19.55</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25.00</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2013101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19.55</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19.55</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2013199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其他党委办公厅（室）及相关机构事务支出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25.00</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25.00</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207</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文化旅游体育与传媒支出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98.42</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98.42</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20701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文化和旅游</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98.42</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98.42</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2070199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其他文化和旅游支出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98.42</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98.42</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284.32</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284.32</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20801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人力资源和社会保障管理事务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136.29</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136.29</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2080199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其他人力资源和社会保障管理事务支出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136.29</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136.29</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20805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行政事业单位离退休</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148.03</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148.03</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2080505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机关事业单位基本养老保险缴费支出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148.03</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148.03</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卫生健康支出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141.08</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141.08</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21007</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计划生育事务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77.33</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77.33</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2100799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其他计划生育事务支出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77.33</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77.33</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21011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行政事业单位医疗</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63.75</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63.75</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2101102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事业单位医疗</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63.75</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63.75</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农林水支出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696.26</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221.19</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475.07</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农业</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443.56</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221.19</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222.37</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2130104</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事业运行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221.19</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221.19</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2130142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农村道路建设</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222.37</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222.37</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21306</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农业综合开发</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30.00</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val="en-US" w:eastAsia="zh-CN"/>
              </w:rPr>
              <w:t>30.00</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2130699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其他农业综合开发支出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val="en-US" w:eastAsia="zh-CN"/>
              </w:rPr>
              <w:t>30.00</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val="en-US" w:eastAsia="zh-CN"/>
              </w:rPr>
              <w:t>30.00</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21307</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农村综合改革</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221.77</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221.77</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2130705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对村民委员会和村党支部的补助</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135.77</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135.77</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2130799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其他农村综合改革支出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86.00</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86.00</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其他农林水支出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0.93</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0.93</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2139999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其他农林水支出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0.93</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0.93</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住房保障支出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83.17</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83.17</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22102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住房改革支出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83.17</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83.17</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2210201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住房公积金</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83.17</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83.17</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2013101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19.55</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19.55</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2013199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其他党委办公厅（室）及相关机构事务支出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25.00</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25.00</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51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207</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文化旅游体育与传媒支出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98.42</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98.42</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20701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文化和旅游</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98.42</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98.42</w:t>
            </w:r>
          </w:p>
        </w:tc>
        <w:tc>
          <w:tcPr>
            <w:tcW w:w="10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color w:val="2E75B5" w:themeColor="accent1" w:themeShade="BF"/>
          <w:szCs w:val="21"/>
        </w:rPr>
        <w:t>编制部门：靖边县天赐湾镇人民政府</w:t>
      </w:r>
      <w:r>
        <w:rPr>
          <w:rFonts w:hint="eastAsia" w:ascii="宋体" w:hAnsi="宋体" w:cs="宋体"/>
          <w:b/>
          <w:bCs/>
          <w:szCs w:val="21"/>
        </w:rPr>
        <w:t xml:space="preserve">                                   金额单位：万元</w:t>
      </w:r>
    </w:p>
    <w:tbl>
      <w:tblPr>
        <w:tblStyle w:val="7"/>
        <w:tblW w:w="8824" w:type="dxa"/>
        <w:tblInd w:w="0" w:type="dxa"/>
        <w:tblLayout w:type="fixed"/>
        <w:tblCellMar>
          <w:top w:w="15" w:type="dxa"/>
          <w:left w:w="15" w:type="dxa"/>
          <w:bottom w:w="15" w:type="dxa"/>
          <w:right w:w="15" w:type="dxa"/>
        </w:tblCellMar>
      </w:tblPr>
      <w:tblGrid>
        <w:gridCol w:w="2552"/>
        <w:gridCol w:w="705"/>
        <w:gridCol w:w="2678"/>
        <w:gridCol w:w="855"/>
        <w:gridCol w:w="1075"/>
        <w:gridCol w:w="959"/>
      </w:tblGrid>
      <w:tr>
        <w:tblPrEx>
          <w:tblCellMar>
            <w:top w:w="15" w:type="dxa"/>
            <w:left w:w="15" w:type="dxa"/>
            <w:bottom w:w="15" w:type="dxa"/>
            <w:right w:w="15" w:type="dxa"/>
          </w:tblCellMar>
        </w:tblPrEx>
        <w:trPr>
          <w:trHeight w:val="183" w:hRule="atLeast"/>
        </w:trPr>
        <w:tc>
          <w:tcPr>
            <w:tcW w:w="32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56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338"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175"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2,291.40</w:t>
            </w: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988.15</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988.15</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45"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345"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98.42</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98.42</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284.32</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284.32</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141.08</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141.08</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696.26</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696.26</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83.17</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83.17</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183"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188"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855" w:type="dxa"/>
            <w:tcBorders>
              <w:top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75" w:type="dxa"/>
            <w:tcBorders>
              <w:top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59" w:type="dxa"/>
            <w:tcBorders>
              <w:top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188"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2,291.40 </w:t>
            </w: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855"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2291.40</w:t>
            </w:r>
          </w:p>
        </w:tc>
        <w:tc>
          <w:tcPr>
            <w:tcW w:w="1075" w:type="dxa"/>
            <w:tcBorders>
              <w:top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2291.40</w:t>
            </w:r>
          </w:p>
        </w:tc>
        <w:tc>
          <w:tcPr>
            <w:tcW w:w="959" w:type="dxa"/>
            <w:tcBorders>
              <w:top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r>
        <w:tblPrEx>
          <w:tblCellMar>
            <w:top w:w="15" w:type="dxa"/>
            <w:left w:w="15" w:type="dxa"/>
            <w:bottom w:w="15" w:type="dxa"/>
            <w:right w:w="15" w:type="dxa"/>
          </w:tblCellMar>
        </w:tblPrEx>
        <w:trPr>
          <w:trHeight w:val="188"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年末财政拨款结转和结余</w:t>
            </w:r>
          </w:p>
        </w:tc>
        <w:tc>
          <w:tcPr>
            <w:tcW w:w="855"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075"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959"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188"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color w:val="000000"/>
                <w:kern w:val="0"/>
                <w:szCs w:val="21"/>
              </w:rPr>
            </w:pPr>
            <w:r>
              <w:rPr>
                <w:rFonts w:hint="eastAsia" w:ascii="宋体" w:hAnsi="宋体" w:cs="宋体"/>
                <w:color w:val="000000"/>
                <w:kern w:val="0"/>
                <w:szCs w:val="21"/>
              </w:rPr>
              <w:t>1、一般公共预算财政拨款</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855"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075"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959"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188"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color w:val="000000"/>
                <w:kern w:val="0"/>
                <w:szCs w:val="21"/>
              </w:rPr>
            </w:pPr>
            <w:r>
              <w:rPr>
                <w:rFonts w:hint="eastAsia" w:ascii="宋体" w:hAnsi="宋体" w:cs="宋体"/>
                <w:color w:val="000000"/>
                <w:kern w:val="0"/>
                <w:szCs w:val="21"/>
              </w:rPr>
              <w:t>2、政府性基金预算财政拨款</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855"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1075"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c>
          <w:tcPr>
            <w:tcW w:w="959"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188"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2,291.40</w:t>
            </w:r>
          </w:p>
        </w:tc>
        <w:tc>
          <w:tcPr>
            <w:tcW w:w="2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855"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2291.40</w:t>
            </w:r>
          </w:p>
        </w:tc>
        <w:tc>
          <w:tcPr>
            <w:tcW w:w="1075"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2291.40</w:t>
            </w:r>
          </w:p>
        </w:tc>
        <w:tc>
          <w:tcPr>
            <w:tcW w:w="959" w:type="dxa"/>
            <w:tcBorders>
              <w:top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r>
    </w:tbl>
    <w:p>
      <w:pPr>
        <w:jc w:val="left"/>
        <w:rPr>
          <w:rFonts w:ascii="宋体" w:hAnsi="宋体" w:cs="宋体"/>
          <w:bCs/>
          <w:szCs w:val="21"/>
        </w:rPr>
      </w:pPr>
      <w:r>
        <w:rPr>
          <w:rFonts w:hint="eastAsia" w:ascii="宋体" w:hAnsi="宋体" w:cs="宋体"/>
          <w:bCs/>
          <w:szCs w:val="21"/>
        </w:rPr>
        <w:t>注：本表反映部门本年度一般公共预算财政拨款和政府性基金预算财政拨款的总收支和年末结转结余情况。本表金额转换为万元时，因四舍五入可能存在尾差。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color w:val="2E75B5" w:themeColor="accent1" w:themeShade="BF"/>
          <w:szCs w:val="21"/>
        </w:rPr>
        <w:t>编制部门：靖边县天赐湾镇人民政府</w:t>
      </w:r>
      <w:r>
        <w:rPr>
          <w:rFonts w:hint="eastAsia" w:ascii="宋体" w:hAnsi="宋体" w:cs="宋体"/>
          <w:b/>
          <w:bCs/>
          <w:szCs w:val="21"/>
        </w:rPr>
        <w:t xml:space="preserve">                                    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2,291.40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1,542.29</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1,336.95</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205.34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749.11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一般公共服务支出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988.15</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714.11</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508.77</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205.34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274.04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人大事务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19.89</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19.89</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18.42</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1.47</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2010101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19.89</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19.89</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18.42</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1.47</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20103</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政府办公厅（室）及相关机构事务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812.21</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563.17</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372.44</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190.73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249.04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2010301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563.17</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563.17</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372.44</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190.73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84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2010399</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其他政府办公厅（室）及相关机构事务支出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249.04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249.04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20106</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财政事务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111.51</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111.51</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99.87</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11.64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2010601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53.92</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53.92</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46.28</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7.64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2010603</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机关服务</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57.58</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57.58</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53.58</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4.00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20131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党委办公厅（室）及相关机构事务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44.55</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19.55</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18.05</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1.50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25.00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2013101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19.55</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19.55</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18.05</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1.50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2013199</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其他党委办公厅（室）及相关机构事务支出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25.00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25.00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207</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文化旅游体育与传媒支出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98.42</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98.42</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98.42</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20701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文化和旅游</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98.42</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98.42</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98.42</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2070199</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其他文化和旅游支出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98.42</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98.42</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98.42</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208</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284.32</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284.32</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284.32</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20801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人力资源和社会保障管理事务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136.29</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136.29</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136.29</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2080199</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其他人力资源和社会保障管理事务支出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136.29</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136.29</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136.29</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20805</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行政事业单位离退休</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148.03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148.03</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148.03</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2080505</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机关事业单位基本养老保险缴费支出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148.03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148.03</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148.03</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210</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卫生健康支出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141.08</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141.08</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141.08</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21007</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计划生育事务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77.33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77.33</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77.33</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2100799</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其他计划生育事务支出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77.33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77.33</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77.33</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21011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行政事业单位医疗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63.75</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63.75</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63.75</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2101102</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事业单位医疗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63.75</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63.75</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63.75</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农林水支出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696.26</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221.19</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221.19</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475.07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农业</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443.56</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221.19</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221.19</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222.37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2130104</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事业运行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221.19</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221.19</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221.19</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2130142</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农村道路建设</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222.37</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222.37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21306</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农业综合开发</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rPr>
              <w:t>3</w:t>
            </w:r>
            <w:r>
              <w:rPr>
                <w:rFonts w:hint="eastAsia" w:ascii="宋体" w:hAnsi="宋体" w:cs="宋体"/>
                <w:color w:val="000000"/>
                <w:kern w:val="0"/>
                <w:sz w:val="16"/>
                <w:szCs w:val="16"/>
                <w:lang w:val="en-US" w:eastAsia="zh-CN"/>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rPr>
              <w:t>3</w:t>
            </w:r>
            <w:r>
              <w:rPr>
                <w:rFonts w:hint="eastAsia" w:ascii="宋体" w:hAnsi="宋体" w:cs="宋体"/>
                <w:color w:val="000000"/>
                <w:kern w:val="0"/>
                <w:sz w:val="16"/>
                <w:szCs w:val="16"/>
                <w:lang w:val="en-US" w:eastAsia="zh-CN"/>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2130699</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其他农业综合开发支出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30.00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3</w:t>
            </w:r>
            <w:r>
              <w:rPr>
                <w:rFonts w:hint="eastAsia" w:ascii="宋体" w:hAnsi="宋体" w:cs="宋体"/>
                <w:color w:val="000000"/>
                <w:kern w:val="0"/>
                <w:sz w:val="16"/>
                <w:szCs w:val="16"/>
                <w:lang w:val="en-US" w:eastAsia="zh-CN"/>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21307</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农村综合改革</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221.77</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221.77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2130705</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对村民委员会和村党支部的补助</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135.77</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135.77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2130799</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其他农村综合改革支出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86.00</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86.00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21399</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其他农林水支出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0.93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0.93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2139999</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其他农林水支出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0.93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0.93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住房保障支出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83.17</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83.17</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83.17</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22102</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住房改革支出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83.17</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83.17</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83.17</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2210201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 xml:space="preserve">  住房公积金</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83.17</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83.17</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83.17</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16"/>
                <w:szCs w:val="16"/>
                <w:lang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16"/>
                <w:szCs w:val="16"/>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widowControl/>
        <w:jc w:val="left"/>
      </w:pPr>
      <w:r>
        <w:rPr>
          <w:rFonts w:hint="eastAsia" w:ascii="宋体" w:hAnsi="宋体" w:cs="宋体"/>
          <w:b/>
          <w:bCs/>
          <w:sz w:val="32"/>
          <w:szCs w:val="32"/>
        </w:rPr>
        <w:br w:type="page"/>
      </w:r>
    </w:p>
    <w:p>
      <w:pP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color w:val="2E75B5" w:themeColor="accent1" w:themeShade="BF"/>
          <w:szCs w:val="21"/>
        </w:rPr>
        <w:t>编制部门：靖边县天赐湾镇人民政府</w:t>
      </w:r>
      <w:r>
        <w:rPr>
          <w:rFonts w:hint="eastAsia" w:ascii="宋体" w:hAnsi="宋体" w:cs="宋体"/>
          <w:b/>
          <w:bCs/>
          <w:szCs w:val="21"/>
        </w:rPr>
        <w:t xml:space="preserve">                                     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1542.29</w:t>
            </w:r>
          </w:p>
        </w:tc>
        <w:tc>
          <w:tcPr>
            <w:tcW w:w="1437"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1336.95</w:t>
            </w:r>
          </w:p>
        </w:tc>
        <w:tc>
          <w:tcPr>
            <w:tcW w:w="1363"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205.34</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1242.41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1242.41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Cs w:val="21"/>
                <w:lang w:eastAsia="zh-CN"/>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471.35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471.35</w:t>
            </w:r>
          </w:p>
        </w:tc>
        <w:tc>
          <w:tcPr>
            <w:tcW w:w="1363" w:type="dxa"/>
            <w:tcBorders>
              <w:top w:val="single" w:color="000000" w:sz="4" w:space="0"/>
              <w:left w:val="single" w:color="000000" w:sz="4" w:space="0"/>
              <w:bottom w:val="single" w:color="000000" w:sz="4" w:space="0"/>
              <w:right w:val="single" w:color="000000" w:sz="4" w:space="0"/>
            </w:tcBorders>
          </w:tcPr>
          <w:p>
            <w:pPr>
              <w:jc w:val="center"/>
              <w:rPr>
                <w:rFonts w:hint="eastAsia" w:eastAsia="宋体"/>
                <w:lang w:eastAsia="zh-CN"/>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322.41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322.41</w:t>
            </w:r>
          </w:p>
        </w:tc>
        <w:tc>
          <w:tcPr>
            <w:tcW w:w="1363" w:type="dxa"/>
            <w:tcBorders>
              <w:top w:val="single" w:color="000000" w:sz="4" w:space="0"/>
              <w:left w:val="single" w:color="000000" w:sz="4" w:space="0"/>
              <w:bottom w:val="single" w:color="000000" w:sz="4" w:space="0"/>
              <w:right w:val="single" w:color="000000" w:sz="4" w:space="0"/>
            </w:tcBorders>
          </w:tcPr>
          <w:p>
            <w:pPr>
              <w:jc w:val="center"/>
              <w:rPr>
                <w:rFonts w:hint="eastAsia" w:eastAsia="宋体"/>
                <w:lang w:eastAsia="zh-CN"/>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26.15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26.15</w:t>
            </w:r>
          </w:p>
        </w:tc>
        <w:tc>
          <w:tcPr>
            <w:tcW w:w="1363" w:type="dxa"/>
            <w:tcBorders>
              <w:top w:val="single" w:color="000000" w:sz="4" w:space="0"/>
              <w:left w:val="single" w:color="000000" w:sz="4" w:space="0"/>
              <w:bottom w:val="single" w:color="000000" w:sz="4" w:space="0"/>
              <w:right w:val="single" w:color="000000" w:sz="4" w:space="0"/>
            </w:tcBorders>
          </w:tcPr>
          <w:p>
            <w:pPr>
              <w:jc w:val="center"/>
              <w:rPr>
                <w:rFonts w:hint="eastAsia" w:eastAsia="宋体"/>
                <w:lang w:eastAsia="zh-CN"/>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30106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伙食补助费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tcPr>
          <w:p>
            <w:pPr>
              <w:jc w:val="center"/>
              <w:rPr>
                <w:rFonts w:hint="eastAsia" w:eastAsia="宋体"/>
                <w:lang w:eastAsia="zh-CN"/>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125.68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125.68</w:t>
            </w:r>
          </w:p>
        </w:tc>
        <w:tc>
          <w:tcPr>
            <w:tcW w:w="1363" w:type="dxa"/>
            <w:tcBorders>
              <w:top w:val="single" w:color="000000" w:sz="4" w:space="0"/>
              <w:left w:val="single" w:color="000000" w:sz="4" w:space="0"/>
              <w:bottom w:val="single" w:color="000000" w:sz="4" w:space="0"/>
              <w:right w:val="single" w:color="000000" w:sz="4" w:space="0"/>
            </w:tcBorders>
          </w:tcPr>
          <w:p>
            <w:pPr>
              <w:jc w:val="center"/>
              <w:rPr>
                <w:rFonts w:hint="eastAsia" w:eastAsia="宋体"/>
                <w:lang w:eastAsia="zh-CN"/>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148.03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148.03</w:t>
            </w:r>
          </w:p>
        </w:tc>
        <w:tc>
          <w:tcPr>
            <w:tcW w:w="1363" w:type="dxa"/>
            <w:tcBorders>
              <w:top w:val="single" w:color="000000" w:sz="4" w:space="0"/>
              <w:left w:val="single" w:color="000000" w:sz="4" w:space="0"/>
              <w:bottom w:val="single" w:color="000000" w:sz="4" w:space="0"/>
              <w:right w:val="single" w:color="000000" w:sz="4" w:space="0"/>
            </w:tcBorders>
          </w:tcPr>
          <w:p>
            <w:pPr>
              <w:jc w:val="center"/>
              <w:rPr>
                <w:rFonts w:hint="eastAsia" w:eastAsia="宋体"/>
                <w:lang w:eastAsia="zh-CN"/>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30109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职业年金缴费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tcPr>
          <w:p>
            <w:pPr>
              <w:jc w:val="center"/>
              <w:rPr>
                <w:rFonts w:hint="eastAsia" w:eastAsia="宋体"/>
                <w:lang w:eastAsia="zh-CN"/>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30110</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职工基本医疗保险缴费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63.75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63.75</w:t>
            </w:r>
          </w:p>
        </w:tc>
        <w:tc>
          <w:tcPr>
            <w:tcW w:w="1363" w:type="dxa"/>
            <w:tcBorders>
              <w:top w:val="single" w:color="000000" w:sz="4" w:space="0"/>
              <w:left w:val="single" w:color="000000" w:sz="4" w:space="0"/>
              <w:bottom w:val="single" w:color="000000" w:sz="4" w:space="0"/>
              <w:right w:val="single" w:color="000000" w:sz="4" w:space="0"/>
            </w:tcBorders>
          </w:tcPr>
          <w:p>
            <w:pPr>
              <w:jc w:val="center"/>
              <w:rPr>
                <w:rFonts w:hint="eastAsia" w:eastAsia="宋体"/>
                <w:lang w:eastAsia="zh-CN"/>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30111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公务员医疗补助缴费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tcPr>
          <w:p>
            <w:pPr>
              <w:jc w:val="center"/>
              <w:rPr>
                <w:rFonts w:hint="eastAsia" w:eastAsia="宋体"/>
                <w:lang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30112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其他社会保障缴费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tcPr>
          <w:p>
            <w:pPr>
              <w:jc w:val="center"/>
              <w:rPr>
                <w:rFonts w:hint="eastAsia" w:eastAsia="宋体"/>
                <w:lang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83.17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lang w:eastAsia="zh-CN"/>
              </w:rPr>
            </w:pPr>
            <w:r>
              <w:rPr>
                <w:rFonts w:hint="eastAsia" w:ascii="宋体" w:hAnsi="宋体" w:cs="宋体"/>
                <w:color w:val="000000"/>
                <w:szCs w:val="21"/>
              </w:rPr>
              <w:t>83.17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30114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医疗费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tcPr>
          <w:p>
            <w:pPr>
              <w:jc w:val="center"/>
              <w:rPr>
                <w:rFonts w:hint="eastAsia" w:eastAsia="宋体"/>
                <w:lang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30199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其他工资福利支出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1.86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lang w:eastAsia="zh-CN"/>
              </w:rPr>
            </w:pPr>
            <w:r>
              <w:rPr>
                <w:rFonts w:hint="eastAsia" w:ascii="宋体" w:hAnsi="宋体" w:cs="宋体"/>
                <w:color w:val="000000"/>
                <w:szCs w:val="21"/>
              </w:rPr>
              <w:t>1.86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205.34</w:t>
            </w:r>
          </w:p>
        </w:tc>
        <w:tc>
          <w:tcPr>
            <w:tcW w:w="143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lang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205.34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29.83</w:t>
            </w:r>
          </w:p>
        </w:tc>
        <w:tc>
          <w:tcPr>
            <w:tcW w:w="143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lang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29.83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30202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12.25</w:t>
            </w:r>
          </w:p>
        </w:tc>
        <w:tc>
          <w:tcPr>
            <w:tcW w:w="143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lang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12.25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30203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咨询费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lang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30204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0.06</w:t>
            </w:r>
          </w:p>
        </w:tc>
        <w:tc>
          <w:tcPr>
            <w:tcW w:w="143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lang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0.06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0.57</w:t>
            </w:r>
          </w:p>
        </w:tc>
        <w:tc>
          <w:tcPr>
            <w:tcW w:w="143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lang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0.57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30206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8.17</w:t>
            </w:r>
          </w:p>
        </w:tc>
        <w:tc>
          <w:tcPr>
            <w:tcW w:w="143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lang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8.17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2.29</w:t>
            </w:r>
          </w:p>
        </w:tc>
        <w:tc>
          <w:tcPr>
            <w:tcW w:w="143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lang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2.29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30208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取暖费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13.57</w:t>
            </w:r>
          </w:p>
        </w:tc>
        <w:tc>
          <w:tcPr>
            <w:tcW w:w="143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lang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13.57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30209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物业管理费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lang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4.17</w:t>
            </w:r>
          </w:p>
        </w:tc>
        <w:tc>
          <w:tcPr>
            <w:tcW w:w="143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lang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4.17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30212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因公出国（境）费用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lang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29.41</w:t>
            </w:r>
          </w:p>
        </w:tc>
        <w:tc>
          <w:tcPr>
            <w:tcW w:w="1437" w:type="dxa"/>
            <w:tcBorders>
              <w:top w:val="single" w:color="000000" w:sz="4" w:space="0"/>
              <w:left w:val="single" w:color="000000" w:sz="4" w:space="0"/>
              <w:bottom w:val="single" w:color="000000" w:sz="4" w:space="0"/>
              <w:right w:val="single" w:color="000000" w:sz="4" w:space="0"/>
            </w:tcBorders>
            <w:vAlign w:val="top"/>
          </w:tcPr>
          <w:p>
            <w:pPr>
              <w:jc w:val="center"/>
              <w:rPr>
                <w:rFonts w:hint="eastAsia" w:eastAsia="宋体"/>
                <w:lang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29.41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30214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租赁费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tcPr>
          <w:p>
            <w:pPr>
              <w:jc w:val="center"/>
              <w:rPr>
                <w:rFonts w:hint="eastAsia" w:eastAsia="宋体"/>
                <w:lang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30215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会议费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1.24</w:t>
            </w:r>
          </w:p>
        </w:tc>
        <w:tc>
          <w:tcPr>
            <w:tcW w:w="1437" w:type="dxa"/>
            <w:tcBorders>
              <w:top w:val="single" w:color="000000" w:sz="4" w:space="0"/>
              <w:left w:val="single" w:color="000000" w:sz="4" w:space="0"/>
              <w:bottom w:val="single" w:color="000000" w:sz="4" w:space="0"/>
              <w:right w:val="single" w:color="000000" w:sz="4" w:space="0"/>
            </w:tcBorders>
            <w:vAlign w:val="top"/>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1.24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30216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培训费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0.38</w:t>
            </w:r>
          </w:p>
        </w:tc>
        <w:tc>
          <w:tcPr>
            <w:tcW w:w="1437" w:type="dxa"/>
            <w:tcBorders>
              <w:top w:val="single" w:color="000000" w:sz="4" w:space="0"/>
              <w:left w:val="single" w:color="000000" w:sz="4" w:space="0"/>
              <w:bottom w:val="single" w:color="000000" w:sz="4" w:space="0"/>
              <w:right w:val="single" w:color="000000" w:sz="4" w:space="0"/>
            </w:tcBorders>
            <w:vAlign w:val="top"/>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0.38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1.94</w:t>
            </w:r>
          </w:p>
        </w:tc>
        <w:tc>
          <w:tcPr>
            <w:tcW w:w="1437" w:type="dxa"/>
            <w:tcBorders>
              <w:top w:val="single" w:color="000000" w:sz="4" w:space="0"/>
              <w:left w:val="single" w:color="000000" w:sz="4" w:space="0"/>
              <w:bottom w:val="single" w:color="000000" w:sz="4" w:space="0"/>
              <w:right w:val="single" w:color="000000" w:sz="4" w:space="0"/>
            </w:tcBorders>
            <w:vAlign w:val="top"/>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1.94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30218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专用材料费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1.43</w:t>
            </w:r>
          </w:p>
        </w:tc>
        <w:tc>
          <w:tcPr>
            <w:tcW w:w="1437" w:type="dxa"/>
            <w:tcBorders>
              <w:top w:val="single" w:color="000000" w:sz="4" w:space="0"/>
              <w:left w:val="single" w:color="000000" w:sz="4" w:space="0"/>
              <w:bottom w:val="single" w:color="000000" w:sz="4" w:space="0"/>
              <w:right w:val="single" w:color="000000" w:sz="4" w:space="0"/>
            </w:tcBorders>
            <w:vAlign w:val="top"/>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1.43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30224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被装购置费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top"/>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lang w:eastAsia="zh-CN"/>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30225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专用燃料费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2.67</w:t>
            </w:r>
          </w:p>
        </w:tc>
        <w:tc>
          <w:tcPr>
            <w:tcW w:w="1437" w:type="dxa"/>
            <w:tcBorders>
              <w:top w:val="single" w:color="000000" w:sz="4" w:space="0"/>
              <w:left w:val="single" w:color="000000" w:sz="4" w:space="0"/>
              <w:bottom w:val="single" w:color="000000" w:sz="4" w:space="0"/>
              <w:right w:val="single" w:color="000000" w:sz="4" w:space="0"/>
            </w:tcBorders>
            <w:vAlign w:val="top"/>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lang w:eastAsia="zh-CN"/>
              </w:rPr>
            </w:pPr>
            <w:r>
              <w:rPr>
                <w:rFonts w:hint="eastAsia" w:ascii="宋体" w:hAnsi="宋体" w:cs="宋体"/>
                <w:color w:val="000000"/>
                <w:szCs w:val="21"/>
              </w:rPr>
              <w:t>2.67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30226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27.2</w:t>
            </w:r>
          </w:p>
        </w:tc>
        <w:tc>
          <w:tcPr>
            <w:tcW w:w="1437" w:type="dxa"/>
            <w:tcBorders>
              <w:top w:val="single" w:color="000000" w:sz="4" w:space="0"/>
              <w:left w:val="single" w:color="000000" w:sz="4" w:space="0"/>
              <w:bottom w:val="single" w:color="000000" w:sz="4" w:space="0"/>
              <w:right w:val="single" w:color="000000" w:sz="4" w:space="0"/>
            </w:tcBorders>
            <w:vAlign w:val="top"/>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lang w:eastAsia="zh-CN"/>
              </w:rPr>
            </w:pPr>
            <w:r>
              <w:rPr>
                <w:rFonts w:hint="eastAsia" w:ascii="宋体" w:hAnsi="宋体" w:cs="宋体"/>
                <w:color w:val="000000"/>
                <w:szCs w:val="21"/>
              </w:rPr>
              <w:t>27.2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30227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委托业务费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tcPr>
          <w:p>
            <w:pPr>
              <w:jc w:val="center"/>
              <w:rPr>
                <w:rFonts w:hint="eastAsia" w:eastAsia="宋体"/>
                <w:lang w:eastAsia="zh-CN"/>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30229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福利费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30231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公务用车运行维护费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6.79</w:t>
            </w:r>
          </w:p>
        </w:tc>
        <w:tc>
          <w:tcPr>
            <w:tcW w:w="1437" w:type="dxa"/>
            <w:tcBorders>
              <w:top w:val="single" w:color="000000" w:sz="4" w:space="0"/>
              <w:left w:val="single" w:color="000000" w:sz="4" w:space="0"/>
              <w:bottom w:val="single" w:color="000000" w:sz="4" w:space="0"/>
              <w:right w:val="single" w:color="000000" w:sz="4" w:space="0"/>
            </w:tcBorders>
            <w:vAlign w:val="top"/>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6.79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15.84</w:t>
            </w:r>
          </w:p>
        </w:tc>
        <w:tc>
          <w:tcPr>
            <w:tcW w:w="1437" w:type="dxa"/>
            <w:tcBorders>
              <w:top w:val="single" w:color="000000" w:sz="4" w:space="0"/>
              <w:left w:val="single" w:color="000000" w:sz="4" w:space="0"/>
              <w:bottom w:val="single" w:color="000000" w:sz="4" w:space="0"/>
              <w:right w:val="single" w:color="000000" w:sz="4" w:space="0"/>
            </w:tcBorders>
            <w:vAlign w:val="top"/>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15.84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30240</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税金及附加费用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top"/>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47.52</w:t>
            </w:r>
          </w:p>
        </w:tc>
        <w:tc>
          <w:tcPr>
            <w:tcW w:w="1437" w:type="dxa"/>
            <w:tcBorders>
              <w:top w:val="single" w:color="000000" w:sz="4" w:space="0"/>
              <w:left w:val="single" w:color="000000" w:sz="4" w:space="0"/>
              <w:bottom w:val="single" w:color="000000" w:sz="4" w:space="0"/>
              <w:right w:val="single" w:color="000000" w:sz="4" w:space="0"/>
            </w:tcBorders>
            <w:vAlign w:val="top"/>
          </w:tcPr>
          <w:p>
            <w:pPr>
              <w:jc w:val="center"/>
              <w:rPr>
                <w:rFonts w:ascii="宋体" w:hAnsi="宋体" w:eastAsia="宋体" w:cs="宋体"/>
                <w:color w:val="000000"/>
                <w:kern w:val="2"/>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47.52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4"/>
                <w:szCs w:val="24"/>
                <w:u w:val="none"/>
                <w:lang w:val="en-US" w:eastAsia="zh-CN" w:bidi="ar"/>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4"/>
                <w:szCs w:val="24"/>
                <w:u w:val="none"/>
                <w:lang w:val="en-US" w:eastAsia="zh-CN" w:bidi="ar"/>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94.54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94.54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30301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离休费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30302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退休费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30303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退职（役）费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30304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抚恤金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92.02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92.02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0.78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0.78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30306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救济费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30307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医疗费补助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1.74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1.74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30308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助学金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30310</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个人农业生产补贴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30399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both"/>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color w:val="2E75B5" w:themeColor="accent1" w:themeShade="BF"/>
          <w:szCs w:val="21"/>
        </w:rPr>
        <w:t>编制部门：靖边县天赐湾镇人民政府</w:t>
      </w:r>
      <w:r>
        <w:rPr>
          <w:rFonts w:hint="eastAsia" w:ascii="宋体" w:hAnsi="宋体" w:cs="宋体"/>
          <w:b/>
          <w:bCs/>
          <w:szCs w:val="21"/>
        </w:rPr>
        <w:t xml:space="preserve">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16.6</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3.5</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13.1</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13.1</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1.24</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rPr>
              <w:t>0</w:t>
            </w:r>
            <w:r>
              <w:rPr>
                <w:rFonts w:hint="eastAsia" w:ascii="宋体" w:hAnsi="宋体" w:cs="宋体"/>
                <w:b/>
                <w:color w:val="000000"/>
                <w:szCs w:val="21"/>
                <w:lang w:val="en-US" w:eastAsia="zh-CN"/>
              </w:rPr>
              <w:t>.38</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8.7</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1.94</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6.79</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6.79</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1.24</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0.38</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color w:val="2E75B5" w:themeColor="accent1" w:themeShade="BF"/>
          <w:szCs w:val="21"/>
        </w:rPr>
        <w:t>编制部门：靖边县天赐湾镇人民政府</w:t>
      </w:r>
      <w:r>
        <w:rPr>
          <w:rFonts w:hint="eastAsia" w:ascii="宋体" w:hAnsi="宋体" w:cs="宋体"/>
          <w:b/>
          <w:bCs/>
          <w:szCs w:val="21"/>
        </w:rPr>
        <w:t xml:space="preserve">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widowControl/>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2019 年收入总计2291.4万元、支出</w:t>
      </w:r>
      <w:r>
        <w:rPr>
          <w:rFonts w:hint="eastAsia" w:ascii="仿宋_GB2312" w:hAnsi="仿宋" w:eastAsia="仿宋_GB2312"/>
          <w:b/>
          <w:bCs/>
          <w:color w:val="000000" w:themeColor="text1"/>
          <w:sz w:val="32"/>
          <w:szCs w:val="32"/>
        </w:rPr>
        <w:t>总计</w:t>
      </w:r>
      <w:r>
        <w:rPr>
          <w:rFonts w:hint="eastAsia" w:ascii="仿宋_GB2312" w:hAnsi="仿宋" w:eastAsia="仿宋_GB2312"/>
          <w:color w:val="000000" w:themeColor="text1"/>
          <w:sz w:val="32"/>
          <w:szCs w:val="32"/>
        </w:rPr>
        <w:t xml:space="preserve"> 2291.4万元，与 2018 年相比，收入增加1390.5、支出总计增加1390.5 万元，增加154.34%，主要是单位新增人员较多，人员经费增多，项目支出较上年增多。</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单位：万元</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4671695" cy="2472690"/>
            <wp:effectExtent l="19050" t="0" r="14080" b="364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ascii="仿宋_GB2312" w:hAnsi="仿宋_GB2312" w:eastAsia="仿宋_GB2312" w:cs="仿宋_GB2312"/>
          <w:sz w:val="32"/>
          <w:szCs w:val="32"/>
        </w:rPr>
        <w:t xml:space="preserve"> </w:t>
      </w:r>
    </w:p>
    <w:p>
      <w:pPr>
        <w:widowControl/>
        <w:ind w:firstLine="640" w:firstLineChars="200"/>
        <w:jc w:val="left"/>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w:t>
      </w:r>
      <w:r>
        <w:rPr>
          <w:rFonts w:hint="eastAsia" w:ascii="仿宋_GB2312" w:hAnsi="仿宋" w:eastAsia="仿宋_GB2312"/>
          <w:color w:val="000000" w:themeColor="text1"/>
          <w:sz w:val="32"/>
          <w:szCs w:val="32"/>
        </w:rPr>
        <w:t>合计</w:t>
      </w:r>
      <w:r>
        <w:rPr>
          <w:rFonts w:hint="eastAsia" w:ascii="仿宋_GB2312" w:hAnsi="宋体" w:eastAsia="仿宋_GB2312" w:cs="仿宋_GB2312"/>
          <w:color w:val="000000"/>
          <w:kern w:val="0"/>
          <w:sz w:val="32"/>
          <w:szCs w:val="32"/>
        </w:rPr>
        <w:t>2291.4</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rPr>
        <w:t>2291.4</w:t>
      </w:r>
      <w:r>
        <w:rPr>
          <w:rFonts w:ascii="仿宋_GB2312" w:hAnsi="宋体" w:eastAsia="仿宋_GB2312" w:cs="仿宋_GB2312"/>
          <w:color w:val="000000"/>
          <w:kern w:val="0"/>
          <w:sz w:val="32"/>
          <w:szCs w:val="32"/>
        </w:rPr>
        <w:t>万元，占收入</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%；经营收入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4902200" cy="2329180"/>
            <wp:effectExtent l="5080" t="4445" r="7620"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rPr>
        <w:t>2291.4</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rPr>
        <w:t>1542.29</w:t>
      </w:r>
      <w:r>
        <w:rPr>
          <w:rFonts w:ascii="仿宋_GB2312" w:hAnsi="宋体" w:eastAsia="仿宋_GB2312" w:cs="仿宋_GB2312"/>
          <w:color w:val="000000"/>
          <w:kern w:val="0"/>
          <w:sz w:val="32"/>
          <w:szCs w:val="32"/>
        </w:rPr>
        <w:t>万元，占支出</w:t>
      </w:r>
      <w:r>
        <w:rPr>
          <w:rFonts w:hint="eastAsia" w:ascii="仿宋_GB2312" w:hAnsi="宋体" w:eastAsia="仿宋_GB2312" w:cs="仿宋_GB2312"/>
          <w:color w:val="000000"/>
          <w:kern w:val="0"/>
          <w:sz w:val="32"/>
          <w:szCs w:val="32"/>
        </w:rPr>
        <w:t>67.3</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rPr>
        <w:t>749.11</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32.7</w:t>
      </w:r>
      <w:r>
        <w:rPr>
          <w:rFonts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widowControl/>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单位：万元</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4711700" cy="2066925"/>
            <wp:effectExtent l="19050" t="0" r="12424" b="9111"/>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仿宋_GB2312" w:hAnsi="仿宋" w:eastAsia="仿宋_GB2312"/>
          <w:sz w:val="32"/>
          <w:szCs w:val="32"/>
        </w:rPr>
      </w:pPr>
      <w:r>
        <w:rPr>
          <w:rFonts w:hint="eastAsia" w:ascii="仿宋_GB2312" w:hAnsi="宋体" w:eastAsia="仿宋_GB2312" w:cs="仿宋_GB2312"/>
          <w:color w:val="000000"/>
          <w:kern w:val="0"/>
          <w:sz w:val="32"/>
          <w:szCs w:val="32"/>
        </w:rPr>
        <w:t>2019 年收入总计2291.4万元、支出总计 2291.4万元，与 2018 年相比，收入增加1390.5万元，支出总计增加1390.5 万元，增加154.34%，主要是单位新增人员较多，人员经费增多，项目支出较上年增多。</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hint="eastAsia"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p>
    <w:p>
      <w:pPr>
        <w:widowControl/>
        <w:ind w:firstLine="640" w:firstLineChars="200"/>
        <w:jc w:val="right"/>
        <w:rPr>
          <w:rFonts w:hint="default"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单位：万元</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4535805" cy="2098675"/>
            <wp:effectExtent l="19050" t="0" r="16841"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pPr>
      <w:r>
        <w:rPr>
          <w:rFonts w:ascii="仿宋_GB2312" w:hAnsi="宋体" w:eastAsia="仿宋_GB2312" w:cs="仿宋_GB2312"/>
          <w:color w:val="000000"/>
          <w:kern w:val="0"/>
          <w:sz w:val="32"/>
          <w:szCs w:val="32"/>
        </w:rPr>
        <w:t>2019 年财政拨款支出</w:t>
      </w:r>
      <w:r>
        <w:rPr>
          <w:rFonts w:hint="eastAsia" w:ascii="仿宋_GB2312" w:hAnsi="宋体" w:eastAsia="仿宋_GB2312" w:cs="仿宋_GB2312"/>
          <w:color w:val="000000"/>
          <w:kern w:val="0"/>
          <w:sz w:val="32"/>
          <w:szCs w:val="32"/>
        </w:rPr>
        <w:t>2291.4</w:t>
      </w:r>
      <w:r>
        <w:rPr>
          <w:rFonts w:ascii="仿宋_GB2312" w:hAnsi="宋体" w:eastAsia="仿宋_GB2312" w:cs="仿宋_GB2312"/>
          <w:color w:val="000000"/>
          <w:kern w:val="0"/>
          <w:sz w:val="32"/>
          <w:szCs w:val="32"/>
        </w:rPr>
        <w:t xml:space="preserve">万元，占本年支出合 </w:t>
      </w:r>
    </w:p>
    <w:p>
      <w:pPr>
        <w:widowControl/>
        <w:jc w:val="left"/>
      </w:pPr>
      <w:r>
        <w:rPr>
          <w:rFonts w:ascii="仿宋_GB2312" w:hAnsi="宋体" w:eastAsia="仿宋_GB2312" w:cs="仿宋_GB2312"/>
          <w:color w:val="000000"/>
          <w:kern w:val="0"/>
          <w:sz w:val="32"/>
          <w:szCs w:val="32"/>
        </w:rPr>
        <w:t>计的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相比，财政拨款支出增加</w:t>
      </w:r>
      <w:r>
        <w:rPr>
          <w:rFonts w:hint="eastAsia" w:ascii="仿宋_GB2312" w:hAnsi="宋体" w:eastAsia="仿宋_GB2312" w:cs="仿宋_GB2312"/>
          <w:color w:val="000000"/>
          <w:kern w:val="0"/>
          <w:sz w:val="32"/>
          <w:szCs w:val="32"/>
        </w:rPr>
        <w:t>1390.5 万元，增加154.34%，主要是单位新增人员较多，人员经费增多，项目支出较上年增多。</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 年财政拨款支出决算为</w:t>
      </w:r>
      <w:r>
        <w:rPr>
          <w:rFonts w:hint="eastAsia" w:ascii="仿宋_GB2312" w:hAnsi="宋体" w:eastAsia="仿宋_GB2312" w:cs="仿宋_GB2312"/>
          <w:color w:val="000000"/>
          <w:kern w:val="0"/>
          <w:sz w:val="32"/>
          <w:szCs w:val="32"/>
        </w:rPr>
        <w:t>2291.4</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其中：一般公共服务支出（类）为</w:t>
      </w:r>
      <w:r>
        <w:rPr>
          <w:rFonts w:hint="eastAsia" w:ascii="仿宋_GB2312" w:hAnsi="宋体" w:eastAsia="仿宋_GB2312" w:cs="仿宋_GB2312"/>
          <w:color w:val="000000"/>
          <w:kern w:val="0"/>
          <w:sz w:val="32"/>
          <w:szCs w:val="32"/>
        </w:rPr>
        <w:t>988.15</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公共安全支出</w:t>
      </w:r>
      <w:r>
        <w:rPr>
          <w:rFonts w:ascii="仿宋_GB2312" w:hAnsi="宋体" w:eastAsia="仿宋_GB2312" w:cs="仿宋_GB2312"/>
          <w:color w:val="000000"/>
          <w:kern w:val="0"/>
          <w:sz w:val="32"/>
          <w:szCs w:val="32"/>
        </w:rPr>
        <w:t>（类）</w:t>
      </w:r>
      <w:r>
        <w:rPr>
          <w:rFonts w:hint="eastAsia" w:ascii="仿宋_GB2312" w:hAnsi="宋体" w:eastAsia="仿宋_GB2312" w:cs="仿宋_GB2312"/>
          <w:color w:val="000000"/>
          <w:kern w:val="0"/>
          <w:sz w:val="32"/>
          <w:szCs w:val="32"/>
        </w:rPr>
        <w:t>0 万元；教育支出</w:t>
      </w:r>
      <w:r>
        <w:rPr>
          <w:rFonts w:ascii="仿宋_GB2312" w:hAnsi="宋体" w:eastAsia="仿宋_GB2312" w:cs="仿宋_GB2312"/>
          <w:color w:val="000000"/>
          <w:kern w:val="0"/>
          <w:sz w:val="32"/>
          <w:szCs w:val="32"/>
        </w:rPr>
        <w:t>（类）</w:t>
      </w:r>
      <w:r>
        <w:rPr>
          <w:rFonts w:hint="eastAsia" w:ascii="仿宋_GB2312" w:hAnsi="宋体" w:eastAsia="仿宋_GB2312" w:cs="仿宋_GB2312"/>
          <w:color w:val="000000"/>
          <w:kern w:val="0"/>
          <w:sz w:val="32"/>
          <w:szCs w:val="32"/>
        </w:rPr>
        <w:t>0万元；文化旅游体育与传媒支出（类）为98.42万元，社会保障和就业支出284.32万元，卫生健康支出141.08万元，农林水支出696.26万元，住房保障支出83.17万元。</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spacing w:line="360" w:lineRule="auto"/>
        <w:ind w:firstLine="640" w:firstLineChars="200"/>
        <w:rPr>
          <w:rFonts w:ascii="仿宋_GB2312" w:hAnsi="仿宋" w:eastAsia="仿宋_GB2312"/>
          <w:sz w:val="32"/>
          <w:szCs w:val="32"/>
        </w:rPr>
      </w:pPr>
      <w:r>
        <w:rPr>
          <w:rFonts w:ascii="仿宋_GB2312" w:hAnsi="仿宋" w:eastAsia="仿宋_GB2312"/>
          <w:sz w:val="32"/>
          <w:szCs w:val="32"/>
        </w:rPr>
        <w:drawing>
          <wp:inline distT="0" distB="0" distL="0" distR="0">
            <wp:extent cx="4943475" cy="2257425"/>
            <wp:effectExtent l="19050" t="0" r="9525"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rPr>
        <w:t>1542.29</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rPr>
        <w:t>1242.41</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rPr>
        <w:t>205.34</w:t>
      </w:r>
      <w:r>
        <w:rPr>
          <w:rFonts w:ascii="仿宋_GB2312" w:hAnsi="仿宋_GB2312" w:eastAsia="仿宋_GB2312" w:cs="仿宋_GB2312"/>
          <w:color w:val="000000"/>
          <w:kern w:val="0"/>
          <w:sz w:val="31"/>
          <w:szCs w:val="31"/>
        </w:rPr>
        <w:t>万元</w:t>
      </w:r>
      <w:r>
        <w:rPr>
          <w:rFonts w:hint="eastAsia" w:ascii="仿宋_GB2312" w:hAnsi="仿宋_GB2312" w:eastAsia="仿宋_GB2312" w:cs="仿宋_GB2312"/>
          <w:color w:val="000000"/>
          <w:kern w:val="0"/>
          <w:sz w:val="31"/>
          <w:szCs w:val="31"/>
        </w:rPr>
        <w:t>，</w:t>
      </w:r>
      <w:r>
        <w:rPr>
          <w:rFonts w:ascii="仿宋_GB2312" w:hAnsi="仿宋_GB2312" w:eastAsia="仿宋_GB2312" w:cs="仿宋_GB2312"/>
          <w:color w:val="000000"/>
          <w:kern w:val="0"/>
          <w:sz w:val="31"/>
          <w:szCs w:val="31"/>
        </w:rPr>
        <w:t>对个人和家庭补助</w:t>
      </w:r>
      <w:r>
        <w:rPr>
          <w:rFonts w:hint="eastAsia" w:ascii="仿宋_GB2312" w:hAnsi="仿宋_GB2312" w:eastAsia="仿宋_GB2312" w:cs="仿宋_GB2312"/>
          <w:color w:val="000000"/>
          <w:kern w:val="0"/>
          <w:sz w:val="31"/>
          <w:szCs w:val="31"/>
        </w:rPr>
        <w:t>94.54万元</w:t>
      </w:r>
      <w:r>
        <w:rPr>
          <w:rFonts w:ascii="仿宋_GB2312" w:hAnsi="仿宋_GB2312" w:eastAsia="仿宋_GB2312" w:cs="仿宋_GB2312"/>
          <w:color w:val="000000"/>
          <w:kern w:val="0"/>
          <w:sz w:val="31"/>
          <w:szCs w:val="31"/>
        </w:rPr>
        <w:t>。</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rPr>
        <w:t>1242.41</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（单位支出涉及的款级科目）</w:t>
      </w:r>
      <w:r>
        <w:rPr>
          <w:rFonts w:ascii="仿宋_GB2312" w:hAnsi="宋体" w:eastAsia="仿宋_GB2312" w:cs="仿宋_GB2312"/>
          <w:color w:val="000000"/>
          <w:kern w:val="0"/>
          <w:sz w:val="32"/>
          <w:szCs w:val="32"/>
        </w:rPr>
        <w:t>基本工资</w:t>
      </w:r>
      <w:r>
        <w:rPr>
          <w:rFonts w:hint="eastAsia" w:ascii="仿宋_GB2312" w:hAnsi="宋体" w:eastAsia="仿宋_GB2312" w:cs="仿宋_GB2312"/>
          <w:color w:val="000000"/>
          <w:kern w:val="0"/>
          <w:sz w:val="32"/>
          <w:szCs w:val="32"/>
        </w:rPr>
        <w:t>471.35万元，津贴补贴322.41万元，奖金26.15万元，绩效工资125.68万元，机关事业单位基本养老保险缴费148.03万元，职工基本医疗保险缴费63.75万元，住房公积金83.17万元，其他工资福利支出1.86万元。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rPr>
        <w:t>205.34</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（单位支出涉及的款级科目）</w:t>
      </w:r>
      <w:r>
        <w:rPr>
          <w:rFonts w:ascii="仿宋_GB2312" w:hAnsi="宋体" w:eastAsia="仿宋_GB2312" w:cs="仿宋_GB2312"/>
          <w:color w:val="000000"/>
          <w:kern w:val="0"/>
          <w:sz w:val="32"/>
          <w:szCs w:val="32"/>
        </w:rPr>
        <w:t>办公费</w:t>
      </w:r>
      <w:r>
        <w:rPr>
          <w:rFonts w:hint="eastAsia" w:ascii="仿宋_GB2312" w:hAnsi="宋体" w:eastAsia="仿宋_GB2312" w:cs="仿宋_GB2312"/>
          <w:color w:val="000000"/>
          <w:kern w:val="0"/>
          <w:sz w:val="32"/>
          <w:szCs w:val="32"/>
        </w:rPr>
        <w:t>29.83万元，印刷费12.25万元，手续费0.06万元，水费0.57万元，电费8.17万元，邮电费2.29万元，取暖费13.57万元，差旅费4.17万元，维修（护）费29.41万元，会议费1.24万元，培训费0.38万元，公务接待费1.94万元，专用材料费1.43万元，专用燃料费2,67万元，劳务费27.2万元，公务用车运行维护费6.79万元，其他交通费用15.84万元，其他商品和服务支出47.52万元。</w:t>
      </w:r>
    </w:p>
    <w:p>
      <w:pPr>
        <w:widowControl/>
        <w:ind w:firstLine="640" w:firstLineChars="200"/>
        <w:jc w:val="left"/>
      </w:pPr>
      <w:r>
        <w:rPr>
          <w:rFonts w:hint="eastAsia" w:ascii="仿宋_GB2312" w:hAnsi="宋体" w:eastAsia="仿宋_GB2312" w:cs="仿宋_GB2312"/>
          <w:color w:val="000000"/>
          <w:kern w:val="0"/>
          <w:sz w:val="32"/>
          <w:szCs w:val="32"/>
        </w:rPr>
        <w:t>对个人和家庭补助共计94.54万元，其中抚恤金92.02万元，生活补助0.78万元，医疗费补助1.74万元。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p>
    <w:p>
      <w:pPr>
        <w:widowControl/>
        <w:ind w:firstLine="640" w:firstLineChars="200"/>
        <w:jc w:val="left"/>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lang w:val="en-US" w:eastAsia="zh-CN"/>
        </w:rPr>
        <w:t>16.6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8.7</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52.4</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7.9</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精减开支。</w:t>
      </w:r>
    </w:p>
    <w:p>
      <w:pPr>
        <w:spacing w:line="360" w:lineRule="auto"/>
        <w:ind w:firstLine="643" w:firstLineChars="200"/>
        <w:rPr>
          <w:rFonts w:hint="eastAsia" w:ascii="楷体_GB2312" w:hAnsi="宋体" w:eastAsia="楷体_GB2312" w:cs="楷体_GB2312"/>
          <w:b/>
          <w:color w:val="000000"/>
          <w:kern w:val="0"/>
          <w:sz w:val="32"/>
          <w:szCs w:val="32"/>
          <w:lang w:eastAsia="zh-CN"/>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hint="eastAsia" w:ascii="楷体_GB2312" w:hAnsi="宋体" w:eastAsia="楷体_GB2312" w:cs="楷体_GB2312"/>
          <w:b/>
          <w:color w:val="000000"/>
          <w:kern w:val="0"/>
          <w:sz w:val="32"/>
          <w:szCs w:val="32"/>
          <w:lang w:eastAsia="zh-CN"/>
        </w:rPr>
        <w:drawing>
          <wp:inline distT="0" distB="0" distL="114300" distR="114300">
            <wp:extent cx="4024630" cy="2627630"/>
            <wp:effectExtent l="4445" t="4445" r="9525" b="1587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ind w:firstLine="640" w:firstLineChars="200"/>
        <w:jc w:val="left"/>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费支出0万元，占0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rPr>
        <w:t>6.79</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77.69</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rPr>
        <w:t>1.94</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22.31</w:t>
      </w:r>
      <w:r>
        <w:rPr>
          <w:rFonts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p>
    <w:p>
      <w:pPr>
        <w:widowControl/>
        <w:ind w:firstLine="640" w:firstLineChars="200"/>
        <w:jc w:val="left"/>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rPr>
        <w:t>0个，0人次，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减少（增加）0万元，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无出国出境人员。</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rPr>
        <w:t>0台，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减少（增加）0万元，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未购置公务用车。</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4.7</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6.79</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144.5%，决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减增加2.09万元，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工作需求，用车较多。</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2019年公务接待</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6.4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1.94</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30.3%，决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减少4.46万元，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精简开支。</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0.38</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增加0.38万元，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培训正常开支。</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rPr>
        <w:t>1.24</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增加1.24万元，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会议正常开支。</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 xml:space="preserve">说明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w:t>
      </w:r>
      <w:r>
        <w:rPr>
          <w:rFonts w:hint="eastAsia" w:ascii="仿宋_GB2312" w:hAnsi="仿宋_GB2312" w:eastAsia="仿宋_GB2312" w:cs="仿宋_GB2312"/>
          <w:sz w:val="32"/>
          <w:szCs w:val="32"/>
        </w:rPr>
        <w:t>共计项目7</w:t>
      </w:r>
      <w:r>
        <w:rPr>
          <w:rFonts w:ascii="仿宋_GB2312" w:hAnsi="仿宋_GB2312" w:eastAsia="仿宋_GB2312" w:cs="仿宋_GB2312"/>
          <w:sz w:val="32"/>
          <w:szCs w:val="32"/>
        </w:rPr>
        <w:t>个，涉及</w:t>
      </w:r>
      <w:r>
        <w:rPr>
          <w:rFonts w:hint="eastAsia" w:ascii="仿宋_GB2312" w:hAnsi="仿宋_GB2312" w:eastAsia="仿宋_GB2312" w:cs="仿宋_GB2312"/>
          <w:sz w:val="32"/>
          <w:szCs w:val="32"/>
        </w:rPr>
        <w:t>财政</w:t>
      </w:r>
      <w:r>
        <w:rPr>
          <w:rFonts w:ascii="仿宋_GB2312" w:hAnsi="仿宋_GB2312" w:eastAsia="仿宋_GB2312" w:cs="仿宋_GB2312"/>
          <w:sz w:val="32"/>
          <w:szCs w:val="32"/>
        </w:rPr>
        <w:t>资金</w:t>
      </w:r>
      <w:r>
        <w:rPr>
          <w:rFonts w:hint="eastAsia" w:ascii="仿宋_GB2312" w:hAnsi="仿宋_GB2312" w:eastAsia="仿宋_GB2312" w:cs="仿宋_GB2312"/>
          <w:sz w:val="32"/>
          <w:szCs w:val="32"/>
        </w:rPr>
        <w:t>749.11</w:t>
      </w:r>
      <w:r>
        <w:rPr>
          <w:rFonts w:ascii="仿宋_GB2312" w:hAnsi="仿宋_GB2312" w:eastAsia="仿宋_GB2312" w:cs="仿宋_GB2312"/>
          <w:sz w:val="32"/>
          <w:szCs w:val="32"/>
        </w:rPr>
        <w:t>万元。</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widowControl/>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评价结果为优秀的项目5个，占全部项目的71.4</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rPr>
        <w:t>；良好的</w:t>
      </w:r>
      <w:r>
        <w:rPr>
          <w:rFonts w:ascii="仿宋_GB2312" w:hAnsi="仿宋_GB2312" w:eastAsia="仿宋_GB2312" w:cs="仿宋_GB2312"/>
          <w:color w:val="000000"/>
          <w:kern w:val="0"/>
          <w:sz w:val="31"/>
          <w:szCs w:val="31"/>
        </w:rPr>
        <w:t>项目</w:t>
      </w:r>
      <w:r>
        <w:rPr>
          <w:rFonts w:hint="eastAsia" w:ascii="仿宋_GB2312" w:hAnsi="仿宋_GB2312" w:eastAsia="仿宋_GB2312" w:cs="仿宋_GB2312"/>
          <w:color w:val="000000"/>
          <w:kern w:val="0"/>
          <w:sz w:val="31"/>
          <w:szCs w:val="31"/>
        </w:rPr>
        <w:t>2个，占全部项目的28.6</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rPr>
        <w:t>；一般的</w:t>
      </w:r>
      <w:r>
        <w:rPr>
          <w:rFonts w:ascii="仿宋_GB2312" w:hAnsi="仿宋_GB2312" w:eastAsia="仿宋_GB2312" w:cs="仿宋_GB2312"/>
          <w:color w:val="000000"/>
          <w:kern w:val="0"/>
          <w:sz w:val="31"/>
          <w:szCs w:val="31"/>
        </w:rPr>
        <w:t>项目</w:t>
      </w:r>
      <w:r>
        <w:rPr>
          <w:rFonts w:hint="eastAsia" w:ascii="仿宋_GB2312" w:hAnsi="仿宋_GB2312" w:eastAsia="仿宋_GB2312" w:cs="仿宋_GB2312"/>
          <w:color w:val="000000"/>
          <w:kern w:val="0"/>
          <w:sz w:val="31"/>
          <w:szCs w:val="31"/>
        </w:rPr>
        <w:t>0个，占全部项目的0</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rPr>
        <w:t>。</w:t>
      </w:r>
    </w:p>
    <w:p>
      <w:pPr>
        <w:ind w:firstLine="480" w:firstLineChars="150"/>
        <w:rPr>
          <w:rFonts w:ascii="黑体" w:hAnsi="黑体" w:eastAsia="黑体"/>
          <w:sz w:val="32"/>
          <w:szCs w:val="32"/>
        </w:rPr>
      </w:pPr>
      <w:r>
        <w:rPr>
          <w:rFonts w:hint="eastAsia" w:ascii="黑体" w:hAnsi="黑体" w:eastAsia="黑体"/>
          <w:color w:val="000000"/>
          <w:kern w:val="0"/>
          <w:sz w:val="32"/>
          <w:szCs w:val="32"/>
        </w:rPr>
        <w:t>十、其他重要事项说明</w:t>
      </w:r>
    </w:p>
    <w:p>
      <w:pPr>
        <w:widowControl/>
        <w:ind w:firstLine="472" w:firstLineChars="147"/>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仿宋_GB2312" w:eastAsia="仿宋_GB2312" w:cs="仿宋_GB2312"/>
          <w:color w:val="000000"/>
          <w:kern w:val="0"/>
          <w:sz w:val="31"/>
          <w:szCs w:val="31"/>
        </w:rPr>
        <w:t>202.84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205.34</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101.2</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增加2.5万元，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办公业务增加。</w:t>
      </w:r>
    </w:p>
    <w:p>
      <w:pPr>
        <w:widowControl/>
        <w:ind w:firstLine="472" w:firstLineChars="147"/>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p>
    <w:p>
      <w:pPr>
        <w:widowControl/>
        <w:ind w:firstLine="472" w:firstLineChars="147"/>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截至2019年末，本部门机关及所属单位共有车辆5辆；单价50万元以上的通用设备0台（套）；单价100万元以上的专用设备0台（套）。201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年当年购置车辆0辆；购置单价50万元以上的通用设备0台（套）；购置单价100万元以上的专用设备0台（套）。</w:t>
      </w:r>
    </w:p>
    <w:p>
      <w:pPr>
        <w:widowControl/>
        <w:jc w:val="left"/>
        <w:rPr>
          <w:rFonts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ind w:firstLine="640"/>
        <w:rPr>
          <w:rFonts w:ascii="黑体" w:hAnsi="宋体" w:eastAsia="黑体"/>
          <w:color w:val="000000"/>
          <w:kern w:val="0"/>
          <w:sz w:val="44"/>
          <w:szCs w:val="44"/>
        </w:rPr>
      </w:pPr>
      <w:r>
        <w:rPr>
          <w:rFonts w:hint="eastAsia" w:ascii="仿宋_GB2312" w:hAnsi="仿宋_GB2312" w:eastAsia="仿宋_GB2312" w:cs="仿宋_GB2312"/>
          <w:b/>
          <w:bCs/>
          <w:sz w:val="32"/>
          <w:szCs w:val="32"/>
        </w:rPr>
        <w:t>5.调整预算数：</w:t>
      </w:r>
      <w:r>
        <w:rPr>
          <w:rFonts w:hint="eastAsia" w:ascii="仿宋_GB2312" w:hAnsi="宋体" w:eastAsia="仿宋_GB2312"/>
          <w:bCs/>
          <w:sz w:val="32"/>
          <w:szCs w:val="32"/>
        </w:rPr>
        <w:t>填列经调整后的全年预算数，包括年初预算数和预算调增调减数</w:t>
      </w:r>
      <w:r>
        <w:rPr>
          <w:rFonts w:hint="eastAsia" w:ascii="仿宋_GB2312" w:eastAsia="仿宋_GB2312"/>
          <w:bCs/>
          <w:sz w:val="32"/>
          <w:szCs w:val="32"/>
        </w:rPr>
        <w:t>，即：调整预算数＝年初预算数＋预算调增数－预算调减数</w:t>
      </w:r>
      <w:r>
        <w:rPr>
          <w:rFonts w:hint="eastAsia" w:ascii="仿宋_GB2312" w:hAnsi="宋体" w:eastAsia="仿宋_GB2312"/>
          <w:bCs/>
          <w:sz w:val="32"/>
          <w:szCs w:val="32"/>
        </w:rPr>
        <w:t>。</w:t>
      </w:r>
    </w:p>
    <w:sectPr>
      <w:footerReference r:id="rId3" w:type="default"/>
      <w:pgSz w:w="11906" w:h="16838"/>
      <w:pgMar w:top="1985" w:right="1474" w:bottom="1985" w:left="1588" w:header="851" w:footer="992" w:gutter="0"/>
      <w:cols w:space="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2975718"/>
    </w:sdtPr>
    <w:sdtContent>
      <w:p>
        <w:pPr>
          <w:pStyle w:val="4"/>
          <w:jc w:val="center"/>
        </w:pPr>
        <w:r>
          <w:fldChar w:fldCharType="begin"/>
        </w:r>
        <w:r>
          <w:instrText xml:space="preserve">PAGE   \* MERGEFORMAT</w:instrText>
        </w:r>
        <w:r>
          <w:fldChar w:fldCharType="separate"/>
        </w:r>
        <w:r>
          <w:rPr>
            <w:lang w:val="zh-CN"/>
          </w:rPr>
          <w:t>26</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A6038"/>
    <w:rsid w:val="00050E89"/>
    <w:rsid w:val="00146787"/>
    <w:rsid w:val="001615B5"/>
    <w:rsid w:val="00164001"/>
    <w:rsid w:val="00166E3C"/>
    <w:rsid w:val="001B3406"/>
    <w:rsid w:val="001D6FF4"/>
    <w:rsid w:val="001D7568"/>
    <w:rsid w:val="002424C8"/>
    <w:rsid w:val="00281760"/>
    <w:rsid w:val="00283CB6"/>
    <w:rsid w:val="0029445E"/>
    <w:rsid w:val="002A7893"/>
    <w:rsid w:val="003364E9"/>
    <w:rsid w:val="00427EC1"/>
    <w:rsid w:val="00452E2E"/>
    <w:rsid w:val="004B6D6E"/>
    <w:rsid w:val="00504B80"/>
    <w:rsid w:val="00576994"/>
    <w:rsid w:val="005F0D12"/>
    <w:rsid w:val="00637D82"/>
    <w:rsid w:val="0069027C"/>
    <w:rsid w:val="00737A87"/>
    <w:rsid w:val="007A115D"/>
    <w:rsid w:val="007C2814"/>
    <w:rsid w:val="008015FE"/>
    <w:rsid w:val="00804090"/>
    <w:rsid w:val="00813A48"/>
    <w:rsid w:val="00813F4A"/>
    <w:rsid w:val="008419FA"/>
    <w:rsid w:val="00845535"/>
    <w:rsid w:val="00891C68"/>
    <w:rsid w:val="008D481B"/>
    <w:rsid w:val="008D6BA3"/>
    <w:rsid w:val="008F689F"/>
    <w:rsid w:val="00921B44"/>
    <w:rsid w:val="009320F6"/>
    <w:rsid w:val="009A2CD2"/>
    <w:rsid w:val="009C0506"/>
    <w:rsid w:val="009C647F"/>
    <w:rsid w:val="009D52EF"/>
    <w:rsid w:val="00A35D42"/>
    <w:rsid w:val="00AB4A0E"/>
    <w:rsid w:val="00B37EA8"/>
    <w:rsid w:val="00B80654"/>
    <w:rsid w:val="00B84CB0"/>
    <w:rsid w:val="00C10778"/>
    <w:rsid w:val="00C2225D"/>
    <w:rsid w:val="00C90D7F"/>
    <w:rsid w:val="00E8111E"/>
    <w:rsid w:val="00EC0B1D"/>
    <w:rsid w:val="00F61B04"/>
    <w:rsid w:val="013B79AC"/>
    <w:rsid w:val="036F1924"/>
    <w:rsid w:val="05C74C93"/>
    <w:rsid w:val="0874233E"/>
    <w:rsid w:val="125E2600"/>
    <w:rsid w:val="132E46A0"/>
    <w:rsid w:val="14411117"/>
    <w:rsid w:val="1586116E"/>
    <w:rsid w:val="185A24AA"/>
    <w:rsid w:val="18BB4AD7"/>
    <w:rsid w:val="1AA658F5"/>
    <w:rsid w:val="1B4A3FDA"/>
    <w:rsid w:val="1B524C98"/>
    <w:rsid w:val="1C5E2F73"/>
    <w:rsid w:val="1D6E0C0D"/>
    <w:rsid w:val="1F9223C7"/>
    <w:rsid w:val="221C15BB"/>
    <w:rsid w:val="287576E0"/>
    <w:rsid w:val="29785A6B"/>
    <w:rsid w:val="2D1F3974"/>
    <w:rsid w:val="31AA6038"/>
    <w:rsid w:val="33887EE3"/>
    <w:rsid w:val="34677C61"/>
    <w:rsid w:val="3A544DF1"/>
    <w:rsid w:val="3ABD4812"/>
    <w:rsid w:val="3B121AD1"/>
    <w:rsid w:val="3CFD0D2E"/>
    <w:rsid w:val="3CFF7AD7"/>
    <w:rsid w:val="41603979"/>
    <w:rsid w:val="4619368A"/>
    <w:rsid w:val="495A47C9"/>
    <w:rsid w:val="4D6E0FDF"/>
    <w:rsid w:val="4EE4307A"/>
    <w:rsid w:val="5153143F"/>
    <w:rsid w:val="52E350F4"/>
    <w:rsid w:val="54F12DEE"/>
    <w:rsid w:val="577E18EF"/>
    <w:rsid w:val="69730961"/>
    <w:rsid w:val="6C0A6199"/>
    <w:rsid w:val="721F145D"/>
    <w:rsid w:val="75C31473"/>
    <w:rsid w:val="7C3E5E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5"/>
    <w:qFormat/>
    <w:uiPriority w:val="99"/>
    <w:pPr>
      <w:tabs>
        <w:tab w:val="center" w:pos="4153"/>
        <w:tab w:val="right" w:pos="8306"/>
      </w:tabs>
      <w:snapToGrid w:val="0"/>
      <w:jc w:val="left"/>
    </w:pPr>
    <w:rPr>
      <w:sz w:val="18"/>
    </w:rPr>
  </w:style>
  <w:style w:type="paragraph" w:styleId="5">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Calibri" w:hAnsi="Calibri" w:cs="黑体"/>
      <w:kern w:val="2"/>
      <w:sz w:val="21"/>
      <w:szCs w:val="24"/>
    </w:rPr>
  </w:style>
  <w:style w:type="character" w:customStyle="1" w:styleId="12">
    <w:name w:val="批注主题 Char"/>
    <w:basedOn w:val="11"/>
    <w:link w:val="6"/>
    <w:qFormat/>
    <w:uiPriority w:val="0"/>
    <w:rPr>
      <w:rFonts w:ascii="Calibri" w:hAnsi="Calibri" w:cs="黑体"/>
      <w:b/>
      <w:bCs/>
      <w:kern w:val="2"/>
      <w:sz w:val="21"/>
      <w:szCs w:val="24"/>
    </w:rPr>
  </w:style>
  <w:style w:type="character" w:customStyle="1" w:styleId="13">
    <w:name w:val="批注框文本 Char"/>
    <w:basedOn w:val="9"/>
    <w:link w:val="3"/>
    <w:qFormat/>
    <w:uiPriority w:val="0"/>
    <w:rPr>
      <w:rFonts w:ascii="Calibri" w:hAnsi="Calibri" w:cs="黑体"/>
      <w:kern w:val="2"/>
      <w:sz w:val="18"/>
      <w:szCs w:val="18"/>
    </w:rPr>
  </w:style>
  <w:style w:type="character" w:customStyle="1" w:styleId="14">
    <w:name w:val="页眉 Char"/>
    <w:basedOn w:val="9"/>
    <w:link w:val="5"/>
    <w:qFormat/>
    <w:uiPriority w:val="99"/>
    <w:rPr>
      <w:rFonts w:ascii="Calibri" w:hAnsi="Calibri" w:cs="黑体"/>
      <w:kern w:val="2"/>
      <w:sz w:val="18"/>
      <w:szCs w:val="24"/>
    </w:rPr>
  </w:style>
  <w:style w:type="character" w:customStyle="1" w:styleId="15">
    <w:name w:val="页脚 Char"/>
    <w:basedOn w:val="9"/>
    <w:link w:val="4"/>
    <w:qFormat/>
    <w:uiPriority w:val="99"/>
    <w:rPr>
      <w:rFonts w:ascii="Calibri" w:hAnsi="Calibri" w:cs="黑体"/>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编制人数</c:v>
                </c:pt>
              </c:strCache>
            </c:strRef>
          </c:tx>
          <c:invertIfNegative val="0"/>
          <c:dLbls>
            <c:delete val="1"/>
          </c:dLbls>
          <c:cat>
            <c:strRef>
              <c:f>Sheet1!$A$2:$A$3</c:f>
              <c:strCache>
                <c:ptCount val="2"/>
                <c:pt idx="0">
                  <c:v>行政人数</c:v>
                </c:pt>
                <c:pt idx="1">
                  <c:v>事业人数</c:v>
                </c:pt>
              </c:strCache>
            </c:strRef>
          </c:cat>
          <c:val>
            <c:numRef>
              <c:f>Sheet1!$B$2:$B$3</c:f>
              <c:numCache>
                <c:formatCode>General</c:formatCode>
                <c:ptCount val="2"/>
                <c:pt idx="0">
                  <c:v>31</c:v>
                </c:pt>
                <c:pt idx="1">
                  <c:v>50</c:v>
                </c:pt>
              </c:numCache>
            </c:numRef>
          </c:val>
        </c:ser>
        <c:ser>
          <c:idx val="1"/>
          <c:order val="1"/>
          <c:tx>
            <c:strRef>
              <c:f>Sheet1!$C$1</c:f>
              <c:strCache>
                <c:ptCount val="1"/>
                <c:pt idx="0">
                  <c:v>实有人数</c:v>
                </c:pt>
              </c:strCache>
            </c:strRef>
          </c:tx>
          <c:invertIfNegative val="0"/>
          <c:dLbls>
            <c:delete val="1"/>
          </c:dLbls>
          <c:cat>
            <c:strRef>
              <c:f>Sheet1!$A$2:$A$3</c:f>
              <c:strCache>
                <c:ptCount val="2"/>
                <c:pt idx="0">
                  <c:v>行政人数</c:v>
                </c:pt>
                <c:pt idx="1">
                  <c:v>事业人数</c:v>
                </c:pt>
              </c:strCache>
            </c:strRef>
          </c:cat>
          <c:val>
            <c:numRef>
              <c:f>Sheet1!$C$2:$C$3</c:f>
              <c:numCache>
                <c:formatCode>General</c:formatCode>
                <c:ptCount val="2"/>
                <c:pt idx="0">
                  <c:v>29</c:v>
                </c:pt>
                <c:pt idx="1">
                  <c:v>77</c:v>
                </c:pt>
              </c:numCache>
            </c:numRef>
          </c:val>
        </c:ser>
        <c:dLbls>
          <c:showLegendKey val="0"/>
          <c:showVal val="0"/>
          <c:showCatName val="0"/>
          <c:showSerName val="0"/>
          <c:showPercent val="0"/>
          <c:showBubbleSize val="0"/>
        </c:dLbls>
        <c:gapWidth val="150"/>
        <c:axId val="98232960"/>
        <c:axId val="98235520"/>
      </c:barChart>
      <c:catAx>
        <c:axId val="9823296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8235520"/>
        <c:crosses val="autoZero"/>
        <c:auto val="1"/>
        <c:lblAlgn val="ctr"/>
        <c:lblOffset val="100"/>
        <c:noMultiLvlLbl val="0"/>
      </c:catAx>
      <c:valAx>
        <c:axId val="982355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823296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2018年</c:v>
                </c:pt>
              </c:strCache>
            </c:strRef>
          </c:tx>
          <c:invertIfNegative val="0"/>
          <c:dLbls>
            <c:delete val="1"/>
          </c:dLbls>
          <c:cat>
            <c:strRef>
              <c:f>Sheet1!$A$2:$A$3</c:f>
              <c:strCache>
                <c:ptCount val="2"/>
                <c:pt idx="0">
                  <c:v>收入</c:v>
                </c:pt>
                <c:pt idx="1">
                  <c:v>支出</c:v>
                </c:pt>
              </c:strCache>
            </c:strRef>
          </c:cat>
          <c:val>
            <c:numRef>
              <c:f>Sheet1!$B$2:$B$3</c:f>
              <c:numCache>
                <c:formatCode>General</c:formatCode>
                <c:ptCount val="2"/>
                <c:pt idx="0">
                  <c:v>900.9</c:v>
                </c:pt>
                <c:pt idx="1">
                  <c:v>900.9</c:v>
                </c:pt>
              </c:numCache>
            </c:numRef>
          </c:val>
        </c:ser>
        <c:ser>
          <c:idx val="1"/>
          <c:order val="1"/>
          <c:tx>
            <c:strRef>
              <c:f>Sheet1!$C$1</c:f>
              <c:strCache>
                <c:ptCount val="1"/>
                <c:pt idx="0">
                  <c:v>2019年</c:v>
                </c:pt>
              </c:strCache>
            </c:strRef>
          </c:tx>
          <c:invertIfNegative val="0"/>
          <c:dLbls>
            <c:delete val="1"/>
          </c:dLbls>
          <c:cat>
            <c:strRef>
              <c:f>Sheet1!$A$2:$A$3</c:f>
              <c:strCache>
                <c:ptCount val="2"/>
                <c:pt idx="0">
                  <c:v>收入</c:v>
                </c:pt>
                <c:pt idx="1">
                  <c:v>支出</c:v>
                </c:pt>
              </c:strCache>
            </c:strRef>
          </c:cat>
          <c:val>
            <c:numRef>
              <c:f>Sheet1!$C$2:$C$3</c:f>
              <c:numCache>
                <c:formatCode>General</c:formatCode>
                <c:ptCount val="2"/>
                <c:pt idx="0">
                  <c:v>2291.4</c:v>
                </c:pt>
                <c:pt idx="1">
                  <c:v>2291.4</c:v>
                </c:pt>
              </c:numCache>
            </c:numRef>
          </c:val>
        </c:ser>
        <c:dLbls>
          <c:showLegendKey val="0"/>
          <c:showVal val="0"/>
          <c:showCatName val="0"/>
          <c:showSerName val="0"/>
          <c:showPercent val="0"/>
          <c:showBubbleSize val="0"/>
        </c:dLbls>
        <c:gapWidth val="150"/>
        <c:axId val="212600704"/>
        <c:axId val="279152512"/>
      </c:barChart>
      <c:catAx>
        <c:axId val="2126007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9152512"/>
        <c:crosses val="autoZero"/>
        <c:auto val="1"/>
        <c:lblAlgn val="ctr"/>
        <c:lblOffset val="100"/>
        <c:noMultiLvlLbl val="0"/>
      </c:catAx>
      <c:valAx>
        <c:axId val="2791525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260070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支出类别</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项目支出</c:v>
                </c:pt>
                <c:pt idx="1">
                  <c:v>基本支出</c:v>
                </c:pt>
              </c:strCache>
            </c:strRef>
          </c:cat>
          <c:val>
            <c:numRef>
              <c:f>Sheet1!$B$2:$B$3</c:f>
              <c:numCache>
                <c:formatCode>General</c:formatCode>
                <c:ptCount val="2"/>
                <c:pt idx="0">
                  <c:v>749.11</c:v>
                </c:pt>
                <c:pt idx="1">
                  <c:v>1542.29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2018年</c:v>
                </c:pt>
              </c:strCache>
            </c:strRef>
          </c:tx>
          <c:invertIfNegative val="0"/>
          <c:dLbls>
            <c:delete val="1"/>
          </c:dLbls>
          <c:cat>
            <c:strRef>
              <c:f>Sheet1!$A$2:$A$3</c:f>
              <c:strCache>
                <c:ptCount val="2"/>
                <c:pt idx="0">
                  <c:v>收入</c:v>
                </c:pt>
                <c:pt idx="1">
                  <c:v>支出</c:v>
                </c:pt>
              </c:strCache>
            </c:strRef>
          </c:cat>
          <c:val>
            <c:numRef>
              <c:f>Sheet1!$B$2:$B$3</c:f>
              <c:numCache>
                <c:formatCode>General</c:formatCode>
                <c:ptCount val="2"/>
                <c:pt idx="0">
                  <c:v>900.9</c:v>
                </c:pt>
                <c:pt idx="1">
                  <c:v>900.9</c:v>
                </c:pt>
              </c:numCache>
            </c:numRef>
          </c:val>
        </c:ser>
        <c:ser>
          <c:idx val="1"/>
          <c:order val="1"/>
          <c:tx>
            <c:strRef>
              <c:f>Sheet1!$C$1</c:f>
              <c:strCache>
                <c:ptCount val="1"/>
                <c:pt idx="0">
                  <c:v>2019年</c:v>
                </c:pt>
              </c:strCache>
            </c:strRef>
          </c:tx>
          <c:invertIfNegative val="0"/>
          <c:dLbls>
            <c:delete val="1"/>
          </c:dLbls>
          <c:cat>
            <c:strRef>
              <c:f>Sheet1!$A$2:$A$3</c:f>
              <c:strCache>
                <c:ptCount val="2"/>
                <c:pt idx="0">
                  <c:v>收入</c:v>
                </c:pt>
                <c:pt idx="1">
                  <c:v>支出</c:v>
                </c:pt>
              </c:strCache>
            </c:strRef>
          </c:cat>
          <c:val>
            <c:numRef>
              <c:f>Sheet1!$C$2:$C$3</c:f>
              <c:numCache>
                <c:formatCode>General</c:formatCode>
                <c:ptCount val="2"/>
                <c:pt idx="0">
                  <c:v>2291.4</c:v>
                </c:pt>
                <c:pt idx="1">
                  <c:v>2291.4</c:v>
                </c:pt>
              </c:numCache>
            </c:numRef>
          </c:val>
        </c:ser>
        <c:dLbls>
          <c:showLegendKey val="0"/>
          <c:showVal val="0"/>
          <c:showCatName val="0"/>
          <c:showSerName val="0"/>
          <c:showPercent val="0"/>
          <c:showBubbleSize val="0"/>
        </c:dLbls>
        <c:gapWidth val="150"/>
        <c:axId val="284848128"/>
        <c:axId val="284849664"/>
      </c:barChart>
      <c:catAx>
        <c:axId val="28484812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4849664"/>
        <c:crosses val="autoZero"/>
        <c:auto val="1"/>
        <c:lblAlgn val="ctr"/>
        <c:lblOffset val="100"/>
        <c:noMultiLvlLbl val="0"/>
      </c:catAx>
      <c:valAx>
        <c:axId val="2848496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48481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2018年</c:v>
                </c:pt>
              </c:strCache>
            </c:strRef>
          </c:tx>
          <c:invertIfNegative val="0"/>
          <c:dLbls>
            <c:delete val="1"/>
          </c:dLbls>
          <c:cat>
            <c:strRef>
              <c:f>Sheet1!$A$2</c:f>
              <c:strCache>
                <c:ptCount val="1"/>
                <c:pt idx="0">
                  <c:v>财政拨款支出</c:v>
                </c:pt>
              </c:strCache>
            </c:strRef>
          </c:cat>
          <c:val>
            <c:numRef>
              <c:f>Sheet1!$B$2</c:f>
              <c:numCache>
                <c:formatCode>General</c:formatCode>
                <c:ptCount val="1"/>
                <c:pt idx="0">
                  <c:v>900.9</c:v>
                </c:pt>
              </c:numCache>
            </c:numRef>
          </c:val>
        </c:ser>
        <c:ser>
          <c:idx val="1"/>
          <c:order val="1"/>
          <c:tx>
            <c:strRef>
              <c:f>Sheet1!$C$1</c:f>
              <c:strCache>
                <c:ptCount val="1"/>
                <c:pt idx="0">
                  <c:v>2019年</c:v>
                </c:pt>
              </c:strCache>
            </c:strRef>
          </c:tx>
          <c:invertIfNegative val="0"/>
          <c:dLbls>
            <c:delete val="1"/>
          </c:dLbls>
          <c:cat>
            <c:strRef>
              <c:f>Sheet1!$A$2</c:f>
              <c:strCache>
                <c:ptCount val="1"/>
                <c:pt idx="0">
                  <c:v>财政拨款支出</c:v>
                </c:pt>
              </c:strCache>
            </c:strRef>
          </c:cat>
          <c:val>
            <c:numRef>
              <c:f>Sheet1!$C$2</c:f>
              <c:numCache>
                <c:formatCode>General</c:formatCode>
                <c:ptCount val="1"/>
                <c:pt idx="0">
                  <c:v>2291.4</c:v>
                </c:pt>
              </c:numCache>
            </c:numRef>
          </c:val>
        </c:ser>
        <c:dLbls>
          <c:showLegendKey val="0"/>
          <c:showVal val="0"/>
          <c:showCatName val="0"/>
          <c:showSerName val="0"/>
          <c:showPercent val="0"/>
          <c:showBubbleSize val="0"/>
        </c:dLbls>
        <c:gapWidth val="150"/>
        <c:axId val="145593856"/>
        <c:axId val="145595392"/>
      </c:barChart>
      <c:catAx>
        <c:axId val="1455938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5595392"/>
        <c:crosses val="autoZero"/>
        <c:auto val="1"/>
        <c:lblAlgn val="ctr"/>
        <c:lblOffset val="100"/>
        <c:noMultiLvlLbl val="0"/>
      </c:catAx>
      <c:valAx>
        <c:axId val="1455953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559385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一般公共预算财政拨款基本支出</c:v>
                </c:pt>
              </c:strCache>
            </c:strRef>
          </c:tx>
          <c:explosion val="0"/>
          <c:dPt>
            <c:idx val="0"/>
            <c:bubble3D val="0"/>
          </c:dPt>
          <c:dPt>
            <c:idx val="1"/>
            <c:bubble3D val="0"/>
          </c:dPt>
          <c:dPt>
            <c:idx val="2"/>
            <c:bubble3D val="0"/>
          </c:dPt>
          <c:dLbls>
            <c:delete val="1"/>
          </c:dLbls>
          <c:cat>
            <c:strRef>
              <c:f>Sheet1!$A$2:$A$4</c:f>
              <c:strCache>
                <c:ptCount val="3"/>
                <c:pt idx="0">
                  <c:v>人员经费</c:v>
                </c:pt>
                <c:pt idx="1">
                  <c:v>公用经费</c:v>
                </c:pt>
                <c:pt idx="2">
                  <c:v>对个人和家庭补助</c:v>
                </c:pt>
              </c:strCache>
            </c:strRef>
          </c:cat>
          <c:val>
            <c:numRef>
              <c:f>Sheet1!$B$2:$B$4</c:f>
              <c:numCache>
                <c:formatCode>General</c:formatCode>
                <c:ptCount val="3"/>
                <c:pt idx="0">
                  <c:v>1242.41</c:v>
                </c:pt>
                <c:pt idx="1">
                  <c:v>205.34</c:v>
                </c:pt>
                <c:pt idx="2">
                  <c:v>94.54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三公经费支出</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公务用车运行维护</c:v>
                </c:pt>
                <c:pt idx="1">
                  <c:v>公务接待</c:v>
                </c:pt>
                <c:pt idx="2">
                  <c:v>因公出国（境）</c:v>
                </c:pt>
                <c:pt idx="3">
                  <c:v>公务用车购置</c:v>
                </c:pt>
              </c:strCache>
            </c:strRef>
          </c:cat>
          <c:val>
            <c:numRef>
              <c:f>Sheet1!$B$2:$B$5</c:f>
              <c:numCache>
                <c:formatCode>General</c:formatCode>
                <c:ptCount val="4"/>
                <c:pt idx="0">
                  <c:v>6.79</c:v>
                </c:pt>
                <c:pt idx="1">
                  <c:v>1.94</c:v>
                </c:pt>
                <c:pt idx="2">
                  <c:v>0</c:v>
                </c:pt>
                <c:pt idx="3">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30</Pages>
  <Words>2412</Words>
  <Characters>13753</Characters>
  <Lines>114</Lines>
  <Paragraphs>32</Paragraphs>
  <TotalTime>2</TotalTime>
  <ScaleCrop>false</ScaleCrop>
  <LinksUpToDate>false</LinksUpToDate>
  <CharactersWithSpaces>16133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2020-11-26T11:32:00Z</dcterms:created>
  <dc:creator>Administrator</dc:creator>
  <cp:lastModifiedBy>用户天赐湾镇</cp:lastModifiedBy>
  <cp:lastPrinted>2020-12-04T07:33:00Z</cp:lastPrinted>
  <dcterms:modified xsi:type="dcterms:W3CDTF">2020-12-14T05:02:45Z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