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widowControl/>
        <w:spacing w:line="60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靖边县政务新媒体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信息上网发布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签发单</w:t>
      </w:r>
    </w:p>
    <w:bookmarkEnd w:id="0"/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lang w:eastAsia="zh-CN"/>
        </w:rPr>
        <w:t>发布单位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</w:rPr>
        <w:t>          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lang w:eastAsia="zh-CN"/>
        </w:rPr>
        <w:t>编号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  <w:lang w:eastAsia="zh-CN"/>
        </w:rPr>
        <w:t>年第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</w:rPr>
        <w:t>  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  <w:lang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u w:val="single"/>
        </w:rPr>
        <w:t xml:space="preserve"> 　</w:t>
      </w:r>
    </w:p>
    <w:tbl>
      <w:tblPr>
        <w:tblStyle w:val="2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536"/>
        <w:gridCol w:w="1362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新媒体名称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154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信息类型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154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图片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信息责任人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 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重要程度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重要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信息附件</w:t>
            </w:r>
          </w:p>
        </w:tc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□纸质附件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  <w:lang w:eastAsia="zh-CN"/>
              </w:rPr>
              <w:t>（页）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□电子稿附件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  <w:lang w:val="en-US" w:eastAsia="zh-CN"/>
              </w:rPr>
              <w:t>KB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分管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领导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主要领导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签名：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备  注</w:t>
            </w:r>
          </w:p>
        </w:tc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</w:pPr>
    </w:p>
    <w:p>
      <w:pPr>
        <w:widowControl/>
        <w:spacing w:line="360" w:lineRule="exact"/>
        <w:ind w:firstLine="48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填表须知：1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eastAsia="zh-CN"/>
        </w:rPr>
        <w:t>信息发布单位要严格执行《靖边县政务新媒体信息审核发布管理制度（试行）》文件要求，需要上网的所有信息均须进行审核签发；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eastAsia="zh-CN"/>
        </w:rPr>
        <w:t>信息责任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人须对所拟上网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进行密级初审，确认所拟信息不涉及国家秘密、内部事项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敏感信息后方可报请领导批准；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eastAsia="zh-CN"/>
        </w:rPr>
        <w:t>一般政务类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须经单位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eastAsia="zh-CN"/>
        </w:rPr>
        <w:t>分管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领导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eastAsia="zh-CN"/>
        </w:rPr>
        <w:t>审核签发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val="en-US" w:eastAsia="zh-CN"/>
        </w:rPr>
        <w:t>4.重要信息，须经分管领导初审后，由单位主要领导签发；5.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严格执行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eastAsia="zh-CN"/>
        </w:rPr>
        <w:t>审批、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</w:rPr>
        <w:t>谁负责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eastAsia="zh-CN"/>
        </w:rPr>
        <w:t>”的原则，确保上网信息及时、准确、规范；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21"/>
          <w:lang w:val="en-US" w:eastAsia="zh-CN"/>
        </w:rPr>
        <w:t>6.本表签发后存档备查，不得遗失。各信息发布责任单位于每年1月和7月上旬将本单位审核资料的纸质档案报送县政务信息化服务中心。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2019-11-05T02:26:28Z</dcterms:created>
  <dc:creator>Administrator</dc:creator>
  <cp:lastModifiedBy>梦想天空分外蓝</cp:lastModifiedBy>
  <dcterms:modified xsi:type="dcterms:W3CDTF">2019-11-05T02:28:00Z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