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kern w:val="44"/>
          <w:sz w:val="44"/>
          <w:szCs w:val="44"/>
        </w:rPr>
      </w:pPr>
      <w:bookmarkStart w:id="0" w:name="_GoBack"/>
      <w:r>
        <w:rPr>
          <w:rFonts w:hint="eastAsia" w:ascii="方正小标宋简体" w:hAnsi="方正小标宋简体" w:eastAsia="方正小标宋简体" w:cs="方正小标宋简体"/>
          <w:color w:val="000000"/>
          <w:kern w:val="44"/>
          <w:sz w:val="44"/>
          <w:szCs w:val="44"/>
        </w:rPr>
        <w:t>靖边县交通运输</w:t>
      </w:r>
      <w:r>
        <w:rPr>
          <w:rFonts w:hint="eastAsia" w:ascii="方正小标宋简体" w:hAnsi="方正小标宋简体" w:eastAsia="方正小标宋简体" w:cs="方正小标宋简体"/>
          <w:color w:val="000000"/>
          <w:kern w:val="44"/>
          <w:sz w:val="44"/>
          <w:szCs w:val="44"/>
          <w:lang w:eastAsia="zh-CN"/>
        </w:rPr>
        <w:t>局</w:t>
      </w:r>
      <w:r>
        <w:rPr>
          <w:rFonts w:hint="eastAsia" w:ascii="方正小标宋简体" w:hAnsi="方正小标宋简体" w:eastAsia="方正小标宋简体" w:cs="方正小标宋简体"/>
          <w:color w:val="000000"/>
          <w:kern w:val="44"/>
          <w:sz w:val="44"/>
          <w:szCs w:val="44"/>
        </w:rPr>
        <w:t>随机抽查事项清单</w:t>
      </w:r>
    </w:p>
    <w:bookmarkEnd w:id="0"/>
    <w:tbl>
      <w:tblPr>
        <w:tblStyle w:val="3"/>
        <w:tblW w:w="14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5"/>
        <w:gridCol w:w="1028"/>
        <w:gridCol w:w="1000"/>
        <w:gridCol w:w="534"/>
        <w:gridCol w:w="566"/>
        <w:gridCol w:w="567"/>
        <w:gridCol w:w="952"/>
        <w:gridCol w:w="3118"/>
        <w:gridCol w:w="5424"/>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序号</w:t>
            </w:r>
          </w:p>
        </w:tc>
        <w:tc>
          <w:tcPr>
            <w:tcW w:w="2028" w:type="dxa"/>
            <w:gridSpan w:val="2"/>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抽查项目</w:t>
            </w:r>
          </w:p>
        </w:tc>
        <w:tc>
          <w:tcPr>
            <w:tcW w:w="534"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检查对象</w:t>
            </w:r>
          </w:p>
        </w:tc>
        <w:tc>
          <w:tcPr>
            <w:tcW w:w="566"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事项类别</w:t>
            </w:r>
          </w:p>
        </w:tc>
        <w:tc>
          <w:tcPr>
            <w:tcW w:w="567"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检查方式</w:t>
            </w:r>
          </w:p>
        </w:tc>
        <w:tc>
          <w:tcPr>
            <w:tcW w:w="952"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检查主体</w:t>
            </w:r>
          </w:p>
        </w:tc>
        <w:tc>
          <w:tcPr>
            <w:tcW w:w="3118" w:type="dxa"/>
            <w:vMerge w:val="restart"/>
            <w:tcMar>
              <w:top w:w="28" w:type="dxa"/>
              <w:left w:w="57" w:type="dxa"/>
              <w:bottom w:w="28" w:type="dxa"/>
              <w:right w:w="57" w:type="dxa"/>
            </w:tcMar>
            <w:vAlign w:val="center"/>
          </w:tcPr>
          <w:p>
            <w:pPr>
              <w:adjustRightInd w:val="0"/>
              <w:snapToGrid w:val="0"/>
              <w:spacing w:line="250" w:lineRule="exact"/>
              <w:jc w:val="center"/>
              <w:rPr>
                <w:rFonts w:ascii="仿宋" w:hAnsi="仿宋" w:eastAsia="仿宋"/>
                <w:snapToGrid w:val="0"/>
                <w:color w:val="000000"/>
                <w:szCs w:val="21"/>
              </w:rPr>
            </w:pPr>
            <w:r>
              <w:rPr>
                <w:rFonts w:hint="eastAsia" w:ascii="仿宋" w:hAnsi="仿宋" w:eastAsia="仿宋"/>
                <w:snapToGrid w:val="0"/>
                <w:color w:val="000000"/>
                <w:szCs w:val="21"/>
              </w:rPr>
              <w:t>抽查内容</w:t>
            </w:r>
          </w:p>
        </w:tc>
        <w:tc>
          <w:tcPr>
            <w:tcW w:w="5424"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抽查依据</w:t>
            </w:r>
          </w:p>
        </w:tc>
        <w:tc>
          <w:tcPr>
            <w:tcW w:w="627" w:type="dxa"/>
            <w:vMerge w:val="restart"/>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c>
          <w:tcPr>
            <w:tcW w:w="1028" w:type="dxa"/>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抽查类别</w:t>
            </w:r>
          </w:p>
        </w:tc>
        <w:tc>
          <w:tcPr>
            <w:tcW w:w="1000" w:type="dxa"/>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r>
              <w:rPr>
                <w:rFonts w:hint="eastAsia" w:ascii="仿宋" w:hAnsi="仿宋" w:eastAsia="仿宋"/>
                <w:snapToGrid w:val="0"/>
                <w:color w:val="000000"/>
                <w:szCs w:val="21"/>
              </w:rPr>
              <w:t>抽查事项</w:t>
            </w:r>
          </w:p>
        </w:tc>
        <w:tc>
          <w:tcPr>
            <w:tcW w:w="534"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c>
          <w:tcPr>
            <w:tcW w:w="566"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c>
          <w:tcPr>
            <w:tcW w:w="567"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c>
          <w:tcPr>
            <w:tcW w:w="952"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c>
          <w:tcPr>
            <w:tcW w:w="3118" w:type="dxa"/>
            <w:vMerge w:val="continue"/>
            <w:tcMar>
              <w:top w:w="28" w:type="dxa"/>
              <w:left w:w="57" w:type="dxa"/>
              <w:bottom w:w="28" w:type="dxa"/>
              <w:right w:w="57" w:type="dxa"/>
            </w:tcMar>
            <w:vAlign w:val="center"/>
          </w:tcPr>
          <w:p>
            <w:pPr>
              <w:adjustRightInd w:val="0"/>
              <w:snapToGrid w:val="0"/>
              <w:spacing w:line="250" w:lineRule="exact"/>
              <w:jc w:val="center"/>
              <w:rPr>
                <w:rFonts w:ascii="仿宋" w:hAnsi="仿宋" w:eastAsia="仿宋"/>
                <w:snapToGrid w:val="0"/>
                <w:color w:val="000000"/>
                <w:szCs w:val="21"/>
              </w:rPr>
            </w:pPr>
          </w:p>
        </w:tc>
        <w:tc>
          <w:tcPr>
            <w:tcW w:w="5424"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c>
          <w:tcPr>
            <w:tcW w:w="627" w:type="dxa"/>
            <w:vMerge w:val="continue"/>
            <w:tcMar>
              <w:top w:w="28" w:type="dxa"/>
              <w:left w:w="57" w:type="dxa"/>
              <w:bottom w:w="28" w:type="dxa"/>
              <w:right w:w="57" w:type="dxa"/>
            </w:tcMar>
            <w:vAlign w:val="center"/>
          </w:tcPr>
          <w:p>
            <w:pPr>
              <w:adjustRightInd w:val="0"/>
              <w:snapToGrid w:val="0"/>
              <w:spacing w:line="360" w:lineRule="exact"/>
              <w:jc w:val="center"/>
              <w:rPr>
                <w:rFonts w:ascii="仿宋" w:hAnsi="仿宋" w:eastAsia="仿宋"/>
                <w:snapToGrid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ascii="仿宋" w:hAnsi="仿宋" w:eastAsia="仿宋" w:cs="仿宋_GB2312"/>
                <w:color w:val="000000"/>
                <w:szCs w:val="21"/>
              </w:rPr>
              <w:t>1</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kern w:val="0"/>
                <w:szCs w:val="21"/>
              </w:rPr>
              <w:t>对道路旅客运输经营进行监督检查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重点检查事项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spacing w:line="250" w:lineRule="exact"/>
              <w:rPr>
                <w:rFonts w:ascii="仿宋" w:hAnsi="仿宋" w:eastAsia="仿宋" w:cs="仿宋_GB2312"/>
                <w:color w:val="000000"/>
                <w:szCs w:val="21"/>
              </w:rPr>
            </w:pPr>
            <w:r>
              <w:rPr>
                <w:rFonts w:ascii="仿宋" w:hAnsi="仿宋" w:eastAsia="仿宋" w:cs="仿宋_GB2312"/>
                <w:color w:val="000000"/>
                <w:szCs w:val="21"/>
              </w:rPr>
              <w:t>1.</w:t>
            </w:r>
            <w:r>
              <w:rPr>
                <w:rFonts w:hint="eastAsia" w:ascii="仿宋" w:hAnsi="仿宋" w:eastAsia="仿宋" w:cs="仿宋_GB2312"/>
                <w:color w:val="000000"/>
                <w:szCs w:val="21"/>
              </w:rPr>
              <w:t>从业人员管理培训情况；</w:t>
            </w:r>
          </w:p>
          <w:p>
            <w:pPr>
              <w:spacing w:line="250" w:lineRule="exact"/>
              <w:rPr>
                <w:rFonts w:ascii="仿宋" w:hAnsi="仿宋" w:eastAsia="仿宋" w:cs="仿宋_GB2312"/>
                <w:color w:val="000000"/>
                <w:szCs w:val="21"/>
              </w:rPr>
            </w:pPr>
            <w:r>
              <w:rPr>
                <w:rFonts w:ascii="仿宋" w:hAnsi="仿宋" w:eastAsia="仿宋" w:cs="仿宋_GB2312"/>
                <w:color w:val="000000"/>
                <w:szCs w:val="21"/>
              </w:rPr>
              <w:t>2.</w:t>
            </w:r>
            <w:r>
              <w:rPr>
                <w:rFonts w:hint="eastAsia" w:ascii="仿宋" w:hAnsi="仿宋" w:eastAsia="仿宋" w:cs="仿宋_GB2312"/>
                <w:color w:val="000000"/>
                <w:szCs w:val="21"/>
              </w:rPr>
              <w:t>长途客运车辆凌晨</w:t>
            </w:r>
            <w:r>
              <w:rPr>
                <w:rFonts w:ascii="仿宋" w:hAnsi="仿宋" w:eastAsia="仿宋" w:cs="仿宋_GB2312"/>
                <w:color w:val="000000"/>
                <w:szCs w:val="21"/>
              </w:rPr>
              <w:t>2</w:t>
            </w:r>
            <w:r>
              <w:rPr>
                <w:rFonts w:hint="eastAsia" w:ascii="仿宋" w:hAnsi="仿宋" w:eastAsia="仿宋" w:cs="仿宋_GB2312"/>
                <w:color w:val="000000"/>
                <w:szCs w:val="21"/>
              </w:rPr>
              <w:t>至</w:t>
            </w:r>
            <w:r>
              <w:rPr>
                <w:rFonts w:ascii="仿宋" w:hAnsi="仿宋" w:eastAsia="仿宋" w:cs="仿宋_GB2312"/>
                <w:color w:val="000000"/>
                <w:szCs w:val="21"/>
              </w:rPr>
              <w:t>5</w:t>
            </w:r>
            <w:r>
              <w:rPr>
                <w:rFonts w:hint="eastAsia" w:ascii="仿宋" w:hAnsi="仿宋" w:eastAsia="仿宋" w:cs="仿宋_GB2312"/>
                <w:color w:val="000000"/>
                <w:szCs w:val="21"/>
              </w:rPr>
              <w:t>时停运情况；</w:t>
            </w:r>
          </w:p>
          <w:p>
            <w:pPr>
              <w:spacing w:line="250" w:lineRule="exact"/>
              <w:rPr>
                <w:rFonts w:ascii="仿宋" w:hAnsi="仿宋" w:eastAsia="仿宋" w:cs="仿宋_GB2312"/>
                <w:color w:val="000000"/>
                <w:szCs w:val="21"/>
              </w:rPr>
            </w:pPr>
            <w:r>
              <w:rPr>
                <w:rFonts w:ascii="仿宋" w:hAnsi="仿宋" w:eastAsia="仿宋" w:cs="仿宋_GB2312"/>
                <w:color w:val="000000"/>
                <w:szCs w:val="21"/>
              </w:rPr>
              <w:t>3.</w:t>
            </w:r>
            <w:r>
              <w:rPr>
                <w:rFonts w:hint="eastAsia" w:ascii="仿宋" w:hAnsi="仿宋" w:eastAsia="仿宋" w:cs="仿宋_GB2312"/>
                <w:color w:val="000000"/>
                <w:szCs w:val="21"/>
              </w:rPr>
              <w:t>车辆动态监控值班情况；</w:t>
            </w:r>
          </w:p>
          <w:p>
            <w:pPr>
              <w:spacing w:line="250" w:lineRule="exact"/>
              <w:rPr>
                <w:rFonts w:ascii="仿宋" w:hAnsi="仿宋" w:eastAsia="仿宋" w:cs="仿宋_GB2312"/>
                <w:color w:val="000000"/>
                <w:szCs w:val="21"/>
              </w:rPr>
            </w:pPr>
            <w:r>
              <w:rPr>
                <w:rFonts w:ascii="仿宋" w:hAnsi="仿宋" w:eastAsia="仿宋" w:cs="仿宋_GB2312"/>
                <w:color w:val="000000"/>
                <w:szCs w:val="21"/>
              </w:rPr>
              <w:t>4.</w:t>
            </w:r>
            <w:r>
              <w:rPr>
                <w:rFonts w:hint="eastAsia" w:ascii="仿宋" w:hAnsi="仿宋" w:eastAsia="仿宋" w:cs="仿宋_GB2312"/>
                <w:color w:val="000000"/>
                <w:szCs w:val="21"/>
              </w:rPr>
              <w:t>应急预案及演练组织实施情况；</w:t>
            </w:r>
          </w:p>
          <w:p>
            <w:pPr>
              <w:spacing w:line="250" w:lineRule="exact"/>
              <w:rPr>
                <w:rFonts w:ascii="仿宋" w:hAnsi="仿宋" w:eastAsia="仿宋" w:cs="仿宋_GB2312"/>
                <w:color w:val="000000"/>
                <w:szCs w:val="21"/>
              </w:rPr>
            </w:pPr>
            <w:r>
              <w:rPr>
                <w:rFonts w:ascii="仿宋" w:hAnsi="仿宋" w:eastAsia="仿宋" w:cs="仿宋_GB2312"/>
                <w:color w:val="000000"/>
                <w:szCs w:val="21"/>
              </w:rPr>
              <w:t>5.</w:t>
            </w:r>
            <w:r>
              <w:rPr>
                <w:rFonts w:hint="eastAsia" w:ascii="仿宋" w:hAnsi="仿宋" w:eastAsia="仿宋" w:cs="仿宋_GB2312"/>
                <w:color w:val="000000"/>
                <w:szCs w:val="21"/>
              </w:rPr>
              <w:t>安全隐患排查治理情况、安全管理制度与台账完善情况；</w:t>
            </w:r>
          </w:p>
          <w:p>
            <w:pPr>
              <w:widowControl/>
              <w:spacing w:line="250" w:lineRule="exact"/>
              <w:rPr>
                <w:rFonts w:ascii="仿宋" w:hAnsi="仿宋" w:eastAsia="仿宋" w:cs="仿宋_GB2312"/>
                <w:color w:val="000000"/>
                <w:szCs w:val="21"/>
              </w:rPr>
            </w:pPr>
            <w:r>
              <w:rPr>
                <w:rFonts w:ascii="仿宋" w:hAnsi="仿宋" w:eastAsia="仿宋" w:cs="仿宋_GB2312"/>
                <w:color w:val="000000"/>
                <w:szCs w:val="21"/>
              </w:rPr>
              <w:t>6.</w:t>
            </w:r>
            <w:r>
              <w:rPr>
                <w:rFonts w:hint="eastAsia" w:ascii="仿宋" w:hAnsi="仿宋" w:eastAsia="仿宋" w:cs="仿宋_GB2312"/>
                <w:color w:val="000000"/>
                <w:szCs w:val="21"/>
              </w:rPr>
              <w:t>车辆管理情况</w:t>
            </w:r>
          </w:p>
        </w:tc>
        <w:tc>
          <w:tcPr>
            <w:tcW w:w="542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《道路旅客运输及客运站管理规定》第八十二、八十六条，《道路运输车辆技术管理规定》第二十六条，《道路运输车辆动态监督管理办法》第三十三条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5" w:type="dxa"/>
            <w:tcMar>
              <w:top w:w="28" w:type="dxa"/>
              <w:left w:w="57" w:type="dxa"/>
              <w:bottom w:w="28" w:type="dxa"/>
              <w:right w:w="57" w:type="dxa"/>
            </w:tcMar>
            <w:vAlign w:val="center"/>
          </w:tcPr>
          <w:p>
            <w:pPr>
              <w:widowControl/>
              <w:spacing w:line="240" w:lineRule="exact"/>
              <w:jc w:val="center"/>
              <w:rPr>
                <w:rFonts w:ascii="仿宋" w:hAnsi="仿宋" w:eastAsia="仿宋" w:cs="仿宋_GB2312"/>
                <w:color w:val="000000"/>
                <w:szCs w:val="21"/>
              </w:rPr>
            </w:pPr>
            <w:r>
              <w:rPr>
                <w:rFonts w:hint="eastAsia" w:ascii="仿宋" w:hAnsi="仿宋" w:eastAsia="仿宋" w:cs="仿宋_GB2312"/>
                <w:color w:val="000000"/>
                <w:szCs w:val="21"/>
              </w:rPr>
              <w:t xml:space="preserve"> 2                                                                                                                                                                                                                                                                                                                         </w:t>
            </w:r>
          </w:p>
        </w:tc>
        <w:tc>
          <w:tcPr>
            <w:tcW w:w="1028" w:type="dxa"/>
            <w:tcMar>
              <w:top w:w="28" w:type="dxa"/>
              <w:left w:w="57" w:type="dxa"/>
              <w:bottom w:w="28" w:type="dxa"/>
              <w:right w:w="57" w:type="dxa"/>
            </w:tcMar>
            <w:vAlign w:val="center"/>
          </w:tcPr>
          <w:p>
            <w:pPr>
              <w:widowControl/>
              <w:spacing w:line="240" w:lineRule="exact"/>
              <w:rPr>
                <w:rFonts w:ascii="仿宋" w:hAnsi="仿宋" w:eastAsia="仿宋" w:cs="仿宋_GB2312"/>
                <w:color w:val="000000"/>
                <w:szCs w:val="21"/>
              </w:rPr>
            </w:pPr>
          </w:p>
        </w:tc>
        <w:tc>
          <w:tcPr>
            <w:tcW w:w="1000" w:type="dxa"/>
            <w:tcMar>
              <w:top w:w="28" w:type="dxa"/>
              <w:left w:w="57" w:type="dxa"/>
              <w:bottom w:w="28" w:type="dxa"/>
              <w:right w:w="57" w:type="dxa"/>
            </w:tcMar>
            <w:vAlign w:val="center"/>
          </w:tcPr>
          <w:p>
            <w:pPr>
              <w:widowControl/>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对道路危险货物运输经营进行监督检查</w:t>
            </w:r>
          </w:p>
        </w:tc>
        <w:tc>
          <w:tcPr>
            <w:tcW w:w="534" w:type="dxa"/>
            <w:tcMar>
              <w:top w:w="28" w:type="dxa"/>
              <w:left w:w="57" w:type="dxa"/>
              <w:bottom w:w="28" w:type="dxa"/>
              <w:right w:w="57" w:type="dxa"/>
            </w:tcMar>
            <w:vAlign w:val="center"/>
          </w:tcPr>
          <w:p>
            <w:pPr>
              <w:widowControl/>
              <w:spacing w:line="24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40" w:lineRule="exact"/>
              <w:rPr>
                <w:rFonts w:ascii="仿宋" w:hAnsi="仿宋" w:eastAsia="仿宋" w:cs="仿宋_GB2312"/>
                <w:color w:val="000000"/>
                <w:szCs w:val="21"/>
              </w:rPr>
            </w:pPr>
            <w:r>
              <w:rPr>
                <w:rFonts w:hint="eastAsia" w:ascii="仿宋" w:hAnsi="仿宋" w:eastAsia="仿宋" w:cs="仿宋_GB2312"/>
                <w:color w:val="000000"/>
                <w:szCs w:val="21"/>
              </w:rPr>
              <w:t>重点检查事项</w:t>
            </w:r>
          </w:p>
        </w:tc>
        <w:tc>
          <w:tcPr>
            <w:tcW w:w="567" w:type="dxa"/>
            <w:tcMar>
              <w:top w:w="28" w:type="dxa"/>
              <w:left w:w="57" w:type="dxa"/>
              <w:bottom w:w="28" w:type="dxa"/>
              <w:right w:w="57" w:type="dxa"/>
            </w:tcMar>
            <w:vAlign w:val="center"/>
          </w:tcPr>
          <w:p>
            <w:pPr>
              <w:widowControl/>
              <w:spacing w:line="24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keepLines/>
              <w:spacing w:line="250" w:lineRule="exact"/>
              <w:rPr>
                <w:rFonts w:ascii="仿宋" w:hAnsi="仿宋" w:eastAsia="仿宋" w:cs="仿宋_GB2312"/>
                <w:color w:val="000000"/>
                <w:szCs w:val="21"/>
              </w:rPr>
            </w:pPr>
            <w:r>
              <w:rPr>
                <w:rFonts w:ascii="仿宋" w:hAnsi="仿宋" w:eastAsia="仿宋" w:cs="仿宋_GB2312"/>
                <w:color w:val="000000"/>
                <w:szCs w:val="21"/>
              </w:rPr>
              <w:t>1.</w:t>
            </w:r>
            <w:r>
              <w:rPr>
                <w:rFonts w:hint="eastAsia" w:ascii="仿宋" w:hAnsi="仿宋" w:eastAsia="仿宋" w:cs="仿宋_GB2312"/>
                <w:color w:val="000000"/>
                <w:szCs w:val="21"/>
              </w:rPr>
              <w:t>驾驶人员和押运人员在运输危险货物时，严格遵守有关部门关于危险货物运输线路、时间、速度方面的有关规定的情况，遵守有关部门关于剧毒、爆炸危险品道路运输车辆在重大节假日通行高速公路的相关规定的情况；</w:t>
            </w:r>
          </w:p>
          <w:p>
            <w:pPr>
              <w:keepLines/>
              <w:spacing w:line="250" w:lineRule="exact"/>
              <w:rPr>
                <w:rFonts w:ascii="仿宋" w:hAnsi="仿宋" w:eastAsia="仿宋" w:cs="仿宋_GB2312"/>
                <w:color w:val="000000"/>
                <w:szCs w:val="21"/>
              </w:rPr>
            </w:pPr>
            <w:r>
              <w:rPr>
                <w:rFonts w:ascii="仿宋" w:hAnsi="仿宋" w:eastAsia="仿宋" w:cs="仿宋_GB2312"/>
                <w:color w:val="000000"/>
                <w:szCs w:val="21"/>
              </w:rPr>
              <w:t>2.</w:t>
            </w:r>
            <w:r>
              <w:rPr>
                <w:rFonts w:hint="eastAsia" w:ascii="仿宋" w:hAnsi="仿宋" w:eastAsia="仿宋" w:cs="仿宋_GB2312"/>
                <w:color w:val="000000"/>
                <w:szCs w:val="21"/>
              </w:rPr>
              <w:t>道路危险货物运输企业或者单位应当通过卫星定位监控平台或者监控终端及时纠正和处理超速行驶、疲劳驾驶、不按规定线路行驶等违法违规驾驶行为。</w:t>
            </w:r>
          </w:p>
          <w:p>
            <w:pPr>
              <w:widowControl/>
              <w:spacing w:line="250" w:lineRule="exact"/>
              <w:rPr>
                <w:rFonts w:ascii="仿宋" w:hAnsi="仿宋" w:eastAsia="仿宋" w:cs="仿宋_GB2312"/>
                <w:color w:val="000000"/>
                <w:szCs w:val="21"/>
              </w:rPr>
            </w:pPr>
            <w:r>
              <w:rPr>
                <w:rFonts w:ascii="仿宋" w:hAnsi="仿宋" w:eastAsia="仿宋" w:cs="仿宋_GB2312"/>
                <w:color w:val="000000"/>
                <w:szCs w:val="21"/>
              </w:rPr>
              <w:t>3.</w:t>
            </w:r>
            <w:r>
              <w:rPr>
                <w:rFonts w:hint="eastAsia" w:ascii="仿宋" w:hAnsi="仿宋" w:eastAsia="仿宋" w:cs="仿宋_GB2312"/>
                <w:color w:val="000000"/>
                <w:szCs w:val="21"/>
              </w:rPr>
              <w:t>道路危险货物运输企业或者单位应当通过岗前培训、例会、定期学习等方式，对从业人员进行经常性安全生产、职业道德、业务知识和操作规程的教育培训</w:t>
            </w:r>
          </w:p>
        </w:tc>
        <w:tc>
          <w:tcPr>
            <w:tcW w:w="5424" w:type="dxa"/>
            <w:tcMar>
              <w:top w:w="28" w:type="dxa"/>
              <w:left w:w="57" w:type="dxa"/>
              <w:bottom w:w="28" w:type="dxa"/>
              <w:right w:w="57" w:type="dxa"/>
            </w:tcMar>
            <w:vAlign w:val="center"/>
          </w:tcPr>
          <w:p>
            <w:pPr>
              <w:widowControl/>
              <w:spacing w:line="24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《道路危险货物运输管理规定》第五十三条、五十四条，《道路运输车辆技术管理规定》第二十六条，《道路运输车辆动态监督管理办法》第三十三条</w:t>
            </w:r>
          </w:p>
        </w:tc>
        <w:tc>
          <w:tcPr>
            <w:tcW w:w="627" w:type="dxa"/>
            <w:tcMar>
              <w:top w:w="28" w:type="dxa"/>
              <w:left w:w="57" w:type="dxa"/>
              <w:bottom w:w="28" w:type="dxa"/>
              <w:right w:w="57" w:type="dxa"/>
            </w:tcMar>
            <w:vAlign w:val="center"/>
          </w:tcPr>
          <w:p>
            <w:pPr>
              <w:widowControl/>
              <w:spacing w:line="240" w:lineRule="exac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69"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hint="eastAsia" w:ascii="仿宋" w:hAnsi="仿宋" w:eastAsia="仿宋" w:cs="仿宋_GB2312"/>
                <w:color w:val="000000"/>
                <w:szCs w:val="21"/>
              </w:rPr>
              <w:t>3</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r>
              <w:rPr>
                <w:rFonts w:hint="eastAsia" w:ascii="仿宋" w:hAnsi="仿宋" w:eastAsia="仿宋" w:cs="仿宋_GB2312"/>
                <w:color w:val="000000"/>
                <w:szCs w:val="21"/>
              </w:rPr>
              <w:t>对道路货物运输经营进行监督检查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道路货物运输经营者的经营活动</w:t>
            </w:r>
          </w:p>
        </w:tc>
        <w:tc>
          <w:tcPr>
            <w:tcW w:w="5424" w:type="dxa"/>
            <w:tcMar>
              <w:top w:w="28" w:type="dxa"/>
              <w:left w:w="57" w:type="dxa"/>
              <w:bottom w:w="28" w:type="dxa"/>
              <w:right w:w="57" w:type="dxa"/>
            </w:tcMar>
            <w:vAlign w:val="center"/>
          </w:tcPr>
          <w:p>
            <w:pPr>
              <w:widowControl/>
              <w:spacing w:line="250" w:lineRule="exact"/>
              <w:rPr>
                <w:rFonts w:ascii="仿宋" w:hAnsi="仿宋" w:eastAsia="仿宋" w:cs="仿宋_GB2312"/>
                <w:spacing w:val="-4"/>
                <w:szCs w:val="21"/>
              </w:rPr>
            </w:pPr>
            <w:r>
              <w:rPr>
                <w:rFonts w:hint="eastAsia" w:ascii="仿宋" w:hAnsi="仿宋" w:eastAsia="仿宋" w:cs="仿宋_GB2312"/>
                <w:spacing w:val="-4"/>
                <w:szCs w:val="21"/>
              </w:rPr>
              <w:t>《道路货物运输及站场管理规定》第四十八条、五十二条，</w:t>
            </w:r>
            <w:r>
              <w:rPr>
                <w:rFonts w:hint="eastAsia" w:ascii="仿宋" w:hAnsi="仿宋" w:eastAsia="仿宋" w:cs="仿宋_GB2312"/>
                <w:color w:val="000000"/>
                <w:kern w:val="0"/>
                <w:szCs w:val="21"/>
              </w:rPr>
              <w:t>《道路运输车辆技术管理规定》第二十六条，</w:t>
            </w:r>
            <w:r>
              <w:rPr>
                <w:rFonts w:hint="eastAsia" w:ascii="仿宋" w:hAnsi="仿宋" w:eastAsia="仿宋" w:cs="仿宋_GB2312"/>
                <w:spacing w:val="-4"/>
                <w:szCs w:val="21"/>
              </w:rPr>
              <w:t>《道路运输车辆动态监督管理办法》第三十三条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hint="eastAsia" w:ascii="仿宋" w:hAnsi="仿宋" w:eastAsia="仿宋" w:cs="仿宋_GB2312"/>
                <w:color w:val="000000"/>
                <w:szCs w:val="21"/>
              </w:rPr>
              <w:t>4</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对机动车维修经营进行监督检查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机动车维修经营业务</w:t>
            </w:r>
          </w:p>
        </w:tc>
        <w:tc>
          <w:tcPr>
            <w:tcW w:w="5424" w:type="dxa"/>
            <w:tcMar>
              <w:top w:w="28" w:type="dxa"/>
              <w:left w:w="57" w:type="dxa"/>
              <w:bottom w:w="28" w:type="dxa"/>
              <w:right w:w="57" w:type="dxa"/>
            </w:tcMar>
            <w:vAlign w:val="center"/>
          </w:tcPr>
          <w:p>
            <w:pPr>
              <w:widowControl/>
              <w:spacing w:line="250" w:lineRule="exact"/>
              <w:rPr>
                <w:rFonts w:ascii="仿宋" w:hAnsi="仿宋" w:eastAsia="仿宋" w:cs="仿宋_GB2312"/>
                <w:color w:val="000000"/>
                <w:spacing w:val="-4"/>
                <w:szCs w:val="21"/>
              </w:rPr>
            </w:pPr>
            <w:r>
              <w:rPr>
                <w:rFonts w:hint="eastAsia" w:ascii="仿宋" w:hAnsi="仿宋" w:eastAsia="仿宋" w:cs="仿宋_GB2312"/>
                <w:color w:val="000000"/>
                <w:szCs w:val="21"/>
              </w:rPr>
              <w:t>《机动车维修管理规定》第四十五、四十六、四十七、四十八条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6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hint="eastAsia" w:ascii="仿宋" w:hAnsi="仿宋" w:eastAsia="仿宋" w:cs="仿宋_GB2312"/>
                <w:color w:val="000000"/>
                <w:szCs w:val="21"/>
              </w:rPr>
              <w:t>5</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kern w:val="0"/>
                <w:szCs w:val="21"/>
              </w:rPr>
              <w:t>对机动车驾驶培训经营进行监督检查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机动车驾驶培训经营活动</w:t>
            </w:r>
          </w:p>
        </w:tc>
        <w:tc>
          <w:tcPr>
            <w:tcW w:w="542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《机动车驾驶员培训管理规定》第四十二、四十四、四十六条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hint="eastAsia" w:ascii="仿宋" w:hAnsi="仿宋" w:eastAsia="仿宋" w:cs="仿宋_GB2312"/>
                <w:color w:val="000000"/>
                <w:szCs w:val="21"/>
              </w:rPr>
              <w:t>6</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对城市公共汽电车客运开展监督检查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ascii="仿宋" w:hAnsi="仿宋" w:eastAsia="仿宋" w:cs="仿宋_GB2312"/>
                <w:color w:val="000000"/>
                <w:szCs w:val="21"/>
              </w:rPr>
              <w:t>1.</w:t>
            </w:r>
            <w:r>
              <w:rPr>
                <w:rFonts w:hint="eastAsia" w:ascii="仿宋" w:hAnsi="仿宋" w:eastAsia="仿宋" w:cs="仿宋_GB2312"/>
                <w:color w:val="000000"/>
                <w:szCs w:val="21"/>
              </w:rPr>
              <w:t>公交企业及公交线路的经营行为、服务质量及安全责任的落实情况；</w:t>
            </w:r>
          </w:p>
          <w:p>
            <w:pPr>
              <w:widowControl/>
              <w:spacing w:line="250" w:lineRule="exact"/>
              <w:rPr>
                <w:rFonts w:ascii="仿宋" w:hAnsi="仿宋" w:eastAsia="仿宋" w:cs="仿宋_GB2312"/>
                <w:color w:val="000000"/>
                <w:szCs w:val="21"/>
              </w:rPr>
            </w:pPr>
            <w:r>
              <w:rPr>
                <w:rFonts w:ascii="仿宋" w:hAnsi="仿宋" w:eastAsia="仿宋" w:cs="仿宋_GB2312"/>
                <w:color w:val="000000"/>
                <w:kern w:val="0"/>
                <w:szCs w:val="21"/>
              </w:rPr>
              <w:t>2.</w:t>
            </w:r>
            <w:r>
              <w:rPr>
                <w:rFonts w:hint="eastAsia" w:ascii="仿宋" w:hAnsi="仿宋" w:eastAsia="仿宋" w:cs="仿宋_GB2312"/>
                <w:color w:val="000000"/>
                <w:kern w:val="0"/>
                <w:szCs w:val="21"/>
              </w:rPr>
              <w:t>公共汽车营运行为、安全行车、服务设施、安全设施等</w:t>
            </w:r>
          </w:p>
        </w:tc>
        <w:tc>
          <w:tcPr>
            <w:tcW w:w="542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《城市公共汽车和电车客运管理规定》第五十五、五十六条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2"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hint="eastAsia" w:ascii="仿宋" w:hAnsi="仿宋" w:eastAsia="仿宋" w:cs="仿宋_GB2312"/>
                <w:color w:val="000000"/>
                <w:szCs w:val="21"/>
              </w:rPr>
              <w:t>7</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对出租汽车客运开展监督检查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ascii="仿宋" w:hAnsi="仿宋" w:eastAsia="仿宋" w:cs="仿宋_GB2312"/>
                <w:color w:val="000000"/>
                <w:szCs w:val="21"/>
              </w:rPr>
              <w:t>1.</w:t>
            </w:r>
            <w:r>
              <w:rPr>
                <w:rFonts w:hint="eastAsia" w:ascii="仿宋" w:hAnsi="仿宋" w:eastAsia="仿宋" w:cs="仿宋_GB2312"/>
                <w:color w:val="000000"/>
                <w:szCs w:val="21"/>
              </w:rPr>
              <w:t>基本条件、管理水平、企业经营行为情况；</w:t>
            </w:r>
          </w:p>
          <w:p>
            <w:pPr>
              <w:widowControl/>
              <w:spacing w:line="250" w:lineRule="exact"/>
              <w:rPr>
                <w:rFonts w:ascii="仿宋" w:hAnsi="仿宋" w:eastAsia="仿宋" w:cs="仿宋_GB2312"/>
                <w:color w:val="000000"/>
                <w:szCs w:val="21"/>
              </w:rPr>
            </w:pPr>
            <w:r>
              <w:rPr>
                <w:rFonts w:ascii="仿宋" w:hAnsi="仿宋" w:eastAsia="仿宋" w:cs="仿宋_GB2312"/>
                <w:color w:val="000000"/>
                <w:szCs w:val="21"/>
              </w:rPr>
              <w:t>2.</w:t>
            </w:r>
            <w:r>
              <w:rPr>
                <w:rFonts w:hint="eastAsia" w:ascii="仿宋" w:hAnsi="仿宋" w:eastAsia="仿宋" w:cs="仿宋_GB2312"/>
                <w:color w:val="000000"/>
                <w:szCs w:val="21"/>
              </w:rPr>
              <w:t>车容车貌、相关标识及设备设施情况；</w:t>
            </w:r>
          </w:p>
          <w:p>
            <w:pPr>
              <w:widowControl/>
              <w:spacing w:line="250" w:lineRule="exact"/>
              <w:rPr>
                <w:rFonts w:ascii="仿宋" w:hAnsi="仿宋" w:eastAsia="仿宋" w:cs="仿宋_GB2312"/>
                <w:color w:val="000000"/>
                <w:kern w:val="0"/>
                <w:szCs w:val="21"/>
              </w:rPr>
            </w:pPr>
            <w:r>
              <w:rPr>
                <w:rFonts w:ascii="仿宋" w:hAnsi="仿宋" w:eastAsia="仿宋" w:cs="仿宋_GB2312"/>
                <w:color w:val="000000"/>
                <w:szCs w:val="21"/>
              </w:rPr>
              <w:t>3.</w:t>
            </w:r>
            <w:r>
              <w:rPr>
                <w:rFonts w:hint="eastAsia" w:ascii="仿宋" w:hAnsi="仿宋" w:eastAsia="仿宋" w:cs="仿宋_GB2312"/>
                <w:color w:val="000000"/>
                <w:szCs w:val="21"/>
              </w:rPr>
              <w:t>驾驶员经营行为、服务质量情况</w:t>
            </w:r>
          </w:p>
        </w:tc>
        <w:tc>
          <w:tcPr>
            <w:tcW w:w="542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《巡游出租汽车经营服务管理规定》第四十、四十一条，《陕西省出租汽车客运条例》第四十四条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8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rPr>
            </w:pPr>
            <w:r>
              <w:rPr>
                <w:rFonts w:hint="eastAsia" w:ascii="仿宋" w:hAnsi="仿宋" w:eastAsia="仿宋" w:cs="仿宋_GB2312"/>
                <w:color w:val="000000"/>
                <w:szCs w:val="21"/>
              </w:rPr>
              <w:t>8</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szCs w:val="21"/>
              </w:rPr>
              <w:t>公路</w:t>
            </w:r>
            <w:r>
              <w:rPr>
                <w:rFonts w:ascii="仿宋" w:hAnsi="仿宋" w:eastAsia="仿宋"/>
                <w:szCs w:val="21"/>
              </w:rPr>
              <w:t>控制区范围内检查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县、乡、村公路</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spacing w:line="250" w:lineRule="exact"/>
              <w:rPr>
                <w:rFonts w:ascii="仿宋" w:hAnsi="仿宋" w:eastAsia="仿宋" w:cs="仿宋_GB2312"/>
                <w:snapToGrid w:val="0"/>
                <w:color w:val="000000"/>
                <w:szCs w:val="21"/>
              </w:rPr>
            </w:pPr>
            <w:r>
              <w:rPr>
                <w:rFonts w:hint="eastAsia" w:ascii="仿宋" w:hAnsi="仿宋" w:eastAsia="仿宋"/>
                <w:szCs w:val="21"/>
              </w:rPr>
              <w:t>1</w:t>
            </w:r>
            <w:r>
              <w:rPr>
                <w:rFonts w:ascii="仿宋" w:hAnsi="仿宋" w:eastAsia="仿宋"/>
                <w:szCs w:val="21"/>
              </w:rPr>
              <w:t>、在公路建筑控制区内、外修建、扩建建筑物、地面构筑物或埋设管道、电缆等设施情况；</w:t>
            </w:r>
            <w:r>
              <w:rPr>
                <w:rFonts w:ascii="仿宋" w:hAnsi="仿宋" w:eastAsia="仿宋"/>
                <w:szCs w:val="21"/>
              </w:rPr>
              <w:br w:type="textWrapping"/>
            </w:r>
            <w:r>
              <w:rPr>
                <w:rFonts w:ascii="仿宋" w:hAnsi="仿宋" w:eastAsia="仿宋"/>
                <w:szCs w:val="21"/>
              </w:rPr>
              <w:t>2、造成公路路面损坏、污染或者影响公路畅通的，将公路作为试车场地事项；</w:t>
            </w:r>
            <w:r>
              <w:rPr>
                <w:rFonts w:ascii="仿宋" w:hAnsi="仿宋" w:eastAsia="仿宋"/>
                <w:szCs w:val="21"/>
              </w:rPr>
              <w:br w:type="textWrapping"/>
            </w:r>
            <w:r>
              <w:rPr>
                <w:rFonts w:ascii="仿宋" w:hAnsi="仿宋" w:eastAsia="仿宋"/>
                <w:szCs w:val="21"/>
              </w:rPr>
              <w:t>3、未经批准更新采伐护路林情况；</w:t>
            </w:r>
            <w:r>
              <w:rPr>
                <w:rFonts w:ascii="仿宋" w:hAnsi="仿宋" w:eastAsia="仿宋"/>
                <w:szCs w:val="21"/>
              </w:rPr>
              <w:br w:type="textWrapping"/>
            </w:r>
            <w:r>
              <w:rPr>
                <w:rFonts w:ascii="仿宋" w:hAnsi="仿宋" w:eastAsia="仿宋"/>
                <w:szCs w:val="21"/>
              </w:rPr>
              <w:t>4、未经批准在公路上增设平面交叉道口情况；</w:t>
            </w:r>
            <w:r>
              <w:rPr>
                <w:rFonts w:ascii="仿宋" w:hAnsi="仿宋" w:eastAsia="仿宋"/>
                <w:szCs w:val="21"/>
              </w:rPr>
              <w:br w:type="textWrapping"/>
            </w:r>
            <w:r>
              <w:rPr>
                <w:rFonts w:ascii="仿宋" w:hAnsi="仿宋" w:eastAsia="仿宋"/>
                <w:szCs w:val="21"/>
              </w:rPr>
              <w:t>5、利用公路桥梁进行危及公路桥梁安全的施工作业；利用公路桥梁（含桥下空间）、公路隧道、涵洞堆放物品，搭建设施以及铺设高压电线和输送易燃、易爆或者其他有毒有害气体、液体的管道情况；</w:t>
            </w:r>
            <w:r>
              <w:rPr>
                <w:rFonts w:ascii="仿宋" w:hAnsi="仿宋" w:eastAsia="仿宋"/>
                <w:szCs w:val="21"/>
              </w:rPr>
              <w:br w:type="textWrapping"/>
            </w:r>
            <w:r>
              <w:rPr>
                <w:rFonts w:ascii="仿宋" w:hAnsi="仿宋" w:eastAsia="仿宋"/>
                <w:szCs w:val="21"/>
              </w:rPr>
              <w:t>6、造成公路损坏不报告情况；</w:t>
            </w:r>
            <w:r>
              <w:rPr>
                <w:rFonts w:ascii="仿宋" w:hAnsi="仿宋" w:eastAsia="仿宋"/>
                <w:szCs w:val="21"/>
              </w:rPr>
              <w:br w:type="textWrapping"/>
            </w:r>
            <w:r>
              <w:rPr>
                <w:rFonts w:ascii="仿宋" w:hAnsi="仿宋" w:eastAsia="仿宋"/>
                <w:szCs w:val="21"/>
              </w:rPr>
              <w:t>7、擅自在公路用地范围内设置公路标志以外的标志或者利用跨越公路的设施悬挂非公路标志情况。</w:t>
            </w:r>
          </w:p>
        </w:tc>
        <w:tc>
          <w:tcPr>
            <w:tcW w:w="5424" w:type="dxa"/>
            <w:tcMar>
              <w:top w:w="28" w:type="dxa"/>
              <w:left w:w="57" w:type="dxa"/>
              <w:bottom w:w="28" w:type="dxa"/>
              <w:right w:w="57" w:type="dxa"/>
            </w:tcMar>
            <w:vAlign w:val="center"/>
          </w:tcPr>
          <w:p>
            <w:pPr>
              <w:pStyle w:val="6"/>
              <w:spacing w:line="280" w:lineRule="exact"/>
              <w:ind w:firstLine="0"/>
              <w:rPr>
                <w:rFonts w:ascii="仿宋" w:hAnsi="仿宋" w:eastAsia="仿宋" w:cs="仿宋_GB2312"/>
                <w:color w:val="000000"/>
                <w:kern w:val="2"/>
                <w:sz w:val="21"/>
                <w:szCs w:val="21"/>
              </w:rPr>
            </w:pPr>
            <w:r>
              <w:rPr>
                <w:rFonts w:ascii="仿宋" w:hAnsi="仿宋" w:eastAsia="仿宋"/>
                <w:sz w:val="21"/>
                <w:szCs w:val="21"/>
              </w:rPr>
              <w:t>《中华人民共和国公路法》</w:t>
            </w:r>
            <w:r>
              <w:rPr>
                <w:rFonts w:hint="eastAsia" w:ascii="仿宋" w:hAnsi="仿宋" w:eastAsia="仿宋"/>
                <w:sz w:val="21"/>
                <w:szCs w:val="21"/>
              </w:rPr>
              <w:t>第六十九、第七十、第七十一条，</w:t>
            </w:r>
            <w:r>
              <w:rPr>
                <w:rFonts w:ascii="仿宋" w:hAnsi="仿宋" w:eastAsia="仿宋"/>
                <w:sz w:val="21"/>
                <w:szCs w:val="21"/>
              </w:rPr>
              <w:t>《公路安全保护条例》第五十九条、第六十一条、第六十九条</w:t>
            </w: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FF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04"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 w:hAnsi="仿宋" w:eastAsia="仿宋" w:cs="仿宋_GB2312"/>
                <w:color w:val="000000"/>
                <w:szCs w:val="21"/>
                <w:highlight w:val="yellow"/>
              </w:rPr>
            </w:pPr>
            <w:r>
              <w:rPr>
                <w:rFonts w:hint="eastAsia" w:ascii="仿宋" w:hAnsi="仿宋" w:eastAsia="仿宋" w:cs="仿宋_GB2312"/>
                <w:color w:val="000000"/>
                <w:szCs w:val="21"/>
              </w:rPr>
              <w:t>9</w:t>
            </w:r>
          </w:p>
        </w:tc>
        <w:tc>
          <w:tcPr>
            <w:tcW w:w="1028"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highlight w:val="yellow"/>
              </w:rPr>
            </w:pPr>
          </w:p>
        </w:tc>
        <w:tc>
          <w:tcPr>
            <w:tcW w:w="1000"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ascii="仿宋" w:hAnsi="仿宋" w:eastAsia="仿宋"/>
                <w:szCs w:val="21"/>
              </w:rPr>
              <w:t>公路水运工程质量抽查</w:t>
            </w:r>
          </w:p>
        </w:tc>
        <w:tc>
          <w:tcPr>
            <w:tcW w:w="534"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项目参建单位</w:t>
            </w:r>
          </w:p>
        </w:tc>
        <w:tc>
          <w:tcPr>
            <w:tcW w:w="566"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 w:hAnsi="仿宋" w:eastAsia="仿宋" w:cs="仿宋_GB2312"/>
                <w:color w:val="000000"/>
                <w:szCs w:val="21"/>
              </w:rPr>
            </w:pPr>
            <w:r>
              <w:rPr>
                <w:rFonts w:hint="eastAsia" w:ascii="仿宋" w:hAnsi="仿宋" w:eastAsia="仿宋" w:cs="仿宋_GB2312"/>
                <w:color w:val="000000"/>
                <w:szCs w:val="21"/>
              </w:rPr>
              <w:t>现场检查</w:t>
            </w:r>
          </w:p>
        </w:tc>
        <w:tc>
          <w:tcPr>
            <w:tcW w:w="952" w:type="dxa"/>
            <w:tcMar>
              <w:top w:w="28" w:type="dxa"/>
              <w:left w:w="57" w:type="dxa"/>
              <w:bottom w:w="28" w:type="dxa"/>
              <w:right w:w="57" w:type="dxa"/>
            </w:tcMar>
            <w:vAlign w:val="center"/>
          </w:tcPr>
          <w:p>
            <w:pPr>
              <w:widowControl/>
              <w:spacing w:line="250" w:lineRule="exact"/>
              <w:rPr>
                <w:rFonts w:ascii="仿宋" w:hAnsi="仿宋" w:eastAsia="仿宋" w:cs="仿宋_GB2312"/>
                <w:color w:val="000000"/>
                <w:kern w:val="0"/>
                <w:szCs w:val="21"/>
              </w:rPr>
            </w:pPr>
            <w:r>
              <w:rPr>
                <w:rFonts w:hint="eastAsia" w:ascii="仿宋" w:hAnsi="仿宋" w:eastAsia="仿宋" w:cs="仿宋_GB2312"/>
                <w:color w:val="000000"/>
                <w:kern w:val="0"/>
                <w:szCs w:val="21"/>
              </w:rPr>
              <w:t>靖边县交通运输综合执法大队</w:t>
            </w:r>
          </w:p>
        </w:tc>
        <w:tc>
          <w:tcPr>
            <w:tcW w:w="3118" w:type="dxa"/>
            <w:tcMar>
              <w:top w:w="28" w:type="dxa"/>
              <w:left w:w="57" w:type="dxa"/>
              <w:bottom w:w="28" w:type="dxa"/>
              <w:right w:w="57" w:type="dxa"/>
            </w:tcMar>
            <w:vAlign w:val="center"/>
          </w:tcPr>
          <w:p>
            <w:pPr>
              <w:pStyle w:val="2"/>
              <w:spacing w:line="280" w:lineRule="atLeast"/>
              <w:rPr>
                <w:rFonts w:ascii="仿宋" w:hAnsi="仿宋" w:eastAsia="仿宋"/>
                <w:sz w:val="21"/>
                <w:szCs w:val="21"/>
              </w:rPr>
            </w:pPr>
            <w:r>
              <w:rPr>
                <w:rFonts w:ascii="仿宋" w:hAnsi="仿宋" w:eastAsia="仿宋"/>
                <w:sz w:val="21"/>
                <w:szCs w:val="21"/>
              </w:rPr>
              <w:t>1.国家和本省、市有关工程质量与安全生产的法律、法规、规章和工程建设强制性标准的执行情况；</w:t>
            </w:r>
          </w:p>
          <w:p>
            <w:pPr>
              <w:pStyle w:val="2"/>
              <w:spacing w:line="280" w:lineRule="atLeast"/>
              <w:rPr>
                <w:rFonts w:ascii="仿宋" w:hAnsi="仿宋" w:eastAsia="仿宋"/>
                <w:sz w:val="21"/>
                <w:szCs w:val="21"/>
              </w:rPr>
            </w:pPr>
            <w:r>
              <w:rPr>
                <w:rFonts w:ascii="仿宋" w:hAnsi="仿宋" w:eastAsia="仿宋"/>
                <w:sz w:val="21"/>
                <w:szCs w:val="21"/>
              </w:rPr>
              <w:t>2.抽查从业单位质量与安全生产管理体系和责任制的落实情况、质量安全专项活动开展情况；</w:t>
            </w:r>
          </w:p>
          <w:p>
            <w:pPr>
              <w:pStyle w:val="2"/>
              <w:spacing w:line="280" w:lineRule="atLeast"/>
              <w:rPr>
                <w:rFonts w:ascii="仿宋" w:hAnsi="仿宋" w:eastAsia="仿宋"/>
                <w:sz w:val="21"/>
                <w:szCs w:val="21"/>
              </w:rPr>
            </w:pPr>
            <w:r>
              <w:rPr>
                <w:rFonts w:ascii="仿宋" w:hAnsi="仿宋" w:eastAsia="仿宋"/>
                <w:sz w:val="21"/>
                <w:szCs w:val="21"/>
              </w:rPr>
              <w:t xml:space="preserve">3.建设、设计、监理、施工、检测单位质量安全管理行为，施工工艺及现场安全生产情况； </w:t>
            </w:r>
          </w:p>
          <w:p>
            <w:pPr>
              <w:pStyle w:val="2"/>
              <w:spacing w:line="280" w:lineRule="atLeast"/>
              <w:rPr>
                <w:rFonts w:ascii="仿宋" w:hAnsi="仿宋" w:eastAsia="仿宋"/>
                <w:sz w:val="21"/>
                <w:szCs w:val="21"/>
              </w:rPr>
            </w:pPr>
            <w:r>
              <w:rPr>
                <w:rFonts w:ascii="仿宋" w:hAnsi="仿宋" w:eastAsia="仿宋"/>
                <w:sz w:val="21"/>
                <w:szCs w:val="21"/>
              </w:rPr>
              <w:t>4.抽查工程实体质量和原材料、半成品等情况。</w:t>
            </w:r>
          </w:p>
          <w:p>
            <w:pPr>
              <w:spacing w:line="250" w:lineRule="exact"/>
              <w:rPr>
                <w:rFonts w:ascii="仿宋" w:hAnsi="仿宋" w:eastAsia="仿宋" w:cs="仿宋_GB2312"/>
                <w:snapToGrid w:val="0"/>
                <w:color w:val="000000"/>
                <w:szCs w:val="21"/>
              </w:rPr>
            </w:pPr>
          </w:p>
        </w:tc>
        <w:tc>
          <w:tcPr>
            <w:tcW w:w="5424" w:type="dxa"/>
            <w:tcMar>
              <w:top w:w="28" w:type="dxa"/>
              <w:left w:w="57" w:type="dxa"/>
              <w:bottom w:w="28" w:type="dxa"/>
              <w:right w:w="57" w:type="dxa"/>
            </w:tcMar>
            <w:vAlign w:val="center"/>
          </w:tcPr>
          <w:p>
            <w:pPr>
              <w:pStyle w:val="2"/>
              <w:spacing w:line="280" w:lineRule="atLeast"/>
              <w:rPr>
                <w:rFonts w:ascii="仿宋" w:hAnsi="仿宋" w:eastAsia="仿宋"/>
                <w:sz w:val="21"/>
                <w:szCs w:val="21"/>
              </w:rPr>
            </w:pPr>
            <w:r>
              <w:rPr>
                <w:rFonts w:ascii="仿宋" w:hAnsi="仿宋" w:eastAsia="仿宋"/>
                <w:sz w:val="21"/>
                <w:szCs w:val="21"/>
              </w:rPr>
              <w:t>《中华人民共和国公路法》第七十五条；《建设工程质量管理条例》（国务院令第279号）第十三条、第三十一条、第四十三条；《水运工程质量监督规定》第九条、第三十五条、第四十一条、第四十五条； 　　　　　　　《公路建设市场管理办法》第八条、第四十三条、第四十五条、第四十八条；《公路工程质量监督规定》第五条、第六条、第七条；</w:t>
            </w:r>
          </w:p>
          <w:p>
            <w:pPr>
              <w:pStyle w:val="6"/>
              <w:spacing w:line="280" w:lineRule="exact"/>
              <w:ind w:firstLine="0"/>
              <w:rPr>
                <w:rFonts w:ascii="仿宋" w:hAnsi="仿宋" w:eastAsia="仿宋" w:cs="仿宋_GB2312"/>
                <w:color w:val="000000"/>
                <w:kern w:val="2"/>
                <w:sz w:val="21"/>
                <w:szCs w:val="21"/>
              </w:rPr>
            </w:pPr>
          </w:p>
        </w:tc>
        <w:tc>
          <w:tcPr>
            <w:tcW w:w="627" w:type="dxa"/>
            <w:tcMar>
              <w:top w:w="28" w:type="dxa"/>
              <w:left w:w="57" w:type="dxa"/>
              <w:bottom w:w="28" w:type="dxa"/>
              <w:right w:w="57" w:type="dxa"/>
            </w:tcMar>
            <w:vAlign w:val="center"/>
          </w:tcPr>
          <w:p>
            <w:pPr>
              <w:widowControl/>
              <w:spacing w:line="250" w:lineRule="exact"/>
              <w:rPr>
                <w:rFonts w:ascii="仿宋" w:hAnsi="仿宋" w:eastAsia="仿宋" w:cs="仿宋_GB2312"/>
                <w:color w:val="FF0000"/>
                <w:szCs w:val="21"/>
              </w:rPr>
            </w:pPr>
          </w:p>
        </w:tc>
      </w:tr>
    </w:tbl>
    <w:p>
      <w:pPr>
        <w:rPr>
          <w:rFonts w:ascii="仿宋_GB2312" w:eastAsia="仿宋_GB2312"/>
          <w:sz w:val="32"/>
          <w:szCs w:val="32"/>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4NDNhOGQ0NDVhZGFjZDVjMzNkMTIxOWVmNDBkYzUifQ=="/>
  </w:docVars>
  <w:rsids>
    <w:rsidRoot w:val="008C32BD"/>
    <w:rsid w:val="000200A3"/>
    <w:rsid w:val="000223A1"/>
    <w:rsid w:val="00022877"/>
    <w:rsid w:val="00032B0C"/>
    <w:rsid w:val="000352BE"/>
    <w:rsid w:val="00036096"/>
    <w:rsid w:val="00037AF6"/>
    <w:rsid w:val="00042AC8"/>
    <w:rsid w:val="00044010"/>
    <w:rsid w:val="00064A78"/>
    <w:rsid w:val="0007601E"/>
    <w:rsid w:val="00076C7D"/>
    <w:rsid w:val="0008228A"/>
    <w:rsid w:val="00091B97"/>
    <w:rsid w:val="000C488E"/>
    <w:rsid w:val="000C577E"/>
    <w:rsid w:val="000C7FC3"/>
    <w:rsid w:val="000E0A01"/>
    <w:rsid w:val="000E0B2C"/>
    <w:rsid w:val="000E14D8"/>
    <w:rsid w:val="000F0360"/>
    <w:rsid w:val="00111117"/>
    <w:rsid w:val="00140CB3"/>
    <w:rsid w:val="00151FFB"/>
    <w:rsid w:val="0015204E"/>
    <w:rsid w:val="0015327F"/>
    <w:rsid w:val="00165002"/>
    <w:rsid w:val="00171FA0"/>
    <w:rsid w:val="00182179"/>
    <w:rsid w:val="001841CC"/>
    <w:rsid w:val="00187EF3"/>
    <w:rsid w:val="001941DF"/>
    <w:rsid w:val="00196D4D"/>
    <w:rsid w:val="001A7DC7"/>
    <w:rsid w:val="001B49E3"/>
    <w:rsid w:val="001C2A82"/>
    <w:rsid w:val="001C3A24"/>
    <w:rsid w:val="001C7756"/>
    <w:rsid w:val="001D462B"/>
    <w:rsid w:val="001D6836"/>
    <w:rsid w:val="001F29BF"/>
    <w:rsid w:val="00201627"/>
    <w:rsid w:val="002139D9"/>
    <w:rsid w:val="00213C8E"/>
    <w:rsid w:val="00221EF2"/>
    <w:rsid w:val="00231A97"/>
    <w:rsid w:val="00253373"/>
    <w:rsid w:val="0025351A"/>
    <w:rsid w:val="00271D17"/>
    <w:rsid w:val="00271E57"/>
    <w:rsid w:val="00290955"/>
    <w:rsid w:val="0029608D"/>
    <w:rsid w:val="002A0375"/>
    <w:rsid w:val="002A3CFC"/>
    <w:rsid w:val="002A5B8D"/>
    <w:rsid w:val="002E0EF5"/>
    <w:rsid w:val="002E2192"/>
    <w:rsid w:val="00302F4B"/>
    <w:rsid w:val="003071EF"/>
    <w:rsid w:val="00320456"/>
    <w:rsid w:val="00325D91"/>
    <w:rsid w:val="00332576"/>
    <w:rsid w:val="00343677"/>
    <w:rsid w:val="0034580F"/>
    <w:rsid w:val="0035456D"/>
    <w:rsid w:val="003550B7"/>
    <w:rsid w:val="0038456E"/>
    <w:rsid w:val="003A484A"/>
    <w:rsid w:val="003B3B9A"/>
    <w:rsid w:val="003D3343"/>
    <w:rsid w:val="003D3EEC"/>
    <w:rsid w:val="003E66B8"/>
    <w:rsid w:val="003F1F19"/>
    <w:rsid w:val="00454981"/>
    <w:rsid w:val="0047189C"/>
    <w:rsid w:val="00477BED"/>
    <w:rsid w:val="00485C8D"/>
    <w:rsid w:val="004905B1"/>
    <w:rsid w:val="004A68CB"/>
    <w:rsid w:val="004A7544"/>
    <w:rsid w:val="004C28F8"/>
    <w:rsid w:val="004C6B3E"/>
    <w:rsid w:val="004F078B"/>
    <w:rsid w:val="004F56C7"/>
    <w:rsid w:val="005022C2"/>
    <w:rsid w:val="00522D46"/>
    <w:rsid w:val="00530D98"/>
    <w:rsid w:val="005576DA"/>
    <w:rsid w:val="00557ED8"/>
    <w:rsid w:val="00570743"/>
    <w:rsid w:val="00571A99"/>
    <w:rsid w:val="0057371D"/>
    <w:rsid w:val="00586407"/>
    <w:rsid w:val="005864A8"/>
    <w:rsid w:val="00587073"/>
    <w:rsid w:val="005C2F4D"/>
    <w:rsid w:val="005C6278"/>
    <w:rsid w:val="005C6EB7"/>
    <w:rsid w:val="005D6835"/>
    <w:rsid w:val="005F2CE3"/>
    <w:rsid w:val="005F2DEE"/>
    <w:rsid w:val="005F4263"/>
    <w:rsid w:val="005F42F1"/>
    <w:rsid w:val="005F52DF"/>
    <w:rsid w:val="006331D3"/>
    <w:rsid w:val="0064221A"/>
    <w:rsid w:val="00661AC8"/>
    <w:rsid w:val="00666701"/>
    <w:rsid w:val="00667880"/>
    <w:rsid w:val="00670330"/>
    <w:rsid w:val="00676247"/>
    <w:rsid w:val="00681616"/>
    <w:rsid w:val="0068728E"/>
    <w:rsid w:val="006A74FF"/>
    <w:rsid w:val="006C76C5"/>
    <w:rsid w:val="006D3B86"/>
    <w:rsid w:val="006D6B5B"/>
    <w:rsid w:val="006E007F"/>
    <w:rsid w:val="006E4396"/>
    <w:rsid w:val="006E43E5"/>
    <w:rsid w:val="006E74F3"/>
    <w:rsid w:val="006F51B1"/>
    <w:rsid w:val="006F55D5"/>
    <w:rsid w:val="00704267"/>
    <w:rsid w:val="00717C64"/>
    <w:rsid w:val="00737FC5"/>
    <w:rsid w:val="00754EA7"/>
    <w:rsid w:val="00762786"/>
    <w:rsid w:val="00787128"/>
    <w:rsid w:val="007B6258"/>
    <w:rsid w:val="007D16AD"/>
    <w:rsid w:val="007F61EC"/>
    <w:rsid w:val="007F659B"/>
    <w:rsid w:val="00806828"/>
    <w:rsid w:val="00814A60"/>
    <w:rsid w:val="0082028F"/>
    <w:rsid w:val="0083085F"/>
    <w:rsid w:val="00836F04"/>
    <w:rsid w:val="00852E11"/>
    <w:rsid w:val="00856EDF"/>
    <w:rsid w:val="00864B77"/>
    <w:rsid w:val="00876847"/>
    <w:rsid w:val="00885506"/>
    <w:rsid w:val="00886FF5"/>
    <w:rsid w:val="00887C06"/>
    <w:rsid w:val="008A2B29"/>
    <w:rsid w:val="008A3F61"/>
    <w:rsid w:val="008A7868"/>
    <w:rsid w:val="008B7913"/>
    <w:rsid w:val="008C32BD"/>
    <w:rsid w:val="008D0259"/>
    <w:rsid w:val="008D54BC"/>
    <w:rsid w:val="008E65D1"/>
    <w:rsid w:val="008F28A8"/>
    <w:rsid w:val="00921196"/>
    <w:rsid w:val="00926318"/>
    <w:rsid w:val="00927A59"/>
    <w:rsid w:val="00937180"/>
    <w:rsid w:val="0094146D"/>
    <w:rsid w:val="009460C6"/>
    <w:rsid w:val="00950784"/>
    <w:rsid w:val="0097748C"/>
    <w:rsid w:val="009A73BF"/>
    <w:rsid w:val="009B0874"/>
    <w:rsid w:val="009B28E2"/>
    <w:rsid w:val="009B5C5D"/>
    <w:rsid w:val="009C68FF"/>
    <w:rsid w:val="009D4681"/>
    <w:rsid w:val="009F3A7C"/>
    <w:rsid w:val="009F3B03"/>
    <w:rsid w:val="00A03A12"/>
    <w:rsid w:val="00A03A48"/>
    <w:rsid w:val="00A04429"/>
    <w:rsid w:val="00A1071B"/>
    <w:rsid w:val="00A200A8"/>
    <w:rsid w:val="00A2418D"/>
    <w:rsid w:val="00A641AC"/>
    <w:rsid w:val="00A65BC9"/>
    <w:rsid w:val="00A82ADF"/>
    <w:rsid w:val="00A83CCB"/>
    <w:rsid w:val="00AB58B5"/>
    <w:rsid w:val="00AD3966"/>
    <w:rsid w:val="00AE2CB5"/>
    <w:rsid w:val="00AE3147"/>
    <w:rsid w:val="00AF0E2A"/>
    <w:rsid w:val="00AF0F70"/>
    <w:rsid w:val="00B01491"/>
    <w:rsid w:val="00B0651C"/>
    <w:rsid w:val="00B13D51"/>
    <w:rsid w:val="00B201B2"/>
    <w:rsid w:val="00B32D55"/>
    <w:rsid w:val="00B41EEF"/>
    <w:rsid w:val="00B5739C"/>
    <w:rsid w:val="00B7078F"/>
    <w:rsid w:val="00B81FA5"/>
    <w:rsid w:val="00B8607E"/>
    <w:rsid w:val="00B87E92"/>
    <w:rsid w:val="00BA3E12"/>
    <w:rsid w:val="00BA695C"/>
    <w:rsid w:val="00BA7C44"/>
    <w:rsid w:val="00BB1169"/>
    <w:rsid w:val="00BB4AA5"/>
    <w:rsid w:val="00BB76BA"/>
    <w:rsid w:val="00BC0454"/>
    <w:rsid w:val="00BC091E"/>
    <w:rsid w:val="00BC2AED"/>
    <w:rsid w:val="00BC506E"/>
    <w:rsid w:val="00BE108E"/>
    <w:rsid w:val="00BE7447"/>
    <w:rsid w:val="00C037BD"/>
    <w:rsid w:val="00C1715A"/>
    <w:rsid w:val="00C25B71"/>
    <w:rsid w:val="00C33CB9"/>
    <w:rsid w:val="00C411DB"/>
    <w:rsid w:val="00C47885"/>
    <w:rsid w:val="00C47D2F"/>
    <w:rsid w:val="00C6183B"/>
    <w:rsid w:val="00C70058"/>
    <w:rsid w:val="00C84164"/>
    <w:rsid w:val="00C8487A"/>
    <w:rsid w:val="00C94952"/>
    <w:rsid w:val="00CA2150"/>
    <w:rsid w:val="00CB5291"/>
    <w:rsid w:val="00CC46FC"/>
    <w:rsid w:val="00CD49B6"/>
    <w:rsid w:val="00CD71A3"/>
    <w:rsid w:val="00CE34D6"/>
    <w:rsid w:val="00CF1FC2"/>
    <w:rsid w:val="00D002E6"/>
    <w:rsid w:val="00D27B3E"/>
    <w:rsid w:val="00D30047"/>
    <w:rsid w:val="00D44CDB"/>
    <w:rsid w:val="00D64B82"/>
    <w:rsid w:val="00D664C0"/>
    <w:rsid w:val="00D91895"/>
    <w:rsid w:val="00DA4872"/>
    <w:rsid w:val="00DE724F"/>
    <w:rsid w:val="00DF23C5"/>
    <w:rsid w:val="00E0228E"/>
    <w:rsid w:val="00E25686"/>
    <w:rsid w:val="00E3242E"/>
    <w:rsid w:val="00E44BC8"/>
    <w:rsid w:val="00E605D1"/>
    <w:rsid w:val="00E65D09"/>
    <w:rsid w:val="00E858AD"/>
    <w:rsid w:val="00E9269B"/>
    <w:rsid w:val="00EA7D5A"/>
    <w:rsid w:val="00EB0132"/>
    <w:rsid w:val="00ED1770"/>
    <w:rsid w:val="00EE7833"/>
    <w:rsid w:val="00EF1DC7"/>
    <w:rsid w:val="00EF6E8D"/>
    <w:rsid w:val="00F25EDC"/>
    <w:rsid w:val="00F420E8"/>
    <w:rsid w:val="00F472A3"/>
    <w:rsid w:val="00F61C8B"/>
    <w:rsid w:val="00F70824"/>
    <w:rsid w:val="00F70886"/>
    <w:rsid w:val="00F93A14"/>
    <w:rsid w:val="00FA58D8"/>
    <w:rsid w:val="00FA673C"/>
    <w:rsid w:val="00FF11A7"/>
    <w:rsid w:val="439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character" w:styleId="5">
    <w:name w:val="Hyperlink"/>
    <w:qFormat/>
    <w:uiPriority w:val="0"/>
    <w:rPr>
      <w:color w:val="555555"/>
      <w:u w:val="none"/>
    </w:rPr>
  </w:style>
  <w:style w:type="paragraph" w:customStyle="1" w:styleId="6">
    <w:name w:val="样式2"/>
    <w:basedOn w:val="1"/>
    <w:uiPriority w:val="0"/>
    <w:pPr>
      <w:adjustRightInd w:val="0"/>
      <w:snapToGrid w:val="0"/>
      <w:spacing w:line="590" w:lineRule="exact"/>
      <w:ind w:firstLine="640"/>
    </w:pPr>
    <w:rPr>
      <w:rFonts w:ascii="方正楷体_GBK" w:hAnsi="Times New Roman" w:eastAsia="方正楷体_GBK" w:cs="Times New Roman"/>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4</Pages>
  <Words>1843</Words>
  <Characters>1863</Characters>
  <Lines>16</Lines>
  <Paragraphs>4</Paragraphs>
  <TotalTime>153</TotalTime>
  <ScaleCrop>false</ScaleCrop>
  <LinksUpToDate>false</LinksUpToDate>
  <CharactersWithSpaces>2186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2020-03-12T00:49:00Z</dcterms:created>
  <dc:creator>李晨</dc:creator>
  <cp:lastModifiedBy>阿静静静吖</cp:lastModifiedBy>
  <dcterms:modified xsi:type="dcterms:W3CDTF">2022-09-20T01:51:51Z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0D65488D86B94A45ABA5FB4E24976EAA</vt:lpwstr>
  </property>
</Properties>
</file>