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431" w:tblpY="123"/>
        <w:tblOverlap w:val="never"/>
        <w:tblW w:w="14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328"/>
        <w:gridCol w:w="1854"/>
        <w:gridCol w:w="955"/>
        <w:gridCol w:w="1705"/>
        <w:gridCol w:w="710"/>
        <w:gridCol w:w="1516"/>
        <w:gridCol w:w="3380"/>
        <w:gridCol w:w="864"/>
        <w:gridCol w:w="1130"/>
        <w:gridCol w:w="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tcPr>
          <w:p>
            <w:pPr>
              <w:jc w:val="center"/>
              <w:rPr>
                <w:rFonts w:hint="eastAsia" w:ascii="仿宋" w:hAnsi="仿宋" w:eastAsia="仿宋" w:cs="仿宋"/>
                <w:b/>
                <w:bCs/>
                <w:vertAlign w:val="baseline"/>
                <w:lang w:val="en-US" w:eastAsia="zh-CN"/>
              </w:rPr>
            </w:pPr>
          </w:p>
          <w:p>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序号</w:t>
            </w:r>
          </w:p>
        </w:tc>
        <w:tc>
          <w:tcPr>
            <w:tcW w:w="1328" w:type="dxa"/>
          </w:tcPr>
          <w:p>
            <w:pPr>
              <w:jc w:val="center"/>
              <w:rPr>
                <w:rFonts w:hint="eastAsia" w:ascii="仿宋" w:hAnsi="仿宋" w:eastAsia="仿宋" w:cs="仿宋"/>
                <w:b/>
                <w:bCs/>
                <w:vertAlign w:val="baseline"/>
                <w:lang w:eastAsia="zh-CN"/>
              </w:rPr>
            </w:pPr>
          </w:p>
          <w:p>
            <w:pPr>
              <w:jc w:val="both"/>
              <w:rPr>
                <w:rFonts w:hint="eastAsia" w:ascii="仿宋" w:hAnsi="仿宋" w:eastAsia="仿宋" w:cs="仿宋"/>
                <w:b/>
                <w:bCs/>
                <w:vertAlign w:val="baseline"/>
                <w:lang w:eastAsia="zh-CN"/>
              </w:rPr>
            </w:pPr>
            <w:r>
              <w:rPr>
                <w:rFonts w:hint="eastAsia" w:ascii="仿宋" w:hAnsi="仿宋" w:eastAsia="仿宋" w:cs="仿宋"/>
                <w:b/>
                <w:bCs/>
                <w:vertAlign w:val="baseline"/>
                <w:lang w:eastAsia="zh-CN"/>
              </w:rPr>
              <w:t>行政处罚决定书文号</w:t>
            </w:r>
          </w:p>
        </w:tc>
        <w:tc>
          <w:tcPr>
            <w:tcW w:w="1854" w:type="dxa"/>
          </w:tcPr>
          <w:p>
            <w:pPr>
              <w:jc w:val="center"/>
              <w:rPr>
                <w:rFonts w:hint="eastAsia" w:ascii="仿宋" w:hAnsi="仿宋" w:eastAsia="仿宋" w:cs="仿宋"/>
                <w:b/>
                <w:bCs/>
                <w:vertAlign w:val="baseline"/>
                <w:lang w:eastAsia="zh-CN"/>
              </w:rPr>
            </w:pPr>
          </w:p>
          <w:p>
            <w:pPr>
              <w:jc w:val="center"/>
              <w:rPr>
                <w:rFonts w:hint="eastAsia" w:ascii="仿宋" w:hAnsi="仿宋" w:eastAsia="仿宋" w:cs="仿宋"/>
                <w:b/>
                <w:bCs/>
                <w:vertAlign w:val="baseline"/>
                <w:lang w:eastAsia="zh-CN"/>
              </w:rPr>
            </w:pPr>
          </w:p>
          <w:p>
            <w:pPr>
              <w:jc w:val="center"/>
              <w:rPr>
                <w:rFonts w:hint="eastAsia" w:ascii="仿宋" w:hAnsi="仿宋" w:eastAsia="仿宋" w:cs="仿宋"/>
                <w:b/>
                <w:bCs/>
                <w:vertAlign w:val="baseline"/>
                <w:lang w:eastAsia="zh-CN"/>
              </w:rPr>
            </w:pPr>
            <w:r>
              <w:rPr>
                <w:rFonts w:hint="eastAsia" w:ascii="仿宋" w:hAnsi="仿宋" w:eastAsia="仿宋" w:cs="仿宋"/>
                <w:b/>
                <w:bCs/>
                <w:vertAlign w:val="baseline"/>
                <w:lang w:eastAsia="zh-CN"/>
              </w:rPr>
              <w:t>案件名称</w:t>
            </w:r>
          </w:p>
        </w:tc>
        <w:tc>
          <w:tcPr>
            <w:tcW w:w="955" w:type="dxa"/>
            <w:vAlign w:val="top"/>
          </w:tcPr>
          <w:p>
            <w:pPr>
              <w:jc w:val="center"/>
              <w:rPr>
                <w:rFonts w:hint="eastAsia" w:ascii="仿宋" w:hAnsi="仿宋" w:eastAsia="仿宋" w:cs="仿宋"/>
                <w:b/>
                <w:bCs/>
                <w:vertAlign w:val="baseline"/>
                <w:lang w:eastAsia="zh-CN"/>
              </w:rPr>
            </w:pPr>
          </w:p>
          <w:p>
            <w:pPr>
              <w:jc w:val="center"/>
              <w:rPr>
                <w:rFonts w:hint="eastAsia" w:ascii="仿宋" w:hAnsi="仿宋" w:eastAsia="仿宋" w:cs="仿宋"/>
                <w:b/>
                <w:bCs/>
                <w:kern w:val="2"/>
                <w:sz w:val="21"/>
                <w:szCs w:val="22"/>
                <w:vertAlign w:val="baseline"/>
                <w:lang w:val="en-US" w:eastAsia="zh-CN" w:bidi="ar-SA"/>
              </w:rPr>
            </w:pPr>
            <w:r>
              <w:rPr>
                <w:rFonts w:hint="eastAsia" w:ascii="仿宋" w:hAnsi="仿宋" w:eastAsia="仿宋" w:cs="仿宋"/>
                <w:b/>
                <w:bCs/>
                <w:vertAlign w:val="baseline"/>
                <w:lang w:eastAsia="zh-CN"/>
              </w:rPr>
              <w:t>违法企业名称或违法自然人姓名</w:t>
            </w:r>
          </w:p>
        </w:tc>
        <w:tc>
          <w:tcPr>
            <w:tcW w:w="1705" w:type="dxa"/>
            <w:vAlign w:val="top"/>
          </w:tcPr>
          <w:p>
            <w:pPr>
              <w:jc w:val="center"/>
              <w:rPr>
                <w:rFonts w:hint="eastAsia" w:ascii="仿宋" w:hAnsi="仿宋" w:eastAsia="仿宋" w:cs="仿宋"/>
                <w:b/>
                <w:bCs/>
                <w:vertAlign w:val="baseline"/>
                <w:lang w:eastAsia="zh-CN"/>
              </w:rPr>
            </w:pPr>
          </w:p>
          <w:p>
            <w:pPr>
              <w:jc w:val="center"/>
              <w:rPr>
                <w:rFonts w:hint="eastAsia" w:ascii="仿宋" w:hAnsi="仿宋" w:eastAsia="仿宋" w:cs="仿宋"/>
                <w:b/>
                <w:bCs/>
                <w:vertAlign w:val="baseline"/>
                <w:lang w:eastAsia="zh-CN"/>
              </w:rPr>
            </w:pPr>
          </w:p>
          <w:p>
            <w:pPr>
              <w:jc w:val="center"/>
              <w:rPr>
                <w:rFonts w:hint="eastAsia" w:ascii="仿宋" w:hAnsi="仿宋" w:eastAsia="仿宋" w:cs="仿宋"/>
                <w:b/>
                <w:bCs/>
                <w:kern w:val="2"/>
                <w:sz w:val="21"/>
                <w:szCs w:val="22"/>
                <w:vertAlign w:val="baseline"/>
                <w:lang w:val="en-US" w:eastAsia="zh-CN" w:bidi="ar-SA"/>
              </w:rPr>
            </w:pPr>
            <w:r>
              <w:rPr>
                <w:rFonts w:hint="eastAsia" w:ascii="仿宋" w:hAnsi="仿宋" w:eastAsia="仿宋" w:cs="仿宋"/>
                <w:b/>
                <w:bCs/>
                <w:vertAlign w:val="baseline"/>
                <w:lang w:eastAsia="zh-CN"/>
              </w:rPr>
              <w:t>违法企业组织机构代码</w:t>
            </w:r>
          </w:p>
        </w:tc>
        <w:tc>
          <w:tcPr>
            <w:tcW w:w="710" w:type="dxa"/>
            <w:vAlign w:val="top"/>
          </w:tcPr>
          <w:p>
            <w:pPr>
              <w:jc w:val="center"/>
              <w:rPr>
                <w:rFonts w:hint="eastAsia" w:ascii="仿宋" w:hAnsi="仿宋" w:eastAsia="仿宋" w:cs="仿宋"/>
                <w:b/>
                <w:bCs/>
                <w:vertAlign w:val="baseline"/>
                <w:lang w:eastAsia="zh-CN"/>
              </w:rPr>
            </w:pPr>
          </w:p>
          <w:p>
            <w:pPr>
              <w:jc w:val="center"/>
              <w:rPr>
                <w:rFonts w:hint="eastAsia" w:ascii="仿宋" w:hAnsi="仿宋" w:eastAsia="仿宋" w:cs="仿宋"/>
                <w:b/>
                <w:bCs/>
                <w:vertAlign w:val="baseline"/>
                <w:lang w:eastAsia="zh-CN"/>
              </w:rPr>
            </w:pPr>
            <w:r>
              <w:rPr>
                <w:rFonts w:hint="eastAsia" w:ascii="仿宋" w:hAnsi="仿宋" w:eastAsia="仿宋" w:cs="仿宋"/>
                <w:b/>
                <w:bCs/>
                <w:vertAlign w:val="baseline"/>
                <w:lang w:eastAsia="zh-CN"/>
              </w:rPr>
              <w:t>法定代表人姓名</w:t>
            </w:r>
          </w:p>
          <w:p>
            <w:pPr>
              <w:jc w:val="center"/>
              <w:rPr>
                <w:rFonts w:hint="eastAsia" w:ascii="仿宋" w:hAnsi="仿宋" w:eastAsia="仿宋" w:cs="仿宋"/>
                <w:b/>
                <w:bCs/>
                <w:vertAlign w:val="baseline"/>
                <w:lang w:val="en-US" w:eastAsia="zh-CN"/>
              </w:rPr>
            </w:pPr>
          </w:p>
        </w:tc>
        <w:tc>
          <w:tcPr>
            <w:tcW w:w="1516" w:type="dxa"/>
            <w:vAlign w:val="top"/>
          </w:tcPr>
          <w:p>
            <w:pPr>
              <w:jc w:val="center"/>
              <w:rPr>
                <w:rFonts w:hint="eastAsia" w:ascii="仿宋" w:hAnsi="仿宋" w:eastAsia="仿宋" w:cs="仿宋"/>
                <w:b/>
                <w:bCs/>
                <w:vertAlign w:val="baseline"/>
                <w:lang w:eastAsia="zh-CN"/>
              </w:rPr>
            </w:pPr>
          </w:p>
          <w:p>
            <w:pPr>
              <w:jc w:val="center"/>
              <w:rPr>
                <w:rFonts w:hint="eastAsia" w:ascii="仿宋" w:hAnsi="仿宋" w:eastAsia="仿宋" w:cs="仿宋"/>
                <w:b/>
                <w:bCs/>
                <w:kern w:val="2"/>
                <w:sz w:val="21"/>
                <w:szCs w:val="22"/>
                <w:vertAlign w:val="baseline"/>
                <w:lang w:val="en-US" w:eastAsia="zh-CN" w:bidi="ar-SA"/>
              </w:rPr>
            </w:pPr>
            <w:r>
              <w:rPr>
                <w:rFonts w:hint="eastAsia" w:ascii="仿宋" w:hAnsi="仿宋" w:eastAsia="仿宋" w:cs="仿宋"/>
                <w:b/>
                <w:bCs/>
                <w:vertAlign w:val="baseline"/>
                <w:lang w:eastAsia="zh-CN"/>
              </w:rPr>
              <w:t>主要违法事实</w:t>
            </w:r>
          </w:p>
        </w:tc>
        <w:tc>
          <w:tcPr>
            <w:tcW w:w="3380" w:type="dxa"/>
            <w:vAlign w:val="top"/>
          </w:tcPr>
          <w:p>
            <w:pPr>
              <w:jc w:val="center"/>
              <w:rPr>
                <w:rFonts w:hint="eastAsia" w:ascii="仿宋" w:hAnsi="仿宋" w:eastAsia="仿宋" w:cs="仿宋"/>
                <w:b/>
                <w:bCs/>
                <w:vertAlign w:val="baseline"/>
                <w:lang w:eastAsia="zh-CN"/>
              </w:rPr>
            </w:pPr>
          </w:p>
          <w:p>
            <w:pPr>
              <w:jc w:val="center"/>
              <w:rPr>
                <w:rFonts w:hint="eastAsia" w:ascii="仿宋" w:hAnsi="仿宋" w:eastAsia="仿宋" w:cs="仿宋"/>
                <w:b/>
                <w:bCs/>
                <w:vertAlign w:val="baseline"/>
                <w:lang w:eastAsia="zh-CN"/>
              </w:rPr>
            </w:pPr>
          </w:p>
          <w:p>
            <w:pPr>
              <w:jc w:val="center"/>
              <w:rPr>
                <w:rFonts w:hint="eastAsia" w:ascii="仿宋" w:hAnsi="仿宋" w:eastAsia="仿宋" w:cs="仿宋"/>
                <w:b/>
                <w:bCs/>
                <w:kern w:val="2"/>
                <w:sz w:val="21"/>
                <w:szCs w:val="22"/>
                <w:vertAlign w:val="baseline"/>
                <w:lang w:val="en-US" w:eastAsia="zh-CN" w:bidi="ar-SA"/>
              </w:rPr>
            </w:pPr>
            <w:r>
              <w:rPr>
                <w:rFonts w:hint="eastAsia" w:ascii="仿宋" w:hAnsi="仿宋" w:eastAsia="仿宋" w:cs="仿宋"/>
                <w:b/>
                <w:bCs/>
                <w:vertAlign w:val="baseline"/>
                <w:lang w:eastAsia="zh-CN"/>
              </w:rPr>
              <w:t>行政处罚的种类和依据</w:t>
            </w:r>
          </w:p>
        </w:tc>
        <w:tc>
          <w:tcPr>
            <w:tcW w:w="864" w:type="dxa"/>
            <w:vAlign w:val="top"/>
          </w:tcPr>
          <w:p>
            <w:pPr>
              <w:jc w:val="center"/>
              <w:rPr>
                <w:rFonts w:hint="eastAsia" w:ascii="仿宋" w:hAnsi="仿宋" w:eastAsia="仿宋" w:cs="仿宋"/>
                <w:b/>
                <w:bCs/>
                <w:vertAlign w:val="baseline"/>
                <w:lang w:eastAsia="zh-CN"/>
              </w:rPr>
            </w:pPr>
          </w:p>
          <w:p>
            <w:pPr>
              <w:jc w:val="center"/>
              <w:rPr>
                <w:rFonts w:hint="eastAsia" w:ascii="仿宋" w:hAnsi="仿宋" w:eastAsia="仿宋" w:cs="仿宋"/>
                <w:b/>
                <w:bCs/>
                <w:kern w:val="2"/>
                <w:sz w:val="21"/>
                <w:szCs w:val="22"/>
                <w:vertAlign w:val="baseline"/>
                <w:lang w:val="en-US" w:eastAsia="zh-CN" w:bidi="ar-SA"/>
              </w:rPr>
            </w:pPr>
            <w:r>
              <w:rPr>
                <w:rFonts w:hint="eastAsia" w:ascii="仿宋" w:hAnsi="仿宋" w:eastAsia="仿宋" w:cs="仿宋"/>
                <w:b/>
                <w:bCs/>
                <w:vertAlign w:val="baseline"/>
                <w:lang w:eastAsia="zh-CN"/>
              </w:rPr>
              <w:t>行政处罚的履行方式和期限</w:t>
            </w:r>
          </w:p>
        </w:tc>
        <w:tc>
          <w:tcPr>
            <w:tcW w:w="1130" w:type="dxa"/>
          </w:tcPr>
          <w:p>
            <w:pPr>
              <w:jc w:val="center"/>
              <w:rPr>
                <w:rFonts w:hint="eastAsia" w:ascii="仿宋" w:hAnsi="仿宋" w:eastAsia="仿宋" w:cs="仿宋"/>
                <w:b/>
                <w:bCs/>
                <w:vertAlign w:val="baseline"/>
                <w:lang w:eastAsia="zh-CN"/>
              </w:rPr>
            </w:pPr>
          </w:p>
          <w:p>
            <w:pPr>
              <w:jc w:val="center"/>
              <w:rPr>
                <w:rFonts w:hint="eastAsia" w:ascii="仿宋" w:hAnsi="仿宋" w:eastAsia="仿宋" w:cs="仿宋"/>
                <w:b/>
                <w:bCs/>
                <w:vertAlign w:val="baseline"/>
                <w:lang w:eastAsia="zh-CN"/>
              </w:rPr>
            </w:pPr>
            <w:r>
              <w:rPr>
                <w:rFonts w:hint="eastAsia" w:ascii="仿宋" w:hAnsi="仿宋" w:eastAsia="仿宋" w:cs="仿宋"/>
                <w:b/>
                <w:bCs/>
                <w:vertAlign w:val="baseline"/>
                <w:lang w:eastAsia="zh-CN"/>
              </w:rPr>
              <w:t>做出处罚的机关名称和日期</w:t>
            </w:r>
          </w:p>
        </w:tc>
        <w:tc>
          <w:tcPr>
            <w:tcW w:w="432" w:type="dxa"/>
          </w:tcPr>
          <w:p>
            <w:pPr>
              <w:jc w:val="center"/>
              <w:rPr>
                <w:rFonts w:hint="eastAsia" w:ascii="仿宋" w:hAnsi="仿宋" w:eastAsia="仿宋" w:cs="仿宋"/>
                <w:b/>
                <w:bCs/>
                <w:vertAlign w:val="baseline"/>
                <w:lang w:eastAsia="zh-CN"/>
              </w:rPr>
            </w:pPr>
          </w:p>
          <w:p>
            <w:pPr>
              <w:jc w:val="center"/>
              <w:rPr>
                <w:rFonts w:hint="eastAsia" w:ascii="仿宋" w:hAnsi="仿宋" w:eastAsia="仿宋" w:cs="仿宋"/>
                <w:b/>
                <w:bCs/>
                <w:vertAlign w:val="baseline"/>
                <w:lang w:eastAsia="zh-CN"/>
              </w:rPr>
            </w:pPr>
            <w:r>
              <w:rPr>
                <w:rFonts w:hint="eastAsia" w:ascii="仿宋" w:hAnsi="仿宋" w:eastAsia="仿宋" w:cs="仿宋"/>
                <w:b/>
                <w:bCs/>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tcPr>
          <w:p>
            <w:pPr>
              <w:rPr>
                <w:rFonts w:hint="eastAsia" w:ascii="仿宋" w:hAnsi="仿宋" w:eastAsia="仿宋" w:cs="仿宋"/>
                <w:color w:val="000000" w:themeColor="text1"/>
                <w:sz w:val="21"/>
                <w:szCs w:val="21"/>
                <w:vertAlign w:val="baseline"/>
                <w:lang w:val="en-US" w:eastAsia="zh-CN"/>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1</w:t>
            </w:r>
          </w:p>
        </w:tc>
        <w:tc>
          <w:tcPr>
            <w:tcW w:w="1328"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靖卫公罚〔2024〕22号</w:t>
            </w:r>
          </w:p>
        </w:tc>
        <w:tc>
          <w:tcPr>
            <w:tcW w:w="1854"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靖边县名艺造型屋安排未获得有效健康合格证明的从业人员从事直接为顾客服务工作案</w:t>
            </w:r>
          </w:p>
        </w:tc>
        <w:tc>
          <w:tcPr>
            <w:tcW w:w="955"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让小会</w:t>
            </w:r>
          </w:p>
        </w:tc>
        <w:tc>
          <w:tcPr>
            <w:tcW w:w="1705"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92610824MA703FCL59</w:t>
            </w:r>
          </w:p>
        </w:tc>
        <w:tc>
          <w:tcPr>
            <w:tcW w:w="71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1516"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靖边县名艺造型屋安排未获得有效健康合格证明的从业人员从事直接为顾客服务工作</w:t>
            </w:r>
          </w:p>
        </w:tc>
        <w:tc>
          <w:tcPr>
            <w:tcW w:w="338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《公共场所卫生管理条例》第十四条第一款第（二）项；《公共场所卫生管理条例实施细则》第三十八条</w:t>
            </w:r>
          </w:p>
        </w:tc>
        <w:tc>
          <w:tcPr>
            <w:tcW w:w="864"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完全履行</w:t>
            </w:r>
          </w:p>
        </w:tc>
        <w:tc>
          <w:tcPr>
            <w:tcW w:w="113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靖边县卫生健康局</w:t>
            </w:r>
            <w:r>
              <w:rPr>
                <w:rFonts w:hint="eastAsia" w:ascii="仿宋" w:hAnsi="仿宋" w:eastAsia="仿宋" w:cs="仿宋"/>
                <w:b w:val="0"/>
                <w:bCs w:val="0"/>
                <w:color w:val="000000" w:themeColor="text1"/>
                <w:sz w:val="21"/>
                <w:szCs w:val="21"/>
                <w14:textFill>
                  <w14:solidFill>
                    <w14:schemeClr w14:val="tx1"/>
                  </w14:solidFill>
                </w14:textFill>
              </w:rPr>
              <w:t>2024-04-18</w:t>
            </w:r>
          </w:p>
        </w:tc>
        <w:tc>
          <w:tcPr>
            <w:tcW w:w="432" w:type="dxa"/>
          </w:tcPr>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tcPr>
          <w:p>
            <w:pPr>
              <w:rPr>
                <w:rFonts w:hint="eastAsia" w:ascii="仿宋" w:hAnsi="仿宋" w:eastAsia="仿宋" w:cs="仿宋"/>
                <w:color w:val="000000" w:themeColor="text1"/>
                <w:sz w:val="21"/>
                <w:szCs w:val="21"/>
                <w:vertAlign w:val="baseline"/>
                <w:lang w:val="en-US" w:eastAsia="zh-CN"/>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2</w:t>
            </w:r>
          </w:p>
        </w:tc>
        <w:tc>
          <w:tcPr>
            <w:tcW w:w="1328"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靖卫公罚〔2024〕21号</w:t>
            </w:r>
          </w:p>
        </w:tc>
        <w:tc>
          <w:tcPr>
            <w:tcW w:w="1854"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靖边县鑫都商务宾馆安排未获得有效健康合格证明的从业人员从事直接为顾客服务工作案</w:t>
            </w:r>
          </w:p>
        </w:tc>
        <w:tc>
          <w:tcPr>
            <w:tcW w:w="955"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常买红</w:t>
            </w:r>
          </w:p>
        </w:tc>
        <w:tc>
          <w:tcPr>
            <w:tcW w:w="1705"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92610824MA704DKK8J</w:t>
            </w:r>
          </w:p>
        </w:tc>
        <w:tc>
          <w:tcPr>
            <w:tcW w:w="71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1516"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靖边县鑫都商务宾馆安排未获得有效健康合格证明的从业人员从事直接为顾客服务工作</w:t>
            </w:r>
          </w:p>
        </w:tc>
        <w:tc>
          <w:tcPr>
            <w:tcW w:w="338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《公共场所卫生管理条例》第十四条第一款第（二）项；《公共场所卫生管理条例实施细则》第三十八条</w:t>
            </w:r>
          </w:p>
        </w:tc>
        <w:tc>
          <w:tcPr>
            <w:tcW w:w="864"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完全履行</w:t>
            </w:r>
          </w:p>
        </w:tc>
        <w:tc>
          <w:tcPr>
            <w:tcW w:w="113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靖边县卫生健康局</w:t>
            </w:r>
            <w:r>
              <w:rPr>
                <w:rFonts w:hint="eastAsia" w:ascii="仿宋" w:hAnsi="仿宋" w:eastAsia="仿宋" w:cs="仿宋"/>
                <w:b w:val="0"/>
                <w:bCs w:val="0"/>
                <w:color w:val="000000" w:themeColor="text1"/>
                <w:sz w:val="21"/>
                <w:szCs w:val="21"/>
                <w14:textFill>
                  <w14:solidFill>
                    <w14:schemeClr w14:val="tx1"/>
                  </w14:solidFill>
                </w14:textFill>
              </w:rPr>
              <w:t>2024-04-12</w:t>
            </w:r>
          </w:p>
        </w:tc>
        <w:tc>
          <w:tcPr>
            <w:tcW w:w="432" w:type="dxa"/>
          </w:tcPr>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tcPr>
          <w:p>
            <w:pPr>
              <w:rPr>
                <w:rFonts w:hint="eastAsia" w:ascii="仿宋" w:hAnsi="仿宋" w:eastAsia="仿宋" w:cs="仿宋"/>
                <w:color w:val="000000" w:themeColor="text1"/>
                <w:sz w:val="21"/>
                <w:szCs w:val="21"/>
                <w:vertAlign w:val="baseline"/>
                <w:lang w:val="en-US" w:eastAsia="zh-CN"/>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3</w:t>
            </w:r>
          </w:p>
        </w:tc>
        <w:tc>
          <w:tcPr>
            <w:tcW w:w="1328"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靖卫公罚〔2024〕24号</w:t>
            </w:r>
          </w:p>
        </w:tc>
        <w:tc>
          <w:tcPr>
            <w:tcW w:w="1854"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靖边县唯度大酒店未依法取得公共场所卫生许可证擅自营业案</w:t>
            </w:r>
          </w:p>
        </w:tc>
        <w:tc>
          <w:tcPr>
            <w:tcW w:w="955"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刘晓琴</w:t>
            </w:r>
          </w:p>
        </w:tc>
        <w:tc>
          <w:tcPr>
            <w:tcW w:w="1705"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92610824MA70B49B8N</w:t>
            </w:r>
          </w:p>
        </w:tc>
        <w:tc>
          <w:tcPr>
            <w:tcW w:w="71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1516"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靖边县唯度大酒店未依法取得公共场所卫生许可证擅自营业</w:t>
            </w:r>
          </w:p>
        </w:tc>
        <w:tc>
          <w:tcPr>
            <w:tcW w:w="338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《公共场所卫生管理条例》第十四条第一款第四项；《公共场所卫生管理条例实施细则》第三十五条第一款</w:t>
            </w:r>
          </w:p>
        </w:tc>
        <w:tc>
          <w:tcPr>
            <w:tcW w:w="864"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完全履行</w:t>
            </w:r>
          </w:p>
        </w:tc>
        <w:tc>
          <w:tcPr>
            <w:tcW w:w="113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靖边县卫生健康局</w:t>
            </w:r>
            <w:r>
              <w:rPr>
                <w:rFonts w:hint="eastAsia" w:ascii="仿宋" w:hAnsi="仿宋" w:eastAsia="仿宋" w:cs="仿宋"/>
                <w:b w:val="0"/>
                <w:bCs w:val="0"/>
                <w:color w:val="000000" w:themeColor="text1"/>
                <w:sz w:val="21"/>
                <w:szCs w:val="21"/>
                <w14:textFill>
                  <w14:solidFill>
                    <w14:schemeClr w14:val="tx1"/>
                  </w14:solidFill>
                </w14:textFill>
              </w:rPr>
              <w:t>2024-04-12</w:t>
            </w:r>
          </w:p>
        </w:tc>
        <w:tc>
          <w:tcPr>
            <w:tcW w:w="432" w:type="dxa"/>
          </w:tcPr>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tcPr>
          <w:p>
            <w:pPr>
              <w:rPr>
                <w:rFonts w:hint="eastAsia" w:ascii="仿宋" w:hAnsi="仿宋" w:eastAsia="仿宋" w:cs="仿宋"/>
                <w:color w:val="000000" w:themeColor="text1"/>
                <w:sz w:val="21"/>
                <w:szCs w:val="21"/>
                <w:vertAlign w:val="baseline"/>
                <w:lang w:val="en-US" w:eastAsia="zh-CN"/>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4</w:t>
            </w:r>
          </w:p>
        </w:tc>
        <w:tc>
          <w:tcPr>
            <w:tcW w:w="1328"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靖卫公罚〔2024〕23号</w:t>
            </w:r>
          </w:p>
        </w:tc>
        <w:tc>
          <w:tcPr>
            <w:tcW w:w="1854"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靖边县悦虞美人美容店未依法取得公共场所卫生许可证擅自营业</w:t>
            </w:r>
          </w:p>
        </w:tc>
        <w:tc>
          <w:tcPr>
            <w:tcW w:w="955"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杨海燕</w:t>
            </w:r>
          </w:p>
        </w:tc>
        <w:tc>
          <w:tcPr>
            <w:tcW w:w="1705"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92610824MA70FRK45M</w:t>
            </w:r>
          </w:p>
        </w:tc>
        <w:tc>
          <w:tcPr>
            <w:tcW w:w="71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1516"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靖边县悦虞美人美容店未依法取得公共场所卫生许可证擅自营业</w:t>
            </w:r>
          </w:p>
        </w:tc>
        <w:tc>
          <w:tcPr>
            <w:tcW w:w="338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《公共场所卫生管理条例》第十四条第一款第四项；《公共场所卫生管理条例实施细则》第三十五条第一款</w:t>
            </w:r>
          </w:p>
        </w:tc>
        <w:tc>
          <w:tcPr>
            <w:tcW w:w="864"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完全履行</w:t>
            </w:r>
          </w:p>
        </w:tc>
        <w:tc>
          <w:tcPr>
            <w:tcW w:w="113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靖边县卫生健康局</w:t>
            </w:r>
            <w:r>
              <w:rPr>
                <w:rFonts w:hint="eastAsia" w:ascii="仿宋" w:hAnsi="仿宋" w:eastAsia="仿宋" w:cs="仿宋"/>
                <w:b w:val="0"/>
                <w:bCs w:val="0"/>
                <w:color w:val="000000" w:themeColor="text1"/>
                <w:sz w:val="21"/>
                <w:szCs w:val="21"/>
                <w14:textFill>
                  <w14:solidFill>
                    <w14:schemeClr w14:val="tx1"/>
                  </w14:solidFill>
                </w14:textFill>
              </w:rPr>
              <w:t>2024-04-12</w:t>
            </w:r>
          </w:p>
        </w:tc>
        <w:tc>
          <w:tcPr>
            <w:tcW w:w="432" w:type="dxa"/>
          </w:tcPr>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tcPr>
          <w:p>
            <w:pPr>
              <w:rPr>
                <w:rFonts w:hint="eastAsia" w:ascii="仿宋" w:hAnsi="仿宋" w:eastAsia="仿宋" w:cs="仿宋"/>
                <w:color w:val="000000" w:themeColor="text1"/>
                <w:sz w:val="21"/>
                <w:szCs w:val="21"/>
                <w:vertAlign w:val="baseline"/>
                <w:lang w:val="en-US" w:eastAsia="zh-CN"/>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5</w:t>
            </w:r>
          </w:p>
        </w:tc>
        <w:tc>
          <w:tcPr>
            <w:tcW w:w="1328"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靖卫公罚〔2024〕26号</w:t>
            </w:r>
          </w:p>
        </w:tc>
        <w:tc>
          <w:tcPr>
            <w:tcW w:w="1854"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靖边县微秀派音乐汇中心安排未获得有效健康合格证明的从业人员从事直接为顾客服务工作案</w:t>
            </w:r>
          </w:p>
        </w:tc>
        <w:tc>
          <w:tcPr>
            <w:tcW w:w="955"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高军</w:t>
            </w:r>
          </w:p>
        </w:tc>
        <w:tc>
          <w:tcPr>
            <w:tcW w:w="1705"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92610824MA70A876XC</w:t>
            </w:r>
          </w:p>
        </w:tc>
        <w:tc>
          <w:tcPr>
            <w:tcW w:w="71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1516"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靖边县微秀派音乐汇中心安排未获得有效健康合格证明的从业人员从事直接为顾客服务工作</w:t>
            </w:r>
          </w:p>
        </w:tc>
        <w:tc>
          <w:tcPr>
            <w:tcW w:w="338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《公共场所卫生管理条例》第十四条第一款第（二）项；《公共场所卫生管理条例实施细则》第三十八条</w:t>
            </w:r>
          </w:p>
        </w:tc>
        <w:tc>
          <w:tcPr>
            <w:tcW w:w="864"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完全履行</w:t>
            </w:r>
          </w:p>
        </w:tc>
        <w:tc>
          <w:tcPr>
            <w:tcW w:w="113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靖边县卫生健康局</w:t>
            </w:r>
            <w:r>
              <w:rPr>
                <w:rFonts w:hint="eastAsia" w:ascii="仿宋" w:hAnsi="仿宋" w:eastAsia="仿宋" w:cs="仿宋"/>
                <w:b w:val="0"/>
                <w:bCs w:val="0"/>
                <w:color w:val="000000" w:themeColor="text1"/>
                <w:sz w:val="21"/>
                <w:szCs w:val="21"/>
                <w14:textFill>
                  <w14:solidFill>
                    <w14:schemeClr w14:val="tx1"/>
                  </w14:solidFill>
                </w14:textFill>
              </w:rPr>
              <w:t>2024-04-15</w:t>
            </w:r>
          </w:p>
        </w:tc>
        <w:tc>
          <w:tcPr>
            <w:tcW w:w="432" w:type="dxa"/>
          </w:tcPr>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tcPr>
          <w:p>
            <w:pPr>
              <w:rPr>
                <w:rFonts w:hint="eastAsia" w:ascii="仿宋" w:hAnsi="仿宋" w:eastAsia="仿宋" w:cs="仿宋"/>
                <w:color w:val="000000" w:themeColor="text1"/>
                <w:sz w:val="21"/>
                <w:szCs w:val="21"/>
                <w:vertAlign w:val="baseline"/>
                <w:lang w:val="en-US" w:eastAsia="zh-CN"/>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6</w:t>
            </w:r>
            <w:bookmarkStart w:id="0" w:name="_GoBack"/>
            <w:bookmarkEnd w:id="0"/>
          </w:p>
        </w:tc>
        <w:tc>
          <w:tcPr>
            <w:tcW w:w="1328"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靖卫公罚〔2024〕28号</w:t>
            </w:r>
          </w:p>
        </w:tc>
        <w:tc>
          <w:tcPr>
            <w:tcW w:w="1854"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靖边县宋宇刘腾美发店未依法取得公共场所卫生许可证擅自营业案</w:t>
            </w:r>
          </w:p>
        </w:tc>
        <w:tc>
          <w:tcPr>
            <w:tcW w:w="955"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刘腾腾</w:t>
            </w:r>
          </w:p>
        </w:tc>
        <w:tc>
          <w:tcPr>
            <w:tcW w:w="1705"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92610824MA70E3AAXC</w:t>
            </w:r>
          </w:p>
        </w:tc>
        <w:tc>
          <w:tcPr>
            <w:tcW w:w="71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1516"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靖边县宋宇刘腾美发店未依法取得公共场所卫生许可证擅自营业</w:t>
            </w:r>
          </w:p>
        </w:tc>
        <w:tc>
          <w:tcPr>
            <w:tcW w:w="338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《公共场所卫生管理条例》第十四条第一款第四项；《公共场所卫生管理条例实施细则》第三十五条第一款</w:t>
            </w:r>
          </w:p>
        </w:tc>
        <w:tc>
          <w:tcPr>
            <w:tcW w:w="864"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完全履行</w:t>
            </w:r>
          </w:p>
        </w:tc>
        <w:tc>
          <w:tcPr>
            <w:tcW w:w="113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t>靖边县卫生健康局</w:t>
            </w:r>
            <w:r>
              <w:rPr>
                <w:rFonts w:hint="eastAsia" w:ascii="仿宋" w:hAnsi="仿宋" w:eastAsia="仿宋" w:cs="仿宋"/>
                <w:b w:val="0"/>
                <w:bCs w:val="0"/>
                <w:color w:val="000000" w:themeColor="text1"/>
                <w:sz w:val="21"/>
                <w:szCs w:val="21"/>
                <w14:textFill>
                  <w14:solidFill>
                    <w14:schemeClr w14:val="tx1"/>
                  </w14:solidFill>
                </w14:textFill>
              </w:rPr>
              <w:t>2024-04-18</w:t>
            </w:r>
          </w:p>
        </w:tc>
        <w:tc>
          <w:tcPr>
            <w:tcW w:w="432" w:type="dxa"/>
          </w:tcPr>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tcPr>
          <w:p>
            <w:pPr>
              <w:rPr>
                <w:rFonts w:hint="eastAsia" w:ascii="仿宋" w:hAnsi="仿宋" w:eastAsia="仿宋" w:cs="仿宋"/>
                <w:color w:val="000000" w:themeColor="text1"/>
                <w:sz w:val="21"/>
                <w:szCs w:val="21"/>
                <w:vertAlign w:val="baseline"/>
                <w:lang w:eastAsia="zh-CN"/>
                <w14:textFill>
                  <w14:solidFill>
                    <w14:schemeClr w14:val="tx1"/>
                  </w14:solidFill>
                </w14:textFill>
              </w:rPr>
            </w:pPr>
          </w:p>
        </w:tc>
        <w:tc>
          <w:tcPr>
            <w:tcW w:w="1328" w:type="dxa"/>
            <w:vAlign w:val="top"/>
          </w:tcPr>
          <w:p>
            <w:pP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1854"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955"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1705"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71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1516"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338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864"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113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432" w:type="dxa"/>
          </w:tcPr>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tcPr>
          <w:p>
            <w:pPr>
              <w:rPr>
                <w:rFonts w:hint="eastAsia" w:ascii="仿宋" w:hAnsi="仿宋" w:eastAsia="仿宋" w:cs="仿宋"/>
                <w:color w:val="000000" w:themeColor="text1"/>
                <w:sz w:val="21"/>
                <w:szCs w:val="21"/>
                <w:vertAlign w:val="baseline"/>
                <w:lang w:eastAsia="zh-CN"/>
                <w14:textFill>
                  <w14:solidFill>
                    <w14:schemeClr w14:val="tx1"/>
                  </w14:solidFill>
                </w14:textFill>
              </w:rPr>
            </w:pPr>
          </w:p>
        </w:tc>
        <w:tc>
          <w:tcPr>
            <w:tcW w:w="1328" w:type="dxa"/>
            <w:vAlign w:val="top"/>
          </w:tcPr>
          <w:p>
            <w:pP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p>
            <w:pPr>
              <w:rPr>
                <w:rFonts w:hint="eastAsia" w:ascii="仿宋" w:hAnsi="仿宋" w:eastAsia="仿宋" w:cs="仿宋"/>
                <w:b w:val="0"/>
                <w:bCs w:val="0"/>
                <w:color w:val="000000" w:themeColor="text1"/>
                <w:sz w:val="21"/>
                <w:szCs w:val="21"/>
                <w:vertAlign w:val="baseline"/>
                <w:lang w:eastAsia="zh-CN"/>
                <w14:textFill>
                  <w14:solidFill>
                    <w14:schemeClr w14:val="tx1"/>
                  </w14:solidFill>
                </w14:textFill>
              </w:rPr>
            </w:pPr>
          </w:p>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1854"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955"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1705"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71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1516"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338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864"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1130" w:type="dxa"/>
            <w:vAlign w:val="top"/>
          </w:tcPr>
          <w:p>
            <w:pP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p>
        </w:tc>
        <w:tc>
          <w:tcPr>
            <w:tcW w:w="432" w:type="dxa"/>
          </w:tcPr>
          <w:p>
            <w:pPr>
              <w:rPr>
                <w:rFonts w:hint="eastAsia"/>
                <w:vertAlign w:val="baseline"/>
                <w:lang w:eastAsia="zh-CN"/>
              </w:rPr>
            </w:pPr>
          </w:p>
        </w:tc>
      </w:tr>
    </w:tbl>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Mjk5YzExYzYxZmNhZjUzNTJmYjFiZDA3NjFjNjQifQ=="/>
  </w:docVars>
  <w:rsids>
    <w:rsidRoot w:val="6A8D53C9"/>
    <w:rsid w:val="05CB2942"/>
    <w:rsid w:val="0F217A14"/>
    <w:rsid w:val="16AB0B1A"/>
    <w:rsid w:val="265D6EC3"/>
    <w:rsid w:val="2B2828E1"/>
    <w:rsid w:val="3FB11C66"/>
    <w:rsid w:val="40CC2811"/>
    <w:rsid w:val="42E228E4"/>
    <w:rsid w:val="472055BF"/>
    <w:rsid w:val="5B8F40AA"/>
    <w:rsid w:val="5E4A7AAA"/>
    <w:rsid w:val="66F5191B"/>
    <w:rsid w:val="6A8D53C9"/>
    <w:rsid w:val="6AF04B34"/>
    <w:rsid w:val="75BD4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itle"/>
    <w:basedOn w:val="1"/>
    <w:next w:val="3"/>
    <w:autoRedefine/>
    <w:qFormat/>
    <w:uiPriority w:val="0"/>
    <w:pPr>
      <w:widowControl w:val="0"/>
      <w:adjustRightInd/>
      <w:snapToGrid/>
      <w:spacing w:before="240" w:after="60"/>
      <w:jc w:val="center"/>
      <w:outlineLvl w:val="0"/>
    </w:pPr>
    <w:rPr>
      <w:rFonts w:ascii="Cambria" w:hAnsi="Cambria" w:eastAsia="宋体" w:cs="Times New Roman"/>
      <w:b/>
      <w:bCs/>
      <w:kern w:val="2"/>
      <w:sz w:val="32"/>
      <w:szCs w:val="32"/>
    </w:rPr>
  </w:style>
  <w:style w:type="paragraph" w:styleId="3">
    <w:name w:val="Body Text Indent"/>
    <w:basedOn w:val="1"/>
    <w:next w:val="1"/>
    <w:autoRedefine/>
    <w:unhideWhenUsed/>
    <w:qFormat/>
    <w:uiPriority w:val="99"/>
    <w:pPr>
      <w:spacing w:after="120"/>
      <w:ind w:left="420" w:leftChars="200"/>
    </w:p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2021-10-25T01:03:00Z</dcterms:created>
  <dc:creator>花溪</dc:creator>
  <cp:lastModifiedBy>dell</cp:lastModifiedBy>
  <cp:lastPrinted>2024-01-24T00:21:00Z</cp:lastPrinted>
  <dcterms:modified xsi:type="dcterms:W3CDTF">2024-05-16T05:11:30Z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FBCC5A0FF51B47B4BD5B03FA5D441E7F_13</vt:lpwstr>
  </property>
</Properties>
</file>