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靖边县“十四五”巩固拓展脱贫攻坚成果同乡村振兴有效衔接规划</w:t>
      </w:r>
    </w:p>
    <w:p/>
    <w:p/>
    <w:p/>
    <w:p/>
    <w:p/>
    <w:p/>
    <w:p/>
    <w:p/>
    <w:p/>
    <w:p/>
    <w:p/>
    <w:p/>
    <w:p/>
    <w:p/>
    <w:p/>
    <w:p/>
    <w:p/>
    <w:p/>
    <w:p/>
    <w:p/>
    <w:p/>
    <w:p/>
    <w:p>
      <w:pPr>
        <w:tabs>
          <w:tab w:val="left" w:pos="3308"/>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陕西·靖边</w:t>
      </w:r>
    </w:p>
    <w:p>
      <w:pPr>
        <w:tabs>
          <w:tab w:val="left" w:pos="3308"/>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月</w:t>
      </w:r>
      <w:bookmarkStart w:id="86" w:name="_GoBack"/>
      <w:bookmarkEnd w:id="86"/>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p>
    <w:sdt>
      <w:sdtPr>
        <w:rPr>
          <w:rFonts w:ascii="宋体" w:hAnsi="宋体" w:eastAsia="宋体"/>
        </w:rPr>
        <w:id w:val="147470953"/>
        <w:docPartObj>
          <w:docPartGallery w:val="Table of Contents"/>
          <w:docPartUnique/>
        </w:docPartObj>
      </w:sdtPr>
      <w:sdtEndPr>
        <w:rPr>
          <w:rFonts w:ascii="宋体" w:hAnsi="宋体" w:eastAsia="宋体"/>
          <w:b/>
        </w:rPr>
      </w:sdtEndPr>
      <w:sdtContent>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13"/>
            <w:tabs>
              <w:tab w:val="right" w:leader="dot" w:pos="8675"/>
            </w:tabs>
            <w:rPr>
              <w:sz w:val="32"/>
              <w:szCs w:val="32"/>
            </w:rPr>
          </w:pPr>
          <w:r>
            <w:fldChar w:fldCharType="begin"/>
          </w:r>
          <w:r>
            <w:instrText xml:space="preserve">TOC \o "1-3" \h \u </w:instrText>
          </w:r>
          <w:r>
            <w:fldChar w:fldCharType="separate"/>
          </w:r>
          <w:r>
            <w:fldChar w:fldCharType="begin"/>
          </w:r>
          <w:r>
            <w:instrText xml:space="preserve"> HYPERLINK \l "_Toc18657" </w:instrText>
          </w:r>
          <w:r>
            <w:fldChar w:fldCharType="separate"/>
          </w:r>
          <w:r>
            <w:rPr>
              <w:rFonts w:hint="eastAsia" w:ascii="黑体" w:hAnsi="黑体" w:eastAsia="黑体" w:cs="黑体"/>
              <w:sz w:val="32"/>
              <w:szCs w:val="32"/>
            </w:rPr>
            <w:t>前  言</w:t>
          </w:r>
          <w:r>
            <w:rPr>
              <w:sz w:val="32"/>
              <w:szCs w:val="32"/>
            </w:rPr>
            <w:tab/>
          </w:r>
          <w:r>
            <w:rPr>
              <w:sz w:val="32"/>
              <w:szCs w:val="32"/>
            </w:rPr>
            <w:fldChar w:fldCharType="begin"/>
          </w:r>
          <w:r>
            <w:rPr>
              <w:sz w:val="32"/>
              <w:szCs w:val="32"/>
            </w:rPr>
            <w:instrText xml:space="preserve"> PAGEREF _Toc18657 \h </w:instrText>
          </w:r>
          <w:r>
            <w:rPr>
              <w:sz w:val="32"/>
              <w:szCs w:val="32"/>
            </w:rPr>
            <w:fldChar w:fldCharType="separate"/>
          </w:r>
          <w:r>
            <w:rPr>
              <w:sz w:val="32"/>
              <w:szCs w:val="32"/>
            </w:rPr>
            <w:t>- 4 -</w:t>
          </w:r>
          <w:r>
            <w:rPr>
              <w:sz w:val="32"/>
              <w:szCs w:val="32"/>
            </w:rPr>
            <w:fldChar w:fldCharType="end"/>
          </w:r>
          <w:r>
            <w:rPr>
              <w:sz w:val="32"/>
              <w:szCs w:val="32"/>
            </w:rPr>
            <w:fldChar w:fldCharType="end"/>
          </w:r>
        </w:p>
        <w:p>
          <w:pPr>
            <w:pStyle w:val="13"/>
            <w:tabs>
              <w:tab w:val="right" w:leader="dot" w:pos="8675"/>
            </w:tabs>
            <w:rPr>
              <w:sz w:val="32"/>
              <w:szCs w:val="32"/>
            </w:rPr>
          </w:pPr>
          <w:r>
            <w:fldChar w:fldCharType="begin"/>
          </w:r>
          <w:r>
            <w:instrText xml:space="preserve"> HYPERLINK \l "_Toc30322" </w:instrText>
          </w:r>
          <w:r>
            <w:fldChar w:fldCharType="separate"/>
          </w:r>
          <w:r>
            <w:rPr>
              <w:rFonts w:hint="eastAsia" w:ascii="方正小标宋简体" w:hAnsi="方正小标宋简体" w:eastAsia="方正小标宋简体" w:cs="方正小标宋简体"/>
              <w:sz w:val="32"/>
              <w:szCs w:val="32"/>
            </w:rPr>
            <w:t>第一章 规划背景</w:t>
          </w:r>
          <w:r>
            <w:rPr>
              <w:sz w:val="32"/>
              <w:szCs w:val="32"/>
            </w:rPr>
            <w:tab/>
          </w:r>
          <w:r>
            <w:rPr>
              <w:sz w:val="32"/>
              <w:szCs w:val="32"/>
            </w:rPr>
            <w:fldChar w:fldCharType="begin"/>
          </w:r>
          <w:r>
            <w:rPr>
              <w:sz w:val="32"/>
              <w:szCs w:val="32"/>
            </w:rPr>
            <w:instrText xml:space="preserve"> PAGEREF _Toc30322 \h </w:instrText>
          </w:r>
          <w:r>
            <w:rPr>
              <w:sz w:val="32"/>
              <w:szCs w:val="32"/>
            </w:rPr>
            <w:fldChar w:fldCharType="separate"/>
          </w:r>
          <w:r>
            <w:rPr>
              <w:sz w:val="32"/>
              <w:szCs w:val="32"/>
            </w:rPr>
            <w:t>- 6 -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"_Toc834" </w:instrText>
          </w:r>
          <w:r>
            <w:fldChar w:fldCharType="separate"/>
          </w:r>
          <w:r>
            <w:rPr>
              <w:rFonts w:hint="eastAsia" w:ascii="黑体" w:hAnsi="黑体" w:eastAsia="黑体" w:cs="黑体"/>
              <w:sz w:val="32"/>
              <w:szCs w:val="32"/>
            </w:rPr>
            <w:t>第一节 脱贫攻坚成效</w:t>
          </w:r>
          <w:r>
            <w:rPr>
              <w:sz w:val="32"/>
              <w:szCs w:val="32"/>
            </w:rPr>
            <w:tab/>
          </w:r>
          <w:r>
            <w:rPr>
              <w:sz w:val="32"/>
              <w:szCs w:val="32"/>
            </w:rPr>
            <w:fldChar w:fldCharType="begin"/>
          </w:r>
          <w:r>
            <w:rPr>
              <w:sz w:val="32"/>
              <w:szCs w:val="32"/>
            </w:rPr>
            <w:instrText xml:space="preserve"> PAGEREF _Toc834 \h </w:instrText>
          </w:r>
          <w:r>
            <w:rPr>
              <w:sz w:val="32"/>
              <w:szCs w:val="32"/>
            </w:rPr>
            <w:fldChar w:fldCharType="separate"/>
          </w:r>
          <w:r>
            <w:rPr>
              <w:sz w:val="32"/>
              <w:szCs w:val="32"/>
            </w:rPr>
            <w:t>- 6 -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"_Toc23354" </w:instrText>
          </w:r>
          <w:r>
            <w:fldChar w:fldCharType="separate"/>
          </w:r>
          <w:r>
            <w:rPr>
              <w:rFonts w:hint="eastAsia" w:ascii="黑体" w:hAnsi="黑体" w:eastAsia="黑体" w:cs="黑体"/>
              <w:sz w:val="32"/>
              <w:szCs w:val="32"/>
            </w:rPr>
            <w:t>第二节 主要经验</w:t>
          </w:r>
          <w:r>
            <w:rPr>
              <w:sz w:val="32"/>
              <w:szCs w:val="32"/>
            </w:rPr>
            <w:tab/>
          </w:r>
          <w:r>
            <w:rPr>
              <w:sz w:val="32"/>
              <w:szCs w:val="32"/>
            </w:rPr>
            <w:fldChar w:fldCharType="begin"/>
          </w:r>
          <w:r>
            <w:rPr>
              <w:sz w:val="32"/>
              <w:szCs w:val="32"/>
            </w:rPr>
            <w:instrText xml:space="preserve"> PAGEREF _Toc23354 \h </w:instrText>
          </w:r>
          <w:r>
            <w:rPr>
              <w:sz w:val="32"/>
              <w:szCs w:val="32"/>
            </w:rPr>
            <w:fldChar w:fldCharType="separate"/>
          </w:r>
          <w:r>
            <w:rPr>
              <w:sz w:val="32"/>
              <w:szCs w:val="32"/>
            </w:rPr>
            <w:t>- 9 -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"_Toc23371" </w:instrText>
          </w:r>
          <w:r>
            <w:fldChar w:fldCharType="separate"/>
          </w:r>
          <w:r>
            <w:rPr>
              <w:rFonts w:hint="eastAsia" w:ascii="黑体" w:hAnsi="黑体" w:eastAsia="黑体" w:cs="黑体"/>
              <w:sz w:val="32"/>
              <w:szCs w:val="32"/>
            </w:rPr>
            <w:t>第三节 发展机遇</w:t>
          </w:r>
          <w:r>
            <w:rPr>
              <w:sz w:val="32"/>
              <w:szCs w:val="32"/>
            </w:rPr>
            <w:tab/>
          </w:r>
          <w:r>
            <w:rPr>
              <w:sz w:val="32"/>
              <w:szCs w:val="32"/>
            </w:rPr>
            <w:fldChar w:fldCharType="begin"/>
          </w:r>
          <w:r>
            <w:rPr>
              <w:sz w:val="32"/>
              <w:szCs w:val="32"/>
            </w:rPr>
            <w:instrText xml:space="preserve"> PAGEREF _Toc23371 \h </w:instrText>
          </w:r>
          <w:r>
            <w:rPr>
              <w:sz w:val="32"/>
              <w:szCs w:val="32"/>
            </w:rPr>
            <w:fldChar w:fldCharType="separate"/>
          </w:r>
          <w:r>
            <w:rPr>
              <w:sz w:val="32"/>
              <w:szCs w:val="32"/>
            </w:rPr>
            <w:t>- 11 -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"_Toc31128" </w:instrText>
          </w:r>
          <w:r>
            <w:fldChar w:fldCharType="separate"/>
          </w:r>
          <w:r>
            <w:rPr>
              <w:rFonts w:hint="eastAsia" w:ascii="黑体" w:hAnsi="黑体" w:eastAsia="黑体" w:cs="黑体"/>
              <w:sz w:val="32"/>
              <w:szCs w:val="32"/>
            </w:rPr>
            <w:t>第四节 面临挑战</w:t>
          </w:r>
          <w:r>
            <w:rPr>
              <w:sz w:val="32"/>
              <w:szCs w:val="32"/>
            </w:rPr>
            <w:tab/>
          </w:r>
          <w:r>
            <w:rPr>
              <w:sz w:val="32"/>
              <w:szCs w:val="32"/>
            </w:rPr>
            <w:fldChar w:fldCharType="begin"/>
          </w:r>
          <w:r>
            <w:rPr>
              <w:sz w:val="32"/>
              <w:szCs w:val="32"/>
            </w:rPr>
            <w:instrText xml:space="preserve"> PAGEREF _Toc31128 \h </w:instrText>
          </w:r>
          <w:r>
            <w:rPr>
              <w:sz w:val="32"/>
              <w:szCs w:val="32"/>
            </w:rPr>
            <w:fldChar w:fldCharType="separate"/>
          </w:r>
          <w:r>
            <w:rPr>
              <w:sz w:val="32"/>
              <w:szCs w:val="32"/>
            </w:rPr>
            <w:t>- 13 -</w:t>
          </w:r>
          <w:r>
            <w:rPr>
              <w:sz w:val="32"/>
              <w:szCs w:val="32"/>
            </w:rPr>
            <w:fldChar w:fldCharType="end"/>
          </w:r>
          <w:r>
            <w:rPr>
              <w:sz w:val="32"/>
              <w:szCs w:val="32"/>
            </w:rPr>
            <w:fldChar w:fldCharType="end"/>
          </w:r>
        </w:p>
        <w:p>
          <w:pPr>
            <w:pStyle w:val="13"/>
            <w:tabs>
              <w:tab w:val="right" w:leader="dot" w:pos="8675"/>
            </w:tabs>
            <w:rPr>
              <w:sz w:val="32"/>
              <w:szCs w:val="32"/>
            </w:rPr>
          </w:pPr>
          <w:r>
            <w:fldChar w:fldCharType="begin"/>
          </w:r>
          <w:r>
            <w:instrText xml:space="preserve"> HYPERLINK \l "_Toc24547" </w:instrText>
          </w:r>
          <w:r>
            <w:fldChar w:fldCharType="separate"/>
          </w:r>
          <w:r>
            <w:rPr>
              <w:rFonts w:hint="eastAsia" w:ascii="方正小标宋简体" w:hAnsi="方正小标宋简体" w:eastAsia="方正小标宋简体" w:cs="方正小标宋简体"/>
              <w:sz w:val="32"/>
              <w:szCs w:val="32"/>
            </w:rPr>
            <w:t>第二章 总体要求</w:t>
          </w:r>
          <w:r>
            <w:rPr>
              <w:sz w:val="32"/>
              <w:szCs w:val="32"/>
            </w:rPr>
            <w:tab/>
          </w:r>
          <w:r>
            <w:rPr>
              <w:sz w:val="32"/>
              <w:szCs w:val="32"/>
            </w:rPr>
            <w:fldChar w:fldCharType="begin"/>
          </w:r>
          <w:r>
            <w:rPr>
              <w:sz w:val="32"/>
              <w:szCs w:val="32"/>
            </w:rPr>
            <w:instrText xml:space="preserve"> PAGEREF _Toc24547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"_Toc21340" </w:instrText>
          </w:r>
          <w:r>
            <w:fldChar w:fldCharType="separate"/>
          </w:r>
          <w:r>
            <w:rPr>
              <w:rFonts w:hint="eastAsia" w:ascii="黑体" w:hAnsi="黑体" w:eastAsia="黑体" w:cs="黑体"/>
              <w:sz w:val="32"/>
              <w:szCs w:val="32"/>
            </w:rPr>
            <w:t>第一节 指导思想</w:t>
          </w:r>
          <w:r>
            <w:rPr>
              <w:sz w:val="32"/>
              <w:szCs w:val="32"/>
            </w:rPr>
            <w:tab/>
          </w:r>
          <w:r>
            <w:rPr>
              <w:sz w:val="32"/>
              <w:szCs w:val="32"/>
            </w:rPr>
            <w:fldChar w:fldCharType="begin"/>
          </w:r>
          <w:r>
            <w:rPr>
              <w:sz w:val="32"/>
              <w:szCs w:val="32"/>
            </w:rPr>
            <w:instrText xml:space="preserve"> PAGEREF _Toc21340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"_Toc2066" </w:instrText>
          </w:r>
          <w:r>
            <w:fldChar w:fldCharType="separate"/>
          </w:r>
          <w:r>
            <w:rPr>
              <w:rFonts w:hint="eastAsia" w:ascii="黑体" w:hAnsi="黑体" w:eastAsia="黑体" w:cs="黑体"/>
              <w:sz w:val="32"/>
              <w:szCs w:val="32"/>
            </w:rPr>
            <w:t>第二节 坚持原则</w:t>
          </w:r>
          <w:r>
            <w:rPr>
              <w:sz w:val="32"/>
              <w:szCs w:val="32"/>
            </w:rPr>
            <w:tab/>
          </w:r>
          <w:r>
            <w:rPr>
              <w:sz w:val="32"/>
              <w:szCs w:val="32"/>
            </w:rPr>
            <w:fldChar w:fldCharType="begin"/>
          </w:r>
          <w:r>
            <w:rPr>
              <w:sz w:val="32"/>
              <w:szCs w:val="32"/>
            </w:rPr>
            <w:instrText xml:space="preserve"> PAGEREF _Toc2066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"_Toc30210" </w:instrText>
          </w:r>
          <w:r>
            <w:fldChar w:fldCharType="separate"/>
          </w:r>
          <w:r>
            <w:rPr>
              <w:rFonts w:hint="eastAsia" w:ascii="黑体" w:hAnsi="黑体" w:eastAsia="黑体" w:cs="黑体"/>
              <w:sz w:val="32"/>
              <w:szCs w:val="32"/>
            </w:rPr>
            <w:t>第三节 发展目标</w:t>
          </w:r>
          <w:r>
            <w:rPr>
              <w:sz w:val="32"/>
              <w:szCs w:val="32"/>
            </w:rPr>
            <w:tab/>
          </w:r>
          <w:r>
            <w:rPr>
              <w:sz w:val="32"/>
              <w:szCs w:val="32"/>
            </w:rPr>
            <w:fldChar w:fldCharType="begin"/>
          </w:r>
          <w:r>
            <w:rPr>
              <w:sz w:val="32"/>
              <w:szCs w:val="32"/>
            </w:rPr>
            <w:instrText xml:space="preserve"> PAGEREF _Toc30210 \h </w:instrText>
          </w:r>
          <w:r>
            <w:rPr>
              <w:sz w:val="32"/>
              <w:szCs w:val="32"/>
            </w:rPr>
            <w:fldChar w:fldCharType="separate"/>
          </w:r>
          <w:r>
            <w:rPr>
              <w:sz w:val="32"/>
              <w:szCs w:val="32"/>
            </w:rPr>
            <w:t>- 17 -</w:t>
          </w:r>
          <w:r>
            <w:rPr>
              <w:sz w:val="32"/>
              <w:szCs w:val="32"/>
            </w:rPr>
            <w:fldChar w:fldCharType="end"/>
          </w:r>
          <w:r>
            <w:rPr>
              <w:sz w:val="32"/>
              <w:szCs w:val="32"/>
            </w:rPr>
            <w:fldChar w:fldCharType="end"/>
          </w:r>
        </w:p>
        <w:p>
          <w:pPr>
            <w:pStyle w:val="13"/>
            <w:tabs>
              <w:tab w:val="right" w:leader="dot" w:pos="8675"/>
            </w:tabs>
            <w:rPr>
              <w:sz w:val="32"/>
              <w:szCs w:val="32"/>
            </w:rPr>
          </w:pPr>
          <w:r>
            <w:fldChar w:fldCharType="begin"/>
          </w:r>
          <w:r>
            <w:instrText xml:space="preserve"> HYPERLINK \l "_Toc7085" </w:instrText>
          </w:r>
          <w:r>
            <w:fldChar w:fldCharType="separate"/>
          </w:r>
          <w:r>
            <w:rPr>
              <w:rFonts w:hint="eastAsia" w:ascii="方正小标宋简体" w:hAnsi="方正小标宋简体" w:eastAsia="方正小标宋简体" w:cs="方正小标宋简体"/>
              <w:kern w:val="0"/>
              <w:sz w:val="32"/>
              <w:szCs w:val="32"/>
            </w:rPr>
            <w:t>第三章 扎实巩固拓展脱贫攻坚成果</w:t>
          </w:r>
          <w:r>
            <w:rPr>
              <w:sz w:val="32"/>
              <w:szCs w:val="32"/>
            </w:rPr>
            <w:tab/>
          </w:r>
          <w:r>
            <w:rPr>
              <w:sz w:val="32"/>
              <w:szCs w:val="32"/>
            </w:rPr>
            <w:fldChar w:fldCharType="begin"/>
          </w:r>
          <w:r>
            <w:rPr>
              <w:sz w:val="32"/>
              <w:szCs w:val="32"/>
            </w:rPr>
            <w:instrText xml:space="preserve"> PAGEREF _Toc7085 \h </w:instrText>
          </w:r>
          <w:r>
            <w:rPr>
              <w:sz w:val="32"/>
              <w:szCs w:val="32"/>
            </w:rPr>
            <w:fldChar w:fldCharType="separate"/>
          </w:r>
          <w:r>
            <w:rPr>
              <w:sz w:val="32"/>
              <w:szCs w:val="32"/>
            </w:rPr>
            <w:t>- 21 -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"_Toc24870" </w:instrText>
          </w:r>
          <w:r>
            <w:fldChar w:fldCharType="separate"/>
          </w:r>
          <w:r>
            <w:rPr>
              <w:rFonts w:hint="eastAsia" w:ascii="黑体" w:hAnsi="黑体" w:eastAsia="黑体" w:cs="黑体"/>
              <w:sz w:val="32"/>
              <w:szCs w:val="32"/>
            </w:rPr>
            <w:t>第一节 保持帮扶政策总体稳定衔接</w:t>
          </w:r>
          <w:r>
            <w:rPr>
              <w:sz w:val="32"/>
              <w:szCs w:val="32"/>
            </w:rPr>
            <w:tab/>
          </w:r>
          <w:r>
            <w:rPr>
              <w:sz w:val="32"/>
              <w:szCs w:val="32"/>
            </w:rPr>
            <w:fldChar w:fldCharType="begin"/>
          </w:r>
          <w:r>
            <w:rPr>
              <w:sz w:val="32"/>
              <w:szCs w:val="32"/>
            </w:rPr>
            <w:instrText xml:space="preserve"> PAGEREF _Toc24870 \h </w:instrText>
          </w:r>
          <w:r>
            <w:rPr>
              <w:sz w:val="32"/>
              <w:szCs w:val="32"/>
            </w:rPr>
            <w:fldChar w:fldCharType="separate"/>
          </w:r>
          <w:r>
            <w:rPr>
              <w:sz w:val="32"/>
              <w:szCs w:val="32"/>
            </w:rPr>
            <w:t>- 21 -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"_Toc7805" </w:instrText>
          </w:r>
          <w:r>
            <w:fldChar w:fldCharType="separate"/>
          </w:r>
          <w:r>
            <w:rPr>
              <w:rFonts w:hint="eastAsia" w:ascii="黑体" w:hAnsi="黑体" w:eastAsia="黑体" w:cs="黑体"/>
              <w:sz w:val="32"/>
              <w:szCs w:val="32"/>
            </w:rPr>
            <w:t>第二节 健全防止返贫动态监测和帮扶机制</w:t>
          </w:r>
          <w:r>
            <w:rPr>
              <w:sz w:val="32"/>
              <w:szCs w:val="32"/>
            </w:rPr>
            <w:tab/>
          </w:r>
          <w:r>
            <w:rPr>
              <w:sz w:val="32"/>
              <w:szCs w:val="32"/>
            </w:rPr>
            <w:fldChar w:fldCharType="begin"/>
          </w:r>
          <w:r>
            <w:rPr>
              <w:sz w:val="32"/>
              <w:szCs w:val="32"/>
            </w:rPr>
            <w:instrText xml:space="preserve"> PAGEREF _Toc7805 \h </w:instrText>
          </w:r>
          <w:r>
            <w:rPr>
              <w:sz w:val="32"/>
              <w:szCs w:val="32"/>
            </w:rPr>
            <w:fldChar w:fldCharType="separate"/>
          </w:r>
          <w:r>
            <w:rPr>
              <w:sz w:val="32"/>
              <w:szCs w:val="32"/>
            </w:rPr>
            <w:t>- 23 -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"_Toc27046" </w:instrText>
          </w:r>
          <w:r>
            <w:fldChar w:fldCharType="separate"/>
          </w:r>
          <w:r>
            <w:rPr>
              <w:rFonts w:hint="eastAsia" w:ascii="黑体" w:hAnsi="黑体" w:eastAsia="黑体" w:cs="黑体"/>
              <w:sz w:val="32"/>
              <w:szCs w:val="32"/>
            </w:rPr>
            <w:t>第三节 巩固“两不愁三保障”和安全饮水成果</w:t>
          </w:r>
          <w:r>
            <w:rPr>
              <w:sz w:val="32"/>
              <w:szCs w:val="32"/>
            </w:rPr>
            <w:tab/>
          </w:r>
          <w:r>
            <w:rPr>
              <w:sz w:val="32"/>
              <w:szCs w:val="32"/>
            </w:rPr>
            <w:fldChar w:fldCharType="begin"/>
          </w:r>
          <w:r>
            <w:rPr>
              <w:sz w:val="32"/>
              <w:szCs w:val="32"/>
            </w:rPr>
            <w:instrText xml:space="preserve"> PAGEREF _Toc27046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"_Toc14670" </w:instrText>
          </w:r>
          <w:r>
            <w:fldChar w:fldCharType="separate"/>
          </w:r>
          <w:r>
            <w:rPr>
              <w:rFonts w:hint="eastAsia" w:ascii="黑体" w:hAnsi="黑体" w:eastAsia="黑体" w:cs="黑体"/>
              <w:sz w:val="32"/>
              <w:szCs w:val="32"/>
            </w:rPr>
            <w:t>第四节 加强扶贫项目资产管理和监督</w:t>
          </w:r>
          <w:r>
            <w:rPr>
              <w:sz w:val="32"/>
              <w:szCs w:val="32"/>
            </w:rPr>
            <w:tab/>
          </w:r>
          <w:r>
            <w:rPr>
              <w:sz w:val="32"/>
              <w:szCs w:val="32"/>
            </w:rPr>
            <w:fldChar w:fldCharType="begin"/>
          </w:r>
          <w:r>
            <w:rPr>
              <w:sz w:val="32"/>
              <w:szCs w:val="32"/>
            </w:rPr>
            <w:instrText xml:space="preserve"> PAGEREF _Toc14670 \h </w:instrText>
          </w:r>
          <w:r>
            <w:rPr>
              <w:sz w:val="32"/>
              <w:szCs w:val="32"/>
            </w:rPr>
            <w:fldChar w:fldCharType="separate"/>
          </w:r>
          <w:r>
            <w:rPr>
              <w:sz w:val="32"/>
              <w:szCs w:val="32"/>
            </w:rPr>
            <w:t>- 29 -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"_Toc18140" </w:instrText>
          </w:r>
          <w:r>
            <w:fldChar w:fldCharType="separate"/>
          </w:r>
          <w:r>
            <w:rPr>
              <w:rFonts w:hint="eastAsia" w:ascii="黑体" w:hAnsi="黑体" w:eastAsia="黑体" w:cs="黑体"/>
              <w:sz w:val="32"/>
              <w:szCs w:val="32"/>
            </w:rPr>
            <w:t>第五节 加强农村低收入人口常态化帮扶</w:t>
          </w:r>
          <w:r>
            <w:rPr>
              <w:sz w:val="32"/>
              <w:szCs w:val="32"/>
            </w:rPr>
            <w:tab/>
          </w:r>
          <w:r>
            <w:rPr>
              <w:sz w:val="32"/>
              <w:szCs w:val="32"/>
            </w:rPr>
            <w:fldChar w:fldCharType="begin"/>
          </w:r>
          <w:r>
            <w:rPr>
              <w:sz w:val="32"/>
              <w:szCs w:val="32"/>
            </w:rPr>
            <w:instrText xml:space="preserve"> PAGEREF _Toc18140 \h </w:instrText>
          </w:r>
          <w:r>
            <w:rPr>
              <w:sz w:val="32"/>
              <w:szCs w:val="32"/>
            </w:rPr>
            <w:fldChar w:fldCharType="separate"/>
          </w:r>
          <w:r>
            <w:rPr>
              <w:sz w:val="32"/>
              <w:szCs w:val="32"/>
            </w:rPr>
            <w:t>- 31 -</w:t>
          </w:r>
          <w:r>
            <w:rPr>
              <w:sz w:val="32"/>
              <w:szCs w:val="32"/>
            </w:rPr>
            <w:fldChar w:fldCharType="end"/>
          </w:r>
          <w:r>
            <w:rPr>
              <w:sz w:val="32"/>
              <w:szCs w:val="32"/>
            </w:rPr>
            <w:fldChar w:fldCharType="end"/>
          </w:r>
        </w:p>
        <w:p>
          <w:pPr>
            <w:pStyle w:val="13"/>
            <w:tabs>
              <w:tab w:val="right" w:leader="dot" w:pos="8675"/>
            </w:tabs>
            <w:rPr>
              <w:sz w:val="32"/>
              <w:szCs w:val="32"/>
            </w:rPr>
          </w:pPr>
          <w:r>
            <w:fldChar w:fldCharType="begin"/>
          </w:r>
          <w:r>
            <w:instrText xml:space="preserve"> HYPERLINK \l "_Toc14542" </w:instrText>
          </w:r>
          <w:r>
            <w:fldChar w:fldCharType="separate"/>
          </w:r>
          <w:r>
            <w:rPr>
              <w:rFonts w:hint="eastAsia" w:ascii="方正小标宋简体" w:hAnsi="方正小标宋简体" w:eastAsia="方正小标宋简体" w:cs="方正小标宋简体"/>
              <w:kern w:val="0"/>
              <w:sz w:val="32"/>
              <w:szCs w:val="32"/>
            </w:rPr>
            <w:t>第四章 有效拓展脱贫攻坚成效</w:t>
          </w:r>
          <w:r>
            <w:rPr>
              <w:sz w:val="32"/>
              <w:szCs w:val="32"/>
            </w:rPr>
            <w:tab/>
          </w:r>
          <w:r>
            <w:rPr>
              <w:sz w:val="32"/>
              <w:szCs w:val="32"/>
            </w:rPr>
            <w:fldChar w:fldCharType="begin"/>
          </w:r>
          <w:r>
            <w:rPr>
              <w:sz w:val="32"/>
              <w:szCs w:val="32"/>
            </w:rPr>
            <w:instrText xml:space="preserve"> PAGEREF _Toc14542 \h </w:instrText>
          </w:r>
          <w:r>
            <w:rPr>
              <w:sz w:val="32"/>
              <w:szCs w:val="32"/>
            </w:rPr>
            <w:fldChar w:fldCharType="separate"/>
          </w:r>
          <w:r>
            <w:rPr>
              <w:sz w:val="32"/>
              <w:szCs w:val="32"/>
            </w:rPr>
            <w:t>- 34 -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"_Toc8849" </w:instrText>
          </w:r>
          <w:r>
            <w:fldChar w:fldCharType="separate"/>
          </w:r>
          <w:r>
            <w:rPr>
              <w:rFonts w:hint="eastAsia" w:ascii="黑体" w:hAnsi="黑体" w:eastAsia="黑体" w:cs="黑体"/>
              <w:sz w:val="32"/>
              <w:szCs w:val="32"/>
            </w:rPr>
            <w:t>第一节 稳步推进镇村规划</w:t>
          </w:r>
          <w:r>
            <w:rPr>
              <w:sz w:val="32"/>
              <w:szCs w:val="32"/>
            </w:rPr>
            <w:tab/>
          </w:r>
          <w:r>
            <w:rPr>
              <w:sz w:val="32"/>
              <w:szCs w:val="32"/>
            </w:rPr>
            <w:fldChar w:fldCharType="begin"/>
          </w:r>
          <w:r>
            <w:rPr>
              <w:sz w:val="32"/>
              <w:szCs w:val="32"/>
            </w:rPr>
            <w:instrText xml:space="preserve"> PAGEREF _Toc8849 \h </w:instrText>
          </w:r>
          <w:r>
            <w:rPr>
              <w:sz w:val="32"/>
              <w:szCs w:val="32"/>
            </w:rPr>
            <w:fldChar w:fldCharType="separate"/>
          </w:r>
          <w:r>
            <w:rPr>
              <w:sz w:val="32"/>
              <w:szCs w:val="32"/>
            </w:rPr>
            <w:t>- 34 -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"_Toc14382" </w:instrText>
          </w:r>
          <w:r>
            <w:fldChar w:fldCharType="separate"/>
          </w:r>
          <w:r>
            <w:rPr>
              <w:rFonts w:hint="eastAsia" w:ascii="黑体" w:hAnsi="黑体" w:eastAsia="黑体" w:cs="黑体"/>
              <w:sz w:val="32"/>
              <w:szCs w:val="32"/>
            </w:rPr>
            <w:t>第二节 持续改善农村基础设施条件</w:t>
          </w:r>
          <w:r>
            <w:rPr>
              <w:sz w:val="32"/>
              <w:szCs w:val="32"/>
            </w:rPr>
            <w:tab/>
          </w:r>
          <w:r>
            <w:rPr>
              <w:sz w:val="32"/>
              <w:szCs w:val="32"/>
            </w:rPr>
            <w:fldChar w:fldCharType="begin"/>
          </w:r>
          <w:r>
            <w:rPr>
              <w:sz w:val="32"/>
              <w:szCs w:val="32"/>
            </w:rPr>
            <w:instrText xml:space="preserve"> PAGEREF _Toc14382 \h </w:instrText>
          </w:r>
          <w:r>
            <w:rPr>
              <w:sz w:val="32"/>
              <w:szCs w:val="32"/>
            </w:rPr>
            <w:fldChar w:fldCharType="separate"/>
          </w:r>
          <w:r>
            <w:rPr>
              <w:sz w:val="32"/>
              <w:szCs w:val="32"/>
            </w:rPr>
            <w:t>- 36 -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"_Toc2454" </w:instrText>
          </w:r>
          <w:r>
            <w:fldChar w:fldCharType="separate"/>
          </w:r>
          <w:r>
            <w:rPr>
              <w:rFonts w:hint="eastAsia" w:ascii="黑体" w:hAnsi="黑体" w:eastAsia="黑体" w:cs="黑体"/>
              <w:sz w:val="32"/>
              <w:szCs w:val="32"/>
            </w:rPr>
            <w:t>第三节 加快提升农村人居环境整治</w:t>
          </w:r>
          <w:r>
            <w:rPr>
              <w:sz w:val="32"/>
              <w:szCs w:val="32"/>
            </w:rPr>
            <w:tab/>
          </w:r>
          <w:r>
            <w:rPr>
              <w:sz w:val="32"/>
              <w:szCs w:val="32"/>
            </w:rPr>
            <w:fldChar w:fldCharType="begin"/>
          </w:r>
          <w:r>
            <w:rPr>
              <w:sz w:val="32"/>
              <w:szCs w:val="32"/>
            </w:rPr>
            <w:instrText xml:space="preserve"> PAGEREF _Toc2454 \h </w:instrText>
          </w:r>
          <w:r>
            <w:rPr>
              <w:sz w:val="32"/>
              <w:szCs w:val="32"/>
            </w:rPr>
            <w:fldChar w:fldCharType="separate"/>
          </w:r>
          <w:r>
            <w:rPr>
              <w:sz w:val="32"/>
              <w:szCs w:val="32"/>
            </w:rPr>
            <w:t>- 38 -</w:t>
          </w:r>
          <w:r>
            <w:rPr>
              <w:sz w:val="32"/>
              <w:szCs w:val="32"/>
            </w:rPr>
            <w:fldChar w:fldCharType="end"/>
          </w:r>
          <w:r>
            <w:rPr>
              <w:sz w:val="32"/>
              <w:szCs w:val="32"/>
            </w:rPr>
            <w:fldChar w:fldCharType="end"/>
          </w:r>
        </w:p>
        <w:p>
          <w:pPr>
            <w:widowControl/>
            <w:jc w:val="left"/>
          </w:pPr>
          <w:r>
            <w:br w:type="page"/>
          </w:r>
        </w:p>
        <w:p/>
        <w:p>
          <w:pPr>
            <w:pStyle w:val="14"/>
            <w:tabs>
              <w:tab w:val="right" w:leader="dot" w:pos="8675"/>
            </w:tabs>
            <w:ind w:left="394"/>
            <w:rPr>
              <w:sz w:val="32"/>
              <w:szCs w:val="32"/>
            </w:rPr>
          </w:pPr>
          <w:r>
            <w:fldChar w:fldCharType="begin"/>
          </w:r>
          <w:r>
            <w:instrText xml:space="preserve"> HYPERLINK \l "_Toc32211" </w:instrText>
          </w:r>
          <w:r>
            <w:fldChar w:fldCharType="separate"/>
          </w:r>
          <w:r>
            <w:rPr>
              <w:rFonts w:hint="eastAsia" w:ascii="黑体" w:hAnsi="黑体" w:eastAsia="黑体" w:cs="黑体"/>
              <w:sz w:val="32"/>
              <w:szCs w:val="32"/>
            </w:rPr>
            <w:t>第四节 促进脱贫人口和低收入人口稳定就业</w:t>
          </w:r>
          <w:r>
            <w:rPr>
              <w:sz w:val="32"/>
              <w:szCs w:val="32"/>
            </w:rPr>
            <w:tab/>
          </w:r>
          <w:r>
            <w:rPr>
              <w:sz w:val="32"/>
              <w:szCs w:val="32"/>
            </w:rPr>
            <w:fldChar w:fldCharType="begin"/>
          </w:r>
          <w:r>
            <w:rPr>
              <w:sz w:val="32"/>
              <w:szCs w:val="32"/>
            </w:rPr>
            <w:instrText xml:space="preserve"> PAGEREF _Toc32211 \h </w:instrText>
          </w:r>
          <w:r>
            <w:rPr>
              <w:sz w:val="32"/>
              <w:szCs w:val="32"/>
            </w:rPr>
            <w:fldChar w:fldCharType="separate"/>
          </w:r>
          <w:r>
            <w:rPr>
              <w:sz w:val="32"/>
              <w:szCs w:val="32"/>
            </w:rPr>
            <w:t>- 40 -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"_Toc18988" </w:instrText>
          </w:r>
          <w:r>
            <w:fldChar w:fldCharType="separate"/>
          </w:r>
          <w:r>
            <w:rPr>
              <w:rFonts w:hint="eastAsia" w:ascii="黑体" w:hAnsi="黑体" w:eastAsia="黑体" w:cs="黑体"/>
              <w:sz w:val="32"/>
              <w:szCs w:val="32"/>
            </w:rPr>
            <w:t>第五节 强化易地扶贫搬迁后续扶持工作</w:t>
          </w:r>
          <w:r>
            <w:rPr>
              <w:sz w:val="32"/>
              <w:szCs w:val="32"/>
            </w:rPr>
            <w:tab/>
          </w:r>
          <w:r>
            <w:rPr>
              <w:sz w:val="32"/>
              <w:szCs w:val="32"/>
            </w:rPr>
            <w:fldChar w:fldCharType="begin"/>
          </w:r>
          <w:r>
            <w:rPr>
              <w:sz w:val="32"/>
              <w:szCs w:val="32"/>
            </w:rPr>
            <w:instrText xml:space="preserve"> PAGEREF _Toc18988 \h </w:instrText>
          </w:r>
          <w:r>
            <w:rPr>
              <w:sz w:val="32"/>
              <w:szCs w:val="32"/>
            </w:rPr>
            <w:fldChar w:fldCharType="separate"/>
          </w:r>
          <w:r>
            <w:rPr>
              <w:sz w:val="32"/>
              <w:szCs w:val="32"/>
            </w:rPr>
            <w:t>- 41 -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"_Toc676" </w:instrText>
          </w:r>
          <w:r>
            <w:fldChar w:fldCharType="separate"/>
          </w:r>
          <w:r>
            <w:rPr>
              <w:rFonts w:hint="eastAsia" w:ascii="黑体" w:hAnsi="黑体" w:eastAsia="黑体" w:cs="黑体"/>
              <w:sz w:val="32"/>
              <w:szCs w:val="32"/>
            </w:rPr>
            <w:t>第六节 着力提升教育服务水平</w:t>
          </w:r>
          <w:r>
            <w:rPr>
              <w:sz w:val="32"/>
              <w:szCs w:val="32"/>
            </w:rPr>
            <w:tab/>
          </w:r>
          <w:r>
            <w:rPr>
              <w:sz w:val="32"/>
              <w:szCs w:val="32"/>
            </w:rPr>
            <w:fldChar w:fldCharType="begin"/>
          </w:r>
          <w:r>
            <w:rPr>
              <w:sz w:val="32"/>
              <w:szCs w:val="32"/>
            </w:rPr>
            <w:instrText xml:space="preserve"> PAGEREF _Toc676 \h </w:instrText>
          </w:r>
          <w:r>
            <w:rPr>
              <w:sz w:val="32"/>
              <w:szCs w:val="32"/>
            </w:rPr>
            <w:fldChar w:fldCharType="separate"/>
          </w:r>
          <w:r>
            <w:rPr>
              <w:sz w:val="32"/>
              <w:szCs w:val="32"/>
            </w:rPr>
            <w:t>- 49 -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"_Toc30367" </w:instrText>
          </w:r>
          <w:r>
            <w:fldChar w:fldCharType="separate"/>
          </w:r>
          <w:r>
            <w:rPr>
              <w:rFonts w:hint="eastAsia" w:ascii="黑体" w:hAnsi="黑体" w:eastAsia="黑体" w:cs="黑体"/>
              <w:sz w:val="32"/>
              <w:szCs w:val="32"/>
            </w:rPr>
            <w:t>第七节 增强基本医疗保障能力</w:t>
          </w:r>
          <w:r>
            <w:rPr>
              <w:sz w:val="32"/>
              <w:szCs w:val="32"/>
            </w:rPr>
            <w:tab/>
          </w:r>
          <w:r>
            <w:rPr>
              <w:sz w:val="32"/>
              <w:szCs w:val="32"/>
            </w:rPr>
            <w:fldChar w:fldCharType="begin"/>
          </w:r>
          <w:r>
            <w:rPr>
              <w:sz w:val="32"/>
              <w:szCs w:val="32"/>
            </w:rPr>
            <w:instrText xml:space="preserve"> PAGEREF _Toc30367 \h </w:instrText>
          </w:r>
          <w:r>
            <w:rPr>
              <w:sz w:val="32"/>
              <w:szCs w:val="32"/>
            </w:rPr>
            <w:fldChar w:fldCharType="separate"/>
          </w:r>
          <w:r>
            <w:rPr>
              <w:sz w:val="32"/>
              <w:szCs w:val="32"/>
            </w:rPr>
            <w:t>- 50 -</w:t>
          </w:r>
          <w:r>
            <w:rPr>
              <w:sz w:val="32"/>
              <w:szCs w:val="32"/>
            </w:rPr>
            <w:fldChar w:fldCharType="end"/>
          </w:r>
          <w:r>
            <w:rPr>
              <w:sz w:val="32"/>
              <w:szCs w:val="32"/>
            </w:rPr>
            <w:fldChar w:fldCharType="end"/>
          </w:r>
        </w:p>
        <w:p>
          <w:pPr>
            <w:pStyle w:val="14"/>
            <w:tabs>
              <w:tab w:val="right" w:leader="dot" w:pos="8675"/>
            </w:tabs>
            <w:ind w:left="394"/>
            <w:rPr>
              <w:sz w:val="32"/>
              <w:szCs w:val="32"/>
            </w:rPr>
          </w:pPr>
          <w:r>
            <w:rPr>
              <w:rFonts w:hint="eastAsia" w:ascii="黑体" w:hAnsi="黑体" w:eastAsia="黑体" w:cs="黑体"/>
              <w:sz w:val="32"/>
              <w:szCs w:val="32"/>
            </w:rPr>
            <w:t>第八节 推进农村社会保障一体化</w:t>
          </w:r>
          <w:r>
            <w:rPr>
              <w:sz w:val="32"/>
              <w:szCs w:val="32"/>
            </w:rPr>
            <w:tab/>
          </w:r>
          <w:r>
            <w:rPr>
              <w:sz w:val="32"/>
              <w:szCs w:val="32"/>
            </w:rPr>
            <w:fldChar w:fldCharType="begin"/>
          </w:r>
          <w:r>
            <w:rPr>
              <w:sz w:val="32"/>
              <w:szCs w:val="32"/>
            </w:rPr>
            <w:instrText xml:space="preserve"> PAGEREF _Toc30367 \h </w:instrText>
          </w:r>
          <w:r>
            <w:rPr>
              <w:sz w:val="32"/>
              <w:szCs w:val="32"/>
            </w:rPr>
            <w:fldChar w:fldCharType="separate"/>
          </w:r>
          <w:r>
            <w:rPr>
              <w:sz w:val="32"/>
              <w:szCs w:val="32"/>
            </w:rPr>
            <w:t>- 50 -</w:t>
          </w:r>
          <w:r>
            <w:rPr>
              <w:sz w:val="32"/>
              <w:szCs w:val="32"/>
            </w:rPr>
            <w:fldChar w:fldCharType="end"/>
          </w:r>
        </w:p>
        <w:p>
          <w:pPr>
            <w:pStyle w:val="14"/>
            <w:tabs>
              <w:tab w:val="right" w:leader="dot" w:pos="8675"/>
            </w:tabs>
            <w:ind w:left="394"/>
            <w:rPr>
              <w:sz w:val="32"/>
              <w:szCs w:val="32"/>
            </w:rPr>
          </w:pPr>
          <w:r>
            <w:rPr>
              <w:rFonts w:hint="eastAsia" w:ascii="黑体" w:hAnsi="黑体" w:eastAsia="黑体" w:cs="黑体"/>
              <w:sz w:val="32"/>
              <w:szCs w:val="32"/>
            </w:rPr>
            <w:t>第九节 提升金融服务水平</w:t>
          </w:r>
          <w:r>
            <w:rPr>
              <w:sz w:val="32"/>
              <w:szCs w:val="32"/>
            </w:rPr>
            <w:tab/>
          </w:r>
          <w:r>
            <w:rPr>
              <w:sz w:val="32"/>
              <w:szCs w:val="32"/>
            </w:rPr>
            <w:fldChar w:fldCharType="begin"/>
          </w:r>
          <w:r>
            <w:rPr>
              <w:sz w:val="32"/>
              <w:szCs w:val="32"/>
            </w:rPr>
            <w:instrText xml:space="preserve"> PAGEREF _Toc30367 \h </w:instrText>
          </w:r>
          <w:r>
            <w:rPr>
              <w:sz w:val="32"/>
              <w:szCs w:val="32"/>
            </w:rPr>
            <w:fldChar w:fldCharType="separate"/>
          </w:r>
          <w:r>
            <w:rPr>
              <w:sz w:val="32"/>
              <w:szCs w:val="32"/>
            </w:rPr>
            <w:t>- 50 -</w:t>
          </w:r>
          <w:r>
            <w:rPr>
              <w:sz w:val="32"/>
              <w:szCs w:val="32"/>
            </w:rPr>
            <w:fldChar w:fldCharType="end"/>
          </w:r>
        </w:p>
        <w:p>
          <w:pPr>
            <w:pStyle w:val="14"/>
            <w:tabs>
              <w:tab w:val="right" w:leader="dot" w:pos="8675"/>
            </w:tabs>
            <w:ind w:left="394"/>
            <w:rPr>
              <w:sz w:val="32"/>
              <w:szCs w:val="32"/>
            </w:rPr>
          </w:pPr>
          <w:r>
            <w:fldChar w:fldCharType="begin"/>
          </w:r>
          <w:r>
            <w:instrText xml:space="preserve"> HYPERLINK \l "_Toc8376" </w:instrText>
          </w:r>
          <w:r>
            <w:fldChar w:fldCharType="separate"/>
          </w:r>
          <w:r>
            <w:rPr>
              <w:rFonts w:hint="eastAsia" w:ascii="黑体" w:hAnsi="黑体" w:eastAsia="黑体" w:cs="黑体"/>
              <w:sz w:val="32"/>
              <w:szCs w:val="32"/>
            </w:rPr>
            <w:t>第十节 持续推进消费帮扶</w:t>
          </w:r>
          <w:r>
            <w:rPr>
              <w:sz w:val="32"/>
              <w:szCs w:val="32"/>
            </w:rPr>
            <w:tab/>
          </w:r>
          <w:r>
            <w:rPr>
              <w:sz w:val="32"/>
              <w:szCs w:val="32"/>
            </w:rPr>
            <w:fldChar w:fldCharType="begin"/>
          </w:r>
          <w:r>
            <w:rPr>
              <w:sz w:val="32"/>
              <w:szCs w:val="32"/>
            </w:rPr>
            <w:instrText xml:space="preserve"> PAGEREF _Toc8376 \h </w:instrText>
          </w:r>
          <w:r>
            <w:rPr>
              <w:sz w:val="32"/>
              <w:szCs w:val="32"/>
            </w:rPr>
            <w:fldChar w:fldCharType="separate"/>
          </w:r>
          <w:r>
            <w:rPr>
              <w:sz w:val="32"/>
              <w:szCs w:val="32"/>
            </w:rPr>
            <w:t>- 56 -</w:t>
          </w:r>
          <w:r>
            <w:rPr>
              <w:sz w:val="32"/>
              <w:szCs w:val="32"/>
            </w:rPr>
            <w:fldChar w:fldCharType="end"/>
          </w:r>
          <w:r>
            <w:rPr>
              <w:sz w:val="32"/>
              <w:szCs w:val="32"/>
            </w:rPr>
            <w:fldChar w:fldCharType="end"/>
          </w:r>
        </w:p>
        <w:p>
          <w:pPr>
            <w:pStyle w:val="13"/>
            <w:tabs>
              <w:tab w:val="right" w:leader="dot" w:pos="8675"/>
            </w:tabs>
            <w:rPr>
              <w:sz w:val="32"/>
              <w:szCs w:val="32"/>
            </w:rPr>
          </w:pPr>
          <w:r>
            <w:fldChar w:fldCharType="begin"/>
          </w:r>
          <w:r>
            <w:instrText xml:space="preserve"> HYPERLINK \l "_Toc3177" </w:instrText>
          </w:r>
          <w:r>
            <w:fldChar w:fldCharType="separate"/>
          </w:r>
          <w:r>
            <w:rPr>
              <w:rFonts w:hint="eastAsia" w:ascii="方正小标宋简体" w:hAnsi="方正小标宋简体" w:eastAsia="方正小标宋简体" w:cs="方正小标宋简体"/>
              <w:kern w:val="0"/>
              <w:sz w:val="32"/>
              <w:szCs w:val="32"/>
            </w:rPr>
            <w:t>第五章 全面推进乡村“五大振兴”</w:t>
          </w:r>
          <w:r>
            <w:rPr>
              <w:sz w:val="32"/>
              <w:szCs w:val="32"/>
            </w:rPr>
            <w:tab/>
          </w:r>
          <w:r>
            <w:rPr>
              <w:sz w:val="32"/>
              <w:szCs w:val="32"/>
            </w:rPr>
            <w:fldChar w:fldCharType="begin"/>
          </w:r>
          <w:r>
            <w:rPr>
              <w:sz w:val="32"/>
              <w:szCs w:val="32"/>
            </w:rPr>
            <w:instrText xml:space="preserve"> PAGEREF _Toc3177 \h </w:instrText>
          </w:r>
          <w:r>
            <w:rPr>
              <w:sz w:val="32"/>
              <w:szCs w:val="32"/>
            </w:rPr>
            <w:fldChar w:fldCharType="separate"/>
          </w:r>
          <w:r>
            <w:rPr>
              <w:sz w:val="32"/>
              <w:szCs w:val="32"/>
            </w:rPr>
            <w:t>- 59 -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"_Toc6172" </w:instrText>
          </w:r>
          <w:r>
            <w:fldChar w:fldCharType="separate"/>
          </w:r>
          <w:r>
            <w:rPr>
              <w:rFonts w:hint="eastAsia" w:ascii="黑体" w:hAnsi="黑体" w:eastAsia="黑体" w:cs="黑体"/>
              <w:sz w:val="32"/>
              <w:szCs w:val="32"/>
            </w:rPr>
            <w:t>第一节 产业振兴</w:t>
          </w:r>
          <w:r>
            <w:rPr>
              <w:sz w:val="32"/>
              <w:szCs w:val="32"/>
            </w:rPr>
            <w:tab/>
          </w:r>
          <w:r>
            <w:rPr>
              <w:sz w:val="32"/>
              <w:szCs w:val="32"/>
            </w:rPr>
            <w:fldChar w:fldCharType="begin"/>
          </w:r>
          <w:r>
            <w:rPr>
              <w:sz w:val="32"/>
              <w:szCs w:val="32"/>
            </w:rPr>
            <w:instrText xml:space="preserve"> PAGEREF _Toc6172 \h </w:instrText>
          </w:r>
          <w:r>
            <w:rPr>
              <w:sz w:val="32"/>
              <w:szCs w:val="32"/>
            </w:rPr>
            <w:fldChar w:fldCharType="separate"/>
          </w:r>
          <w:r>
            <w:rPr>
              <w:sz w:val="32"/>
              <w:szCs w:val="32"/>
            </w:rPr>
            <w:t>- 59 -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"_Toc4895" </w:instrText>
          </w:r>
          <w:r>
            <w:fldChar w:fldCharType="separate"/>
          </w:r>
          <w:r>
            <w:rPr>
              <w:rFonts w:hint="eastAsia" w:ascii="黑体" w:hAnsi="黑体" w:eastAsia="黑体" w:cs="黑体"/>
              <w:sz w:val="32"/>
              <w:szCs w:val="32"/>
            </w:rPr>
            <w:t>第二节 人才振兴</w:t>
          </w:r>
          <w:r>
            <w:rPr>
              <w:sz w:val="32"/>
              <w:szCs w:val="32"/>
            </w:rPr>
            <w:tab/>
          </w:r>
          <w:r>
            <w:rPr>
              <w:sz w:val="32"/>
              <w:szCs w:val="32"/>
            </w:rPr>
            <w:fldChar w:fldCharType="begin"/>
          </w:r>
          <w:r>
            <w:rPr>
              <w:sz w:val="32"/>
              <w:szCs w:val="32"/>
            </w:rPr>
            <w:instrText xml:space="preserve"> PAGEREF _Toc4895 \h </w:instrText>
          </w:r>
          <w:r>
            <w:rPr>
              <w:sz w:val="32"/>
              <w:szCs w:val="32"/>
            </w:rPr>
            <w:fldChar w:fldCharType="separate"/>
          </w:r>
          <w:r>
            <w:rPr>
              <w:sz w:val="32"/>
              <w:szCs w:val="32"/>
            </w:rPr>
            <w:t>- 78 -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"_Toc8243" </w:instrText>
          </w:r>
          <w:r>
            <w:fldChar w:fldCharType="separate"/>
          </w:r>
          <w:r>
            <w:rPr>
              <w:rFonts w:hint="eastAsia" w:ascii="黑体" w:hAnsi="黑体" w:eastAsia="黑体" w:cs="黑体"/>
              <w:sz w:val="32"/>
              <w:szCs w:val="32"/>
            </w:rPr>
            <w:t>第三节 文化振兴</w:t>
          </w:r>
          <w:r>
            <w:rPr>
              <w:sz w:val="32"/>
              <w:szCs w:val="32"/>
            </w:rPr>
            <w:tab/>
          </w:r>
          <w:r>
            <w:rPr>
              <w:sz w:val="32"/>
              <w:szCs w:val="32"/>
            </w:rPr>
            <w:fldChar w:fldCharType="begin"/>
          </w:r>
          <w:r>
            <w:rPr>
              <w:sz w:val="32"/>
              <w:szCs w:val="32"/>
            </w:rPr>
            <w:instrText xml:space="preserve"> PAGEREF _Toc8243 \h </w:instrText>
          </w:r>
          <w:r>
            <w:rPr>
              <w:sz w:val="32"/>
              <w:szCs w:val="32"/>
            </w:rPr>
            <w:fldChar w:fldCharType="separate"/>
          </w:r>
          <w:r>
            <w:rPr>
              <w:sz w:val="32"/>
              <w:szCs w:val="32"/>
            </w:rPr>
            <w:t>- 89 -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"_Toc13645" </w:instrText>
          </w:r>
          <w:r>
            <w:fldChar w:fldCharType="separate"/>
          </w:r>
          <w:r>
            <w:rPr>
              <w:rFonts w:hint="eastAsia" w:ascii="黑体" w:hAnsi="黑体" w:eastAsia="黑体" w:cs="黑体"/>
              <w:sz w:val="32"/>
              <w:szCs w:val="32"/>
            </w:rPr>
            <w:t>第四节 生态振兴</w:t>
          </w:r>
          <w:r>
            <w:rPr>
              <w:sz w:val="32"/>
              <w:szCs w:val="32"/>
            </w:rPr>
            <w:tab/>
          </w:r>
          <w:r>
            <w:rPr>
              <w:sz w:val="32"/>
              <w:szCs w:val="32"/>
            </w:rPr>
            <w:fldChar w:fldCharType="begin"/>
          </w:r>
          <w:r>
            <w:rPr>
              <w:sz w:val="32"/>
              <w:szCs w:val="32"/>
            </w:rPr>
            <w:instrText xml:space="preserve"> PAGEREF _Toc13645 \h </w:instrText>
          </w:r>
          <w:r>
            <w:rPr>
              <w:sz w:val="32"/>
              <w:szCs w:val="32"/>
            </w:rPr>
            <w:fldChar w:fldCharType="separate"/>
          </w:r>
          <w:r>
            <w:rPr>
              <w:sz w:val="32"/>
              <w:szCs w:val="32"/>
            </w:rPr>
            <w:t>- 95 -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"_Toc23790" </w:instrText>
          </w:r>
          <w:r>
            <w:fldChar w:fldCharType="separate"/>
          </w:r>
          <w:r>
            <w:rPr>
              <w:rFonts w:hint="eastAsia" w:ascii="黑体" w:hAnsi="黑体" w:eastAsia="黑体" w:cs="黑体"/>
              <w:sz w:val="32"/>
              <w:szCs w:val="32"/>
            </w:rPr>
            <w:t>第五节 组织振兴</w:t>
          </w:r>
          <w:r>
            <w:rPr>
              <w:sz w:val="32"/>
              <w:szCs w:val="32"/>
            </w:rPr>
            <w:tab/>
          </w:r>
          <w:r>
            <w:rPr>
              <w:sz w:val="32"/>
              <w:szCs w:val="32"/>
            </w:rPr>
            <w:fldChar w:fldCharType="begin"/>
          </w:r>
          <w:r>
            <w:rPr>
              <w:sz w:val="32"/>
              <w:szCs w:val="32"/>
            </w:rPr>
            <w:instrText xml:space="preserve"> PAGEREF _Toc23790 \h </w:instrText>
          </w:r>
          <w:r>
            <w:rPr>
              <w:sz w:val="32"/>
              <w:szCs w:val="32"/>
            </w:rPr>
            <w:fldChar w:fldCharType="separate"/>
          </w:r>
          <w:r>
            <w:rPr>
              <w:sz w:val="32"/>
              <w:szCs w:val="32"/>
            </w:rPr>
            <w:t>- 95 -</w:t>
          </w:r>
          <w:r>
            <w:rPr>
              <w:sz w:val="32"/>
              <w:szCs w:val="32"/>
            </w:rPr>
            <w:fldChar w:fldCharType="end"/>
          </w:r>
          <w:r>
            <w:rPr>
              <w:sz w:val="32"/>
              <w:szCs w:val="32"/>
            </w:rPr>
            <w:fldChar w:fldCharType="end"/>
          </w:r>
        </w:p>
        <w:p>
          <w:pPr>
            <w:pStyle w:val="13"/>
            <w:tabs>
              <w:tab w:val="right" w:leader="dot" w:pos="8675"/>
            </w:tabs>
            <w:rPr>
              <w:sz w:val="32"/>
              <w:szCs w:val="32"/>
            </w:rPr>
          </w:pPr>
          <w:r>
            <w:fldChar w:fldCharType="begin"/>
          </w:r>
          <w:r>
            <w:instrText xml:space="preserve"> HYPERLINK \l "_Toc7538" </w:instrText>
          </w:r>
          <w:r>
            <w:fldChar w:fldCharType="separate"/>
          </w:r>
          <w:r>
            <w:rPr>
              <w:rFonts w:hint="eastAsia" w:ascii="方正小标宋简体" w:hAnsi="方正小标宋简体" w:eastAsia="方正小标宋简体" w:cs="方正小标宋简体"/>
              <w:kern w:val="0"/>
              <w:sz w:val="32"/>
              <w:szCs w:val="32"/>
            </w:rPr>
            <w:t>第六章 强化规划实施保障措施</w:t>
          </w:r>
          <w:r>
            <w:rPr>
              <w:sz w:val="32"/>
              <w:szCs w:val="32"/>
            </w:rPr>
            <w:tab/>
          </w:r>
          <w:r>
            <w:rPr>
              <w:sz w:val="32"/>
              <w:szCs w:val="32"/>
            </w:rPr>
            <w:fldChar w:fldCharType="begin"/>
          </w:r>
          <w:r>
            <w:rPr>
              <w:sz w:val="32"/>
              <w:szCs w:val="32"/>
            </w:rPr>
            <w:instrText xml:space="preserve"> PAGEREF _Toc7538 \h </w:instrText>
          </w:r>
          <w:r>
            <w:rPr>
              <w:sz w:val="32"/>
              <w:szCs w:val="32"/>
            </w:rPr>
            <w:fldChar w:fldCharType="separate"/>
          </w:r>
          <w:r>
            <w:rPr>
              <w:sz w:val="32"/>
              <w:szCs w:val="32"/>
            </w:rPr>
            <w:t>- 103 -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"_Toc12572" </w:instrText>
          </w:r>
          <w:r>
            <w:fldChar w:fldCharType="separate"/>
          </w:r>
          <w:r>
            <w:rPr>
              <w:rFonts w:hint="eastAsia" w:ascii="黑体" w:hAnsi="黑体" w:eastAsia="黑体" w:cs="黑体"/>
              <w:sz w:val="32"/>
              <w:szCs w:val="32"/>
            </w:rPr>
            <w:t>第一节 加强组织领导</w:t>
          </w:r>
          <w:r>
            <w:rPr>
              <w:sz w:val="32"/>
              <w:szCs w:val="32"/>
            </w:rPr>
            <w:tab/>
          </w:r>
          <w:r>
            <w:rPr>
              <w:sz w:val="32"/>
              <w:szCs w:val="32"/>
            </w:rPr>
            <w:fldChar w:fldCharType="begin"/>
          </w:r>
          <w:r>
            <w:rPr>
              <w:sz w:val="32"/>
              <w:szCs w:val="32"/>
            </w:rPr>
            <w:instrText xml:space="preserve"> PAGEREF _Toc12572 \h </w:instrText>
          </w:r>
          <w:r>
            <w:rPr>
              <w:sz w:val="32"/>
              <w:szCs w:val="32"/>
            </w:rPr>
            <w:fldChar w:fldCharType="separate"/>
          </w:r>
          <w:r>
            <w:rPr>
              <w:sz w:val="32"/>
              <w:szCs w:val="32"/>
            </w:rPr>
            <w:t>- 103 -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"_Toc17448" </w:instrText>
          </w:r>
          <w:r>
            <w:fldChar w:fldCharType="separate"/>
          </w:r>
          <w:r>
            <w:rPr>
              <w:rFonts w:hint="eastAsia" w:ascii="黑体" w:hAnsi="黑体" w:eastAsia="黑体" w:cs="黑体"/>
              <w:sz w:val="32"/>
              <w:szCs w:val="32"/>
            </w:rPr>
            <w:t>第二节 加大财政投入</w:t>
          </w:r>
          <w:r>
            <w:rPr>
              <w:sz w:val="32"/>
              <w:szCs w:val="32"/>
            </w:rPr>
            <w:tab/>
          </w:r>
          <w:r>
            <w:rPr>
              <w:sz w:val="32"/>
              <w:szCs w:val="32"/>
            </w:rPr>
            <w:fldChar w:fldCharType="begin"/>
          </w:r>
          <w:r>
            <w:rPr>
              <w:sz w:val="32"/>
              <w:szCs w:val="32"/>
            </w:rPr>
            <w:instrText xml:space="preserve"> PAGEREF _Toc17448 \h </w:instrText>
          </w:r>
          <w:r>
            <w:rPr>
              <w:sz w:val="32"/>
              <w:szCs w:val="32"/>
            </w:rPr>
            <w:fldChar w:fldCharType="separate"/>
          </w:r>
          <w:r>
            <w:rPr>
              <w:sz w:val="32"/>
              <w:szCs w:val="32"/>
            </w:rPr>
            <w:t>- 104 -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"_Toc30681" </w:instrText>
          </w:r>
          <w:r>
            <w:fldChar w:fldCharType="separate"/>
          </w:r>
          <w:r>
            <w:rPr>
              <w:rFonts w:hint="eastAsia" w:ascii="黑体" w:hAnsi="黑体" w:eastAsia="黑体" w:cs="黑体"/>
              <w:sz w:val="32"/>
              <w:szCs w:val="32"/>
            </w:rPr>
            <w:t>第三节 强化土地支撑</w:t>
          </w:r>
          <w:r>
            <w:rPr>
              <w:sz w:val="32"/>
              <w:szCs w:val="32"/>
            </w:rPr>
            <w:tab/>
          </w:r>
          <w:r>
            <w:rPr>
              <w:sz w:val="32"/>
              <w:szCs w:val="32"/>
            </w:rPr>
            <w:fldChar w:fldCharType="begin"/>
          </w:r>
          <w:r>
            <w:rPr>
              <w:sz w:val="32"/>
              <w:szCs w:val="32"/>
            </w:rPr>
            <w:instrText xml:space="preserve"> PAGEREF _Toc30681 \h </w:instrText>
          </w:r>
          <w:r>
            <w:rPr>
              <w:sz w:val="32"/>
              <w:szCs w:val="32"/>
            </w:rPr>
            <w:fldChar w:fldCharType="separate"/>
          </w:r>
          <w:r>
            <w:rPr>
              <w:sz w:val="32"/>
              <w:szCs w:val="32"/>
            </w:rPr>
            <w:t>- 105 -</w:t>
          </w:r>
          <w:r>
            <w:rPr>
              <w:sz w:val="32"/>
              <w:szCs w:val="32"/>
            </w:rPr>
            <w:fldChar w:fldCharType="end"/>
          </w:r>
          <w:r>
            <w:rPr>
              <w:sz w:val="32"/>
              <w:szCs w:val="32"/>
            </w:rPr>
            <w:fldChar w:fldCharType="end"/>
          </w:r>
        </w:p>
        <w:p>
          <w:pPr>
            <w:pStyle w:val="14"/>
            <w:tabs>
              <w:tab w:val="right" w:leader="dot" w:pos="8675"/>
            </w:tabs>
            <w:ind w:left="394"/>
            <w:rPr>
              <w:sz w:val="32"/>
              <w:szCs w:val="32"/>
            </w:rPr>
          </w:pPr>
          <w:r>
            <w:fldChar w:fldCharType="begin"/>
          </w:r>
          <w:r>
            <w:instrText xml:space="preserve"> HYPERLINK \l "_Toc20856" </w:instrText>
          </w:r>
          <w:r>
            <w:fldChar w:fldCharType="separate"/>
          </w:r>
          <w:r>
            <w:rPr>
              <w:rFonts w:hint="eastAsia" w:ascii="黑体" w:hAnsi="黑体" w:eastAsia="黑体" w:cs="黑体"/>
              <w:sz w:val="32"/>
              <w:szCs w:val="32"/>
            </w:rPr>
            <w:t>第四节 动员社会参与</w:t>
          </w:r>
          <w:r>
            <w:rPr>
              <w:sz w:val="32"/>
              <w:szCs w:val="32"/>
            </w:rPr>
            <w:tab/>
          </w:r>
          <w:r>
            <w:rPr>
              <w:sz w:val="32"/>
              <w:szCs w:val="32"/>
            </w:rPr>
            <w:fldChar w:fldCharType="begin"/>
          </w:r>
          <w:r>
            <w:rPr>
              <w:sz w:val="32"/>
              <w:szCs w:val="32"/>
            </w:rPr>
            <w:instrText xml:space="preserve"> PAGEREF _Toc20856 \h </w:instrText>
          </w:r>
          <w:r>
            <w:rPr>
              <w:sz w:val="32"/>
              <w:szCs w:val="32"/>
            </w:rPr>
            <w:fldChar w:fldCharType="separate"/>
          </w:r>
          <w:r>
            <w:rPr>
              <w:sz w:val="32"/>
              <w:szCs w:val="32"/>
            </w:rPr>
            <w:t>- 107 -</w:t>
          </w:r>
          <w:r>
            <w:rPr>
              <w:sz w:val="32"/>
              <w:szCs w:val="32"/>
            </w:rPr>
            <w:fldChar w:fldCharType="end"/>
          </w:r>
          <w:r>
            <w:rPr>
              <w:sz w:val="32"/>
              <w:szCs w:val="32"/>
            </w:rPr>
            <w:fldChar w:fldCharType="end"/>
          </w:r>
        </w:p>
        <w:p>
          <w:pPr>
            <w:pStyle w:val="14"/>
            <w:tabs>
              <w:tab w:val="right" w:leader="dot" w:pos="8675"/>
            </w:tabs>
            <w:ind w:left="394"/>
          </w:pPr>
          <w:r>
            <w:fldChar w:fldCharType="begin"/>
          </w:r>
          <w:r>
            <w:instrText xml:space="preserve"> HYPERLINK \l "_Toc29943" </w:instrText>
          </w:r>
          <w:r>
            <w:fldChar w:fldCharType="separate"/>
          </w:r>
          <w:r>
            <w:rPr>
              <w:rFonts w:hint="eastAsia" w:ascii="黑体" w:hAnsi="黑体" w:eastAsia="黑体" w:cs="黑体"/>
              <w:sz w:val="32"/>
              <w:szCs w:val="32"/>
            </w:rPr>
            <w:t>第五节 加强政策宣传</w:t>
          </w:r>
          <w:r>
            <w:rPr>
              <w:sz w:val="32"/>
              <w:szCs w:val="32"/>
            </w:rPr>
            <w:tab/>
          </w:r>
          <w:r>
            <w:rPr>
              <w:sz w:val="32"/>
              <w:szCs w:val="32"/>
            </w:rPr>
            <w:fldChar w:fldCharType="begin"/>
          </w:r>
          <w:r>
            <w:rPr>
              <w:sz w:val="32"/>
              <w:szCs w:val="32"/>
            </w:rPr>
            <w:instrText xml:space="preserve"> PAGEREF _Toc29943 \h </w:instrText>
          </w:r>
          <w:r>
            <w:rPr>
              <w:sz w:val="32"/>
              <w:szCs w:val="32"/>
            </w:rPr>
            <w:fldChar w:fldCharType="separate"/>
          </w:r>
          <w:r>
            <w:rPr>
              <w:sz w:val="32"/>
              <w:szCs w:val="32"/>
            </w:rPr>
            <w:t>- 107 -</w:t>
          </w:r>
          <w:r>
            <w:rPr>
              <w:sz w:val="32"/>
              <w:szCs w:val="32"/>
            </w:rPr>
            <w:fldChar w:fldCharType="end"/>
          </w:r>
          <w:r>
            <w:rPr>
              <w:sz w:val="32"/>
              <w:szCs w:val="32"/>
            </w:rPr>
            <w:fldChar w:fldCharType="end"/>
          </w:r>
        </w:p>
        <w:p>
          <w:r>
            <w:fldChar w:fldCharType="end"/>
          </w:r>
        </w:p>
        <w:p>
          <w:pPr>
            <w:tabs>
              <w:tab w:val="left" w:pos="3308"/>
            </w:tabs>
            <w:jc w:val="center"/>
            <w:outlineLvl w:val="0"/>
            <w:rPr>
              <w:rFonts w:ascii="黑体" w:hAnsi="黑体" w:eastAsia="黑体" w:cs="黑体"/>
              <w:sz w:val="32"/>
              <w:szCs w:val="32"/>
            </w:rPr>
          </w:pPr>
        </w:p>
      </w:sdtContent>
    </w:sdt>
    <w:p>
      <w:r>
        <w:rPr>
          <w:rFonts w:hint="eastAsia" w:ascii="黑体" w:hAnsi="黑体" w:eastAsia="黑体" w:cs="黑体"/>
          <w:sz w:val="32"/>
          <w:szCs w:val="32"/>
        </w:rPr>
        <w:br w:type="page"/>
      </w:r>
    </w:p>
    <w:p>
      <w:pPr>
        <w:tabs>
          <w:tab w:val="left" w:pos="3308"/>
        </w:tabs>
        <w:jc w:val="center"/>
        <w:outlineLvl w:val="0"/>
        <w:rPr>
          <w:rFonts w:ascii="黑体" w:hAnsi="黑体" w:eastAsia="黑体" w:cs="黑体"/>
          <w:sz w:val="32"/>
          <w:szCs w:val="32"/>
        </w:rPr>
      </w:pPr>
      <w:bookmarkStart w:id="0" w:name="_Toc18657"/>
      <w:r>
        <w:rPr>
          <w:rFonts w:hint="eastAsia" w:ascii="黑体" w:hAnsi="黑体" w:eastAsia="黑体" w:cs="黑体"/>
          <w:sz w:val="32"/>
          <w:szCs w:val="32"/>
        </w:rPr>
        <w:t>前  言</w:t>
      </w:r>
      <w:bookmarkEnd w:id="0"/>
    </w:p>
    <w:p>
      <w:pPr>
        <w:pStyle w:val="2"/>
        <w:spacing w:line="360" w:lineRule="auto"/>
      </w:pPr>
    </w:p>
    <w:p>
      <w:pPr>
        <w:widowControl/>
        <w:tabs>
          <w:tab w:val="left" w:pos="3308"/>
        </w:tabs>
        <w:spacing w:line="360" w:lineRule="auto"/>
        <w:ind w:firstLine="592"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靖边县是1935年解放的革命老区，位于陕西省北部偏西，榆林市西南部，地处毛乌素沙漠南缘。总土地面积5088平方公里，辖16个镇、1个街道办事处、1个国营农场、184个行政村、20个社区居委会，总户数13.39万户，总人口38.9万人。2022年，全县实现地区生产总值518.23亿元，地方财政收入17.56亿元，城乡人均可支配收入分别达41314元和19607元。</w:t>
      </w:r>
    </w:p>
    <w:p>
      <w:pPr>
        <w:widowControl/>
        <w:tabs>
          <w:tab w:val="left" w:pos="3308"/>
        </w:tabs>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靖边县全面开启社会主义现代化建设新征程的第一个五年，是靖边扎实推动高质量发展、奋力谱写新时代追赶超越新篇章的关键五年，也是巩固拓展脱贫攻坚成果，全面推进乡村振兴的重要阶段。根据《中华人民共和国乡村振兴促进法》《中共中央关于全面推进乡村振兴加快农业农村现代化的意见》《中共中央国务院关于实现巩固拓展脱贫攻坚成果同乡村振兴有效衔接的实施意见》《陕西省国民经济和社会发展第十四个五年规划和二〇三五年远景目标纲要》《中共陕西省委陕西省人民政府关于全面推进乡村振兴加快农业农村现代化的实施意见》《中共陕西省委陕西省人民政府关于实现巩固拓展脱贫攻坚成果同乡村振兴有效衔接的实施意见》和《靖边县靖边县国民经济和社会发展第十四个五年规划和二〇三五年远景目标纲要》《靖边县现代生态农业产业体系建设规划（2021-2025年）》《靖边县乡村振兴战略实施规划》以及其他行业规划等文件精神，结合靖边县工作实际编制本规划。</w:t>
      </w:r>
    </w:p>
    <w:p>
      <w:pPr>
        <w:pStyle w:val="2"/>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编制的主线是围绕五大振兴，突出靖边特色，推进乡村建设，主要阐明“十四五”时期，靖边县巩固拓展脱贫攻坚成果同乡村振兴有效衔接的总体要求和重点任务，旨在把巩固成果、拓展成效同乡村振兴接力衔接，推进减贫向振兴平稳过渡，促进扶贫政策向常规性、普惠性和长效化转变，实现乡村机制融合、产业升级、力量统筹，促进靖边农业高质高效、乡村宜居宜业、农民富裕富足，建设阜美靖边。本规划是全县“十四五”时期巩固拓展脱贫攻坚同乡村振兴有效衔接的战略性、纲领性、综合性规划，是未来五年靖边做好巩固拓展脱贫攻坚同乡村振兴有效衔接工作所制定的指南，是编制本级和下级专项规划、区域规划以及编制有关政策和年度计划的重要依据，是引领全县人民巩固拓展脱贫攻坚成果，全面实施乡村振兴战略的行动纲领。</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由文本、重大项目两部分组成，共6章、32小节。重大项目共62个，总投资38.7亿元，其中：巩固拓展脱贫攻坚成果项目21个，计划总投资5.5亿元；产业项目22个，计划总投资22.6亿元；生态环境项目7个，计划总投资3.2亿元；公共服务项目2个，计划总投资1.1亿元；文化旅游项目5个，计划总投资0.8亿元；基础设施项目5个，计划总投资5.5亿元。</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规划期限为2021年-2025年。</w:t>
      </w:r>
    </w:p>
    <w:p>
      <w:pPr>
        <w:jc w:val="center"/>
        <w:outlineLvl w:val="0"/>
        <w:rPr>
          <w:rFonts w:ascii="方正小标宋简体" w:hAnsi="方正小标宋简体" w:eastAsia="方正小标宋简体" w:cs="方正小标宋简体"/>
          <w:sz w:val="32"/>
          <w:szCs w:val="32"/>
        </w:rPr>
      </w:pPr>
      <w:bookmarkStart w:id="1" w:name="_Toc5643"/>
      <w:bookmarkStart w:id="2" w:name="_Toc30322"/>
    </w:p>
    <w:p>
      <w:pPr>
        <w:jc w:val="center"/>
        <w:outlineLvl w:val="0"/>
        <w:rPr>
          <w:rFonts w:ascii="楷体" w:hAnsi="楷体" w:eastAsia="楷体" w:cs="楷体"/>
          <w:b/>
          <w:bCs/>
          <w:sz w:val="32"/>
          <w:szCs w:val="32"/>
        </w:rPr>
      </w:pPr>
      <w:r>
        <w:rPr>
          <w:rFonts w:hint="eastAsia" w:ascii="方正小标宋简体" w:hAnsi="方正小标宋简体" w:eastAsia="方正小标宋简体" w:cs="方正小标宋简体"/>
          <w:sz w:val="32"/>
          <w:szCs w:val="32"/>
        </w:rPr>
        <w:t>第一章 规划背景</w:t>
      </w:r>
      <w:bookmarkEnd w:id="1"/>
      <w:bookmarkEnd w:id="2"/>
    </w:p>
    <w:p>
      <w:pPr>
        <w:pStyle w:val="23"/>
        <w:widowControl w:val="0"/>
        <w:spacing w:after="0" w:line="0" w:lineRule="atLeast"/>
        <w:jc w:val="center"/>
        <w:rPr>
          <w:rFonts w:ascii="楷体" w:hAnsi="楷体" w:eastAsia="楷体" w:cs="楷体"/>
          <w:b/>
          <w:bCs/>
          <w:sz w:val="32"/>
          <w:szCs w:val="32"/>
        </w:rPr>
      </w:pPr>
    </w:p>
    <w:p>
      <w:pPr>
        <w:pStyle w:val="23"/>
        <w:widowControl w:val="0"/>
        <w:spacing w:after="0" w:line="240" w:lineRule="auto"/>
        <w:jc w:val="center"/>
        <w:outlineLvl w:val="1"/>
        <w:rPr>
          <w:rFonts w:ascii="黑体" w:hAnsi="黑体" w:eastAsia="黑体" w:cs="黑体"/>
          <w:sz w:val="32"/>
          <w:szCs w:val="32"/>
        </w:rPr>
      </w:pPr>
      <w:bookmarkStart w:id="3" w:name="_Toc834"/>
      <w:bookmarkStart w:id="4" w:name="_Toc32137"/>
      <w:r>
        <w:rPr>
          <w:rFonts w:hint="eastAsia" w:ascii="黑体" w:hAnsi="黑体" w:eastAsia="黑体" w:cs="黑体"/>
          <w:sz w:val="32"/>
          <w:szCs w:val="32"/>
        </w:rPr>
        <w:t>第一节 脱贫攻坚成效</w:t>
      </w:r>
      <w:bookmarkEnd w:id="3"/>
      <w:bookmarkEnd w:id="4"/>
    </w:p>
    <w:p>
      <w:pPr>
        <w:tabs>
          <w:tab w:val="left" w:pos="706"/>
        </w:tabs>
        <w:spacing w:line="0" w:lineRule="atLeast"/>
        <w:ind w:firstLine="616" w:firstLineChars="200"/>
        <w:rPr>
          <w:rFonts w:ascii="仿宋_GB2312" w:hAnsi="仿宋_GB2312" w:eastAsia="仿宋_GB2312" w:cs="仿宋_GB2312"/>
          <w:sz w:val="32"/>
          <w:szCs w:val="32"/>
        </w:rPr>
      </w:pP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靖边县委、县政府坚持把打赢脱贫攻坚战作为重大政治任务和第一民生工程，以脱贫攻坚统揽经济社会发展全局，深入落实精准扶贫精准脱贫基本方略。全县干部群众集众智、聚群力，全面集结在脱贫攻坚“主战场”，展现出了“精准务实、开拓创新、攻坚克难、不负人民”的脱贫攻坚精神，脱贫攻坚工作取得了明显成效，为“十四五”时期巩固拓展脱贫攻坚成果、扎实推进乡村振兴打下了坚实基础。</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——农村人口全部脱贫，脱贫攻坚目标任务如期完成</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全县累计投入各级各类扶贫资金14.2亿元，实现贫困村集体经济、电、路、村卫生室等全部达标，贫困人口“两不愁三保障”和安全饮水全面解决，改造农村危房3715户，实施易地扶贫搬迁1992户7415人。70个贫困村全部出列，4719户15648人建档立卡户全部脱贫，贫困发生率由4.7%下降到0，建档立卡贫困人口人均纯收入由2016年的5107.02元，增长至2020年底的12702.25元，</w:t>
      </w:r>
      <w:r>
        <w:rPr>
          <w:rFonts w:hint="eastAsia" w:ascii="仿宋_GB2312" w:hAnsi="仿宋_GB2312" w:eastAsia="仿宋_GB2312" w:cs="仿宋_GB2312"/>
          <w:sz w:val="32"/>
          <w:szCs w:val="32"/>
          <w:lang w:val="zh-CN"/>
        </w:rPr>
        <w:t>年均增长25.7%，</w:t>
      </w:r>
      <w:r>
        <w:rPr>
          <w:rFonts w:hint="eastAsia" w:ascii="仿宋_GB2312" w:hAnsi="仿宋_GB2312" w:eastAsia="仿宋_GB2312" w:cs="仿宋_GB2312"/>
          <w:sz w:val="32"/>
          <w:szCs w:val="32"/>
        </w:rPr>
        <w:t>高于全省平均水平，困扰全县人民许多年的绝对贫困问题得到了历史性解决。</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——产业基础显著改善，乡村产业发展能力明显提升</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全县累计投入产业扶贫资金1.23亿元，累计扶持产业户2747户，扶持发展壮大村集体经济组织140个。截至2020年，全县羊子、生猪、家禽、肉牛、奶牛年饲养量分别达200万只、35万头、120万羽、2万头、0.15万头，白绒山羊达到国家山羊绒特细型标准。建成山地苹果基地10020亩，新增苹果、桃、山楂等3类水果49个优良新品种。成功评定国家3A级景区2个，命名市级旅游特色名镇1个、旅游示范村2个。打造了靖边版“3+X”，即发展“畜、薯、菜”3个10亿级主导产业，全县菜、畜、薯、果、小杂粮等农产品加工产值达50.01亿元，农业总产值61.86亿元。农村产权流转交易平台建成投运，累计流转农地32.1万亩。认定龙头企业35家，发展农业园区35个，成立涉农组织2000家，培育职业农民2100人，为县域经济发展提供有力支撑。</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——乡村面貌焕然一新，农村基础设施短板基本补齐</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全县184个行政村实现了100%通沥青水泥路、100%通客车。完成改厕12621个，人居环境整治实现了行政村全覆盖,投入资金1.49亿元，加大“水、电、路、田”建设力度，成功创建乡村振兴标杆村2个、示范村27个，建成省级美丽乡村6个、市级美丽乡村28个，创建市级生态镇1个、生态村5个，农村基础设施和公共服务不断提档升级,农村信息化建设水平不断提升，教育宽带提速扩容工程深入实施，智慧城市建设稳步推进，“互联网+”智慧服务模式全面推广。靖边被评为“2020中国全面小康建设优秀县”“2019中国建设美丽乡村典范县”。 </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——脱贫愿望明显增强，乡村文明新风得到广泛弘扬</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全县大力开展“诚、孝、俭、勤、和”新民风建设。累计表彰扶贫扶志新民风建设先进典型达12000余人（户），精神文明建设表彰各类先进模范5772个（户）。开展扶贫扶志新民风道德讲堂活动350多场，听讲群众达24000余人。全县“一约四会”覆盖率达到100%。打造“美丽乡村·文明家园”示范村8个，扶贫扶志新民风示范村12个，新创文明村镇89个。深入挖掘推广优秀家风家训230多条。开展各类诚信教育主题宣传活动、文艺演出达136场，观众达7000多名。累计召开诚信“红黑榜”新闻发布会13次，发布“红名单”63个，“黑名单”413个。依托《靖边报》等县域主流全媒体阵地，开辟“脱贫攻坚进行时”等专题专栏，发表脱贫新闻稿件2500余条。</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——生态环境稳中向好，南部山区生态效益不断显现</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全县完成造林22.6万亩，封山（沙）育林4.84万亩，森林抚育34.05万亩，退耕还林5万亩，森林覆盖率达38.3%。空气质量不断提升，2020年空气质量综合指数排名位列陕北25个县区第1位，2019年PM10年均浓度下降至56μg/m3。加快推进芦河水环境综合治理，出境断面水质达到Ⅳ类。全面推行河长制湖长制，落实各级河长190名、湖长70名，建立河湖档案，编制了8条主要河流和15条重点支流的“一河一策”方案，累计治理水土流失面积414.31平方公里，水源地水质达标率100%。建成生活垃圾填埋场1处，新增垃圾收集点1000余处，垃圾无害化处理率达100%。</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——干群关系更加融洽，基层社会治理能力扎实提高</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脱贫攻坚工作开展以来，全县先后累计选派驻村工作队424支，其中第一书记489名、驻村工作队队员1406名，实现了贫困村第一书记全覆盖。扎实推动党支部标准化规范化建设，评选出9个省级标准化建设示范村，19个市级五星级支部。184个行政村全部实现“一肩挑”。扎实开展扫黑除恶、整顿非法宗教组织等专项活动。按照“四个一”要求，整顿软弱涣散村党组织31个。出台了《靖边县2020-2025年村党组织书记队伍建设规划》，全面落实村党支部书记备案管理、党支部工作联系点、党代表工作室等制度要求，培育村级后备力量458名，储备村党组织书记后备力量368名。村级“四档”建设全面完成，基层党组织建设逐步规范。</w:t>
      </w:r>
    </w:p>
    <w:p/>
    <w:p>
      <w:pPr>
        <w:pStyle w:val="23"/>
        <w:widowControl w:val="0"/>
        <w:spacing w:after="0" w:line="240" w:lineRule="auto"/>
        <w:jc w:val="center"/>
        <w:outlineLvl w:val="1"/>
        <w:rPr>
          <w:rFonts w:ascii="黑体" w:hAnsi="黑体" w:eastAsia="黑体" w:cs="黑体"/>
          <w:sz w:val="32"/>
          <w:szCs w:val="32"/>
        </w:rPr>
      </w:pPr>
      <w:bookmarkStart w:id="5" w:name="_Toc15888"/>
      <w:bookmarkStart w:id="6" w:name="_Toc23354"/>
      <w:r>
        <w:rPr>
          <w:rFonts w:hint="eastAsia" w:ascii="黑体" w:hAnsi="黑体" w:eastAsia="黑体" w:cs="黑体"/>
          <w:sz w:val="32"/>
          <w:szCs w:val="32"/>
        </w:rPr>
        <w:t>第二节 主要经验</w:t>
      </w:r>
      <w:bookmarkEnd w:id="5"/>
      <w:bookmarkEnd w:id="6"/>
    </w:p>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靖边县脱贫攻坚取得显著成效，靠的是县委县政府的坚强领导，靠的是全县干部群众自力更生、艰苦奋斗的精神品质，“十三五”时期，靖边县立足县情实际，以前所未有的超常规举措，出台一系列政策举措，构建了一整套行之有效的工作机制，总结出了具有靖边特色的脱贫攻坚经验和做法。</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——坚持抓住机制建设这个关键，不断夯实主体责任</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靖边县成立了以县委书记、县长为组长、县委副书记等其他县级领导为副组长、各相关部门负责人为成员的脱贫攻坚领导小组。组建了即以11个行业脱贫办公室和公共服务组、资金保障组、督查督办组、考核管理组4个工作组组成的“十一办四组”，明确工作职责和具体任务。落实了主要领导包片区，其他县级领导包镇、包贫困村工作责任制。建立了脱贫攻坚周例会、月调度和工作通报等制度，使之成为聚焦重点工作、解决突出问题、推动工作落实的重要抓手。通过系列措施构建了县级领导直接抓、牵头（帮扶）部门具体抓、配合单位积极抓、组织纪委跟踪抓的“四位一体”工作机制，形成了高效有序的脱贫攻坚指挥体系和“金字塔式”的管理架构。</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——坚持把握精准施策这个基调，持续推进政策落实</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靖边县紧盯“两不愁三保障一收入”标准，严格落实产业、就业创业、健康、教育、危房改造、易地搬迁、兜底保障等各项扶持政策，先后起草印发文件1100余个，召开脱贫攻坚相关会议50余次，研究解决脱贫攻坚事项30余项，组织扶贫干部培训20余次。编制了《靖边县扶贫开发政策文件汇编》《靖边县脱贫攻坚问题整改资料汇编》《靖边县扶贫开发知识手册》《靖边县脱贫攻坚应知应会手册》《靖边县脱贫攻政策清单》等书籍和手册2万余册。通过文件指引、会议研究、政策培训等多项措施，不断推进精准扶贫精准脱贫各项政策措施落地、落实、落细。</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——坚持聚焦产业发展这把钥匙，着力促进农民增收</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靖边县聚焦提升农民收入和农业效益，大力发展特色产业，让更多的农民获得产业发展红利。如马季沟村依据独特的自然区位优势，因地制宜，采取“合作社+基地+农户”模式，将过去零散的土地集中整理，开发出1100亩稻田，2021年稻米总产量达到450吨，实现产值200余万元，并在100亩稻田中试验养殖螃蟹，每亩增收2000元。周河镇大力实施以核桃为主的林果产业，经过14年的发展，农民依托核桃产业，收入由过去的人均纯收入8000元，发展到现在的人均纯收入24000元。青阳岔镇发展中草药种植325亩，长期稳定解决农民就业50人，带动周边农户100余户。</w:t>
      </w:r>
    </w:p>
    <w:p>
      <w:pPr>
        <w:pStyle w:val="23"/>
        <w:widowControl w:val="0"/>
        <w:spacing w:after="0" w:line="24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——坚持建强脱贫一线这支队伍，筑牢基层战斗堡垒</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选硬人、硬选人标准，成立由组织、纪检和乡村振兴等部门组成的驻村队伍管理办公室，加大对驻村干部的业务培训和岗位监管。印发《关于持续选派驻村第一书记和工作队的意见》和《靖边县驻村工作队管理办法》，明确职责任务，建立“经费保障、鼓励激励、关怀培训”等务实管用的制度，确保驻村干部“下的去、融的进、干的好”。截至2020年，全县共提拔脱贫攻坚干部254名，平级重用脱贫攻坚干部190名；共表彰第一书记56名、驻村工作队员52名。</w:t>
      </w:r>
    </w:p>
    <w:p/>
    <w:p>
      <w:pPr>
        <w:pStyle w:val="23"/>
        <w:widowControl w:val="0"/>
        <w:spacing w:after="0" w:line="240" w:lineRule="auto"/>
        <w:jc w:val="center"/>
        <w:outlineLvl w:val="1"/>
        <w:rPr>
          <w:rFonts w:ascii="黑体" w:hAnsi="黑体" w:eastAsia="黑体" w:cs="黑体"/>
          <w:sz w:val="32"/>
          <w:szCs w:val="32"/>
        </w:rPr>
      </w:pPr>
      <w:bookmarkStart w:id="7" w:name="_Toc23371"/>
      <w:bookmarkStart w:id="8" w:name="_Toc10025"/>
      <w:r>
        <w:rPr>
          <w:rFonts w:hint="eastAsia" w:ascii="黑体" w:hAnsi="黑体" w:eastAsia="黑体" w:cs="黑体"/>
          <w:sz w:val="32"/>
          <w:szCs w:val="32"/>
        </w:rPr>
        <w:t>第三节 发展机遇</w:t>
      </w:r>
      <w:bookmarkEnd w:id="7"/>
      <w:bookmarkEnd w:id="8"/>
    </w:p>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的第一个五年，也是从集中资源支持脱贫攻坚转向巩固拓展脱贫攻坚成果和全面推进乡村振兴的关键时期，全县上下要抢抓这一战略机遇期的有利条件，全力促进巩固拓展脱贫攻坚成果同乡村振兴有效衔接。</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从全国看，</w:t>
      </w:r>
      <w:r>
        <w:rPr>
          <w:rFonts w:hint="eastAsia" w:ascii="仿宋_GB2312" w:hAnsi="仿宋_GB2312" w:eastAsia="仿宋_GB2312" w:cs="仿宋_GB2312"/>
          <w:sz w:val="32"/>
          <w:szCs w:val="32"/>
        </w:rPr>
        <w:t>习近平总书记高度重视巩固拓展脱贫攻坚成果同乡村振兴有效衔接工作，2020年以来先后在中央农村工作会议、全国脱贫攻坚总结表彰大会、中央政治局常委会议等会议上强调要切实做好巩固拓展脱贫攻坚成果同乡村振兴有效衔接各项工作。国家层面也出台了系列实施意见和30余个巩固拓展脱贫攻坚成果同乡村振兴有效衔接的配套政策文件，保持了现有帮扶政策的总体稳定，为巩固拓展脱贫攻坚成果同乡村振兴有效衔接各项工作的开展指明了方向，提供了保障。</w:t>
      </w:r>
      <w:r>
        <w:rPr>
          <w:rFonts w:hint="eastAsia" w:ascii="仿宋_GB2312" w:hAnsi="仿宋_GB2312" w:eastAsia="仿宋_GB2312" w:cs="仿宋_GB2312"/>
          <w:b/>
          <w:bCs/>
          <w:sz w:val="32"/>
          <w:szCs w:val="32"/>
        </w:rPr>
        <w:t>从全省看，</w:t>
      </w:r>
      <w:r>
        <w:rPr>
          <w:rFonts w:hint="eastAsia" w:ascii="仿宋_GB2312" w:hAnsi="仿宋_GB2312" w:eastAsia="仿宋_GB2312" w:cs="仿宋_GB2312"/>
          <w:sz w:val="32"/>
          <w:szCs w:val="32"/>
        </w:rPr>
        <w:t>“十四五”时期，是全省贯彻习近平总书记来陕考察重要讲话精神、奋力谱写陕西新时代追赶超越新篇章的关键时期，总体上处于新型工业化和城镇化向中后期转变的重要时期，“高质量发展、高品质生活、高效能治理”为全省经济社会发展指明方向。省党代会明确全面推进乡村振兴，加快农业农村现代化。坚持“三农”工作重中之重地位，统筹粮食增产和农民增收，在巩固脱贫攻坚成果基础上，把工作对象转向所有农民，把工作任务转向推进乡村“五大振兴”,把工作举措转向促进发展，推动农业农村与国家同步实现现代化。</w:t>
      </w:r>
      <w:r>
        <w:rPr>
          <w:rFonts w:hint="eastAsia" w:ascii="仿宋_GB2312" w:hAnsi="仿宋_GB2312" w:eastAsia="仿宋_GB2312" w:cs="仿宋_GB2312"/>
          <w:b/>
          <w:bCs/>
          <w:sz w:val="32"/>
          <w:szCs w:val="32"/>
        </w:rPr>
        <w:t>从全市看，</w:t>
      </w:r>
      <w:r>
        <w:rPr>
          <w:rFonts w:hint="eastAsia" w:ascii="仿宋_GB2312" w:hAnsi="仿宋_GB2312" w:eastAsia="仿宋_GB2312" w:cs="仿宋_GB2312"/>
          <w:sz w:val="32"/>
          <w:szCs w:val="32"/>
        </w:rPr>
        <w:t>碳达峰与碳中和目标是榆林转型升级最大挑战，“双循环”新发展格局是榆林转型升级最大机遇，全面实现“三大目标”将加快全市转型升级高质量发展步伐。全市乡村振兴“三突出两引领”工作思路清晰，措施强劲，投入持续增加。</w:t>
      </w:r>
      <w:r>
        <w:rPr>
          <w:rFonts w:hint="eastAsia" w:ascii="仿宋_GB2312" w:hAnsi="仿宋_GB2312" w:eastAsia="仿宋_GB2312" w:cs="仿宋_GB2312"/>
          <w:b/>
          <w:bCs/>
          <w:sz w:val="32"/>
          <w:szCs w:val="32"/>
        </w:rPr>
        <w:t>从全县看，</w:t>
      </w:r>
      <w:r>
        <w:rPr>
          <w:rFonts w:hint="eastAsia" w:ascii="仿宋_GB2312" w:hAnsi="仿宋_GB2312" w:eastAsia="仿宋_GB2312" w:cs="仿宋_GB2312"/>
          <w:sz w:val="32"/>
          <w:szCs w:val="32"/>
        </w:rPr>
        <w:t>“1365”发展战略统一了全县人民意志、凝聚了各方力量，建设“经济繁荣、生态文明、幸福宜居”的榆林副中心城市已成为全县人民共同愿望，这是靖边高质量发展的最大动能，更是靖边县巩固拓展脱贫攻坚成果、全面推进实施乡村振兴战略的最好时机。</w:t>
      </w:r>
    </w:p>
    <w:p/>
    <w:p>
      <w:pPr>
        <w:pStyle w:val="23"/>
        <w:widowControl w:val="0"/>
        <w:spacing w:after="0" w:line="240" w:lineRule="auto"/>
        <w:jc w:val="center"/>
        <w:outlineLvl w:val="1"/>
        <w:rPr>
          <w:rFonts w:ascii="黑体" w:hAnsi="黑体" w:eastAsia="黑体" w:cs="黑体"/>
          <w:sz w:val="32"/>
          <w:szCs w:val="32"/>
        </w:rPr>
      </w:pPr>
      <w:bookmarkStart w:id="9" w:name="_Toc31128"/>
      <w:bookmarkStart w:id="10" w:name="_Toc31936"/>
      <w:r>
        <w:rPr>
          <w:rFonts w:hint="eastAsia" w:ascii="黑体" w:hAnsi="黑体" w:eastAsia="黑体" w:cs="黑体"/>
          <w:sz w:val="32"/>
          <w:szCs w:val="32"/>
        </w:rPr>
        <w:t>第四节 面临挑战</w:t>
      </w:r>
      <w:bookmarkEnd w:id="9"/>
      <w:bookmarkEnd w:id="10"/>
    </w:p>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虽然靖边县的脱贫攻坚工作在“十三五”期间取得了丰硕成果，但同时也要看到，在“十四五”时期巩固拓展脱贫攻坚成果、全面推进实施乡村振兴战略进程中仍存在一些不利因素和工作短板。</w:t>
      </w:r>
      <w:r>
        <w:rPr>
          <w:rFonts w:hint="eastAsia" w:ascii="仿宋_GB2312" w:hAnsi="仿宋_GB2312" w:eastAsia="仿宋_GB2312" w:cs="仿宋_GB2312"/>
          <w:b/>
          <w:bCs/>
          <w:sz w:val="32"/>
          <w:szCs w:val="32"/>
        </w:rPr>
        <w:t>一是不稳定不确定因素增多。</w:t>
      </w:r>
      <w:r>
        <w:rPr>
          <w:rFonts w:hint="eastAsia" w:ascii="仿宋_GB2312" w:hAnsi="仿宋_GB2312" w:eastAsia="仿宋_GB2312" w:cs="仿宋_GB2312"/>
          <w:sz w:val="32"/>
          <w:szCs w:val="32"/>
        </w:rPr>
        <w:t>新冠肺炎疫情全球大流行使世界格局加速变化，政治、经济、军事等正在加快重构，单边主义、保护主义、霸权主义盛行，经济全球化遭遇逆流，国际市场疲软，世界经济低迷，全球产业链、供应链受到冲击，国内经济下行压力加大，发展的不稳定性不确定性明显增加。</w:t>
      </w: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是因灾防返贫压力</w:t>
      </w:r>
      <w:r>
        <w:rPr>
          <w:rFonts w:hint="eastAsia" w:ascii="仿宋_GB2312" w:hAnsi="仿宋_GB2312" w:eastAsia="仿宋_GB2312" w:cs="仿宋_GB2312"/>
          <w:b/>
          <w:bCs/>
          <w:sz w:val="32"/>
          <w:szCs w:val="32"/>
        </w:rPr>
        <w:t>增</w:t>
      </w:r>
      <w:r>
        <w:rPr>
          <w:rFonts w:ascii="仿宋_GB2312" w:hAnsi="仿宋_GB2312" w:eastAsia="仿宋_GB2312" w:cs="仿宋_GB2312"/>
          <w:b/>
          <w:bCs/>
          <w:sz w:val="32"/>
          <w:szCs w:val="32"/>
        </w:rPr>
        <w:t>大。</w:t>
      </w:r>
      <w:r>
        <w:rPr>
          <w:rFonts w:ascii="仿宋_GB2312" w:hAnsi="仿宋_GB2312" w:eastAsia="仿宋_GB2312" w:cs="仿宋_GB2312"/>
          <w:sz w:val="32"/>
          <w:szCs w:val="32"/>
        </w:rPr>
        <w:t>受疫情</w:t>
      </w:r>
      <w:r>
        <w:rPr>
          <w:rFonts w:hint="eastAsia" w:ascii="仿宋_GB2312" w:hAnsi="仿宋_GB2312" w:eastAsia="仿宋_GB2312" w:cs="仿宋_GB2312"/>
          <w:sz w:val="32"/>
          <w:szCs w:val="32"/>
        </w:rPr>
        <w:t>和自然灾害</w:t>
      </w:r>
      <w:r>
        <w:rPr>
          <w:rFonts w:ascii="仿宋_GB2312" w:hAnsi="仿宋_GB2312" w:eastAsia="仿宋_GB2312" w:cs="仿宋_GB2312"/>
          <w:sz w:val="32"/>
          <w:szCs w:val="32"/>
        </w:rPr>
        <w:t>影响，部分脱贫人口外出务工收入不稳定，稳岗就业压力大。一些大病患者因部分药品未纳入合规范围，自付费用依然较高</w:t>
      </w:r>
      <w:r>
        <w:rPr>
          <w:rFonts w:hint="eastAsia" w:ascii="仿宋_GB2312" w:hAnsi="仿宋_GB2312" w:eastAsia="仿宋_GB2312" w:cs="仿宋_GB2312"/>
          <w:sz w:val="32"/>
          <w:szCs w:val="32"/>
        </w:rPr>
        <w:t>，偶发性变故导致返贫风险提高</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是农业基础仍然薄弱。</w:t>
      </w:r>
      <w:r>
        <w:rPr>
          <w:rFonts w:ascii="仿宋_GB2312" w:hAnsi="仿宋_GB2312" w:eastAsia="仿宋_GB2312" w:cs="仿宋_GB2312"/>
          <w:sz w:val="32"/>
          <w:szCs w:val="32"/>
        </w:rPr>
        <w:t>在推行发展壮大集体经济背景下，农村土地碎片化、梯形化、贫瘠化现象仍然存在，</w:t>
      </w:r>
      <w:r>
        <w:rPr>
          <w:rFonts w:hint="eastAsia" w:ascii="仿宋_GB2312" w:hAnsi="仿宋_GB2312" w:eastAsia="仿宋_GB2312" w:cs="仿宋_GB2312"/>
          <w:sz w:val="32"/>
          <w:szCs w:val="32"/>
        </w:rPr>
        <w:t>土地耕作条件差、</w:t>
      </w:r>
      <w:r>
        <w:rPr>
          <w:rFonts w:ascii="仿宋_GB2312" w:hAnsi="仿宋_GB2312" w:eastAsia="仿宋_GB2312" w:cs="仿宋_GB2312"/>
          <w:sz w:val="32"/>
          <w:szCs w:val="32"/>
        </w:rPr>
        <w:t>产出率不高，水肥药利用率不高，亟须加强整理、整合与配套，农机农艺融合需要进一步推进。</w:t>
      </w:r>
      <w:r>
        <w:rPr>
          <w:rFonts w:hint="eastAsia" w:ascii="仿宋_GB2312" w:hAnsi="仿宋_GB2312" w:eastAsia="仿宋_GB2312" w:cs="仿宋_GB2312"/>
          <w:b/>
          <w:bCs/>
          <w:sz w:val="32"/>
          <w:szCs w:val="32"/>
        </w:rPr>
        <w:t>四是产业就业措施单一。</w:t>
      </w:r>
      <w:r>
        <w:rPr>
          <w:rFonts w:hint="eastAsia" w:ascii="仿宋_GB2312" w:hAnsi="仿宋_GB2312" w:eastAsia="仿宋_GB2312" w:cs="仿宋_GB2312"/>
          <w:sz w:val="32"/>
          <w:szCs w:val="32"/>
        </w:rPr>
        <w:t>产业基础还不牢靠，村集体经济大多还处在起步阶段，对农民就业增收的长期带动效应不足。脱贫户和低收入群体增收渠道较窄，缺少多元化的就业措施。易地扶贫搬迁后续产业就业稳步增收难，后续服务能力有待提升。</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是保障要素总体不足。</w:t>
      </w:r>
      <w:r>
        <w:rPr>
          <w:rFonts w:ascii="仿宋_GB2312" w:hAnsi="仿宋_GB2312" w:eastAsia="仿宋_GB2312" w:cs="仿宋_GB2312"/>
          <w:sz w:val="32"/>
          <w:szCs w:val="32"/>
        </w:rPr>
        <w:t>投入乡村振兴的资金仍然较少，农村金融供给机制不活，不能满足农业经济发展的需要。</w:t>
      </w:r>
      <w:r>
        <w:rPr>
          <w:rFonts w:hint="eastAsia" w:ascii="仿宋_GB2312" w:hAnsi="仿宋_GB2312" w:eastAsia="仿宋_GB2312" w:cs="仿宋_GB2312"/>
          <w:sz w:val="32"/>
          <w:szCs w:val="32"/>
        </w:rPr>
        <w:t>农村劳动力短缺，</w:t>
      </w:r>
      <w:r>
        <w:rPr>
          <w:rFonts w:ascii="仿宋_GB2312" w:hAnsi="仿宋_GB2312" w:eastAsia="仿宋_GB2312" w:cs="仿宋_GB2312"/>
          <w:sz w:val="32"/>
          <w:szCs w:val="32"/>
        </w:rPr>
        <w:t>后备人才不足，缺少懂农业、懂技术的专业人才，缺少技能型、创新型农业经营人才。</w:t>
      </w:r>
      <w:r>
        <w:rPr>
          <w:rFonts w:hint="eastAsia" w:ascii="仿宋_GB2312" w:hAnsi="仿宋_GB2312" w:eastAsia="仿宋_GB2312" w:cs="仿宋_GB2312"/>
          <w:sz w:val="32"/>
          <w:szCs w:val="32"/>
        </w:rPr>
        <w:t>特别是靖边县</w:t>
      </w:r>
      <w:r>
        <w:rPr>
          <w:rFonts w:ascii="仿宋_GB2312" w:hAnsi="仿宋_GB2312" w:eastAsia="仿宋_GB2312" w:cs="仿宋_GB2312"/>
          <w:sz w:val="32"/>
          <w:szCs w:val="32"/>
        </w:rPr>
        <w:t>南部山区农村教育及医疗卫生资源短缺且落后，留不住人</w:t>
      </w:r>
      <w:r>
        <w:rPr>
          <w:rFonts w:hint="eastAsia" w:ascii="仿宋_GB2312" w:hAnsi="仿宋_GB2312" w:eastAsia="仿宋_GB2312" w:cs="仿宋_GB2312"/>
          <w:sz w:val="32"/>
          <w:szCs w:val="32"/>
        </w:rPr>
        <w:t>，青壮年绝大多数不愿意留在农村务农，常住人口除了患有疾病的极个别年轻人外，留守农村的大都是60岁以上的老人。</w:t>
      </w:r>
      <w:r>
        <w:rPr>
          <w:rFonts w:hint="eastAsia" w:ascii="仿宋_GB2312" w:hAnsi="仿宋_GB2312" w:eastAsia="仿宋_GB2312" w:cs="仿宋_GB2312"/>
          <w:b/>
          <w:bCs/>
          <w:sz w:val="32"/>
          <w:szCs w:val="32"/>
        </w:rPr>
        <w:t>六是乡村治理水平有待提升。</w:t>
      </w:r>
      <w:r>
        <w:rPr>
          <w:rFonts w:hint="eastAsia" w:ascii="仿宋_GB2312" w:hAnsi="仿宋_GB2312" w:eastAsia="仿宋_GB2312" w:cs="仿宋_GB2312"/>
          <w:sz w:val="32"/>
          <w:szCs w:val="32"/>
        </w:rPr>
        <w:t>乡村干部队伍素质与实施乡村战略要求差距较大，部分脱贫群众对脱贫攻坚期实施的惠民、兜底等政策依赖性较大，自主发展的信心和动力依然不足。</w:t>
      </w:r>
    </w:p>
    <w:p/>
    <w:p>
      <w:pPr>
        <w:pStyle w:val="2"/>
      </w:pPr>
    </w:p>
    <w:p/>
    <w:p>
      <w:pPr>
        <w:pStyle w:val="2"/>
      </w:pPr>
    </w:p>
    <w:p/>
    <w:p>
      <w:pPr>
        <w:pStyle w:val="2"/>
      </w:pPr>
    </w:p>
    <w:p/>
    <w:p>
      <w:pPr>
        <w:pStyle w:val="2"/>
      </w:pPr>
    </w:p>
    <w:p/>
    <w:p>
      <w:pPr>
        <w:pStyle w:val="2"/>
      </w:pPr>
    </w:p>
    <w:p/>
    <w:p>
      <w:pPr>
        <w:pStyle w:val="2"/>
      </w:pPr>
    </w:p>
    <w:p>
      <w:pPr>
        <w:jc w:val="center"/>
        <w:outlineLvl w:val="0"/>
        <w:rPr>
          <w:rFonts w:ascii="方正小标宋简体" w:hAnsi="方正小标宋简体" w:eastAsia="方正小标宋简体" w:cs="方正小标宋简体"/>
          <w:sz w:val="32"/>
          <w:szCs w:val="32"/>
        </w:rPr>
      </w:pPr>
      <w:bookmarkStart w:id="11" w:name="_Toc22150"/>
      <w:bookmarkStart w:id="12" w:name="_Toc24547"/>
    </w:p>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总体要求</w:t>
      </w:r>
      <w:bookmarkEnd w:id="11"/>
      <w:bookmarkEnd w:id="12"/>
    </w:p>
    <w:p>
      <w:pPr>
        <w:pStyle w:val="23"/>
        <w:widowControl w:val="0"/>
        <w:spacing w:after="0" w:line="240" w:lineRule="auto"/>
        <w:ind w:firstLine="616" w:firstLineChars="200"/>
        <w:rPr>
          <w:rFonts w:ascii="仿宋_GB2312" w:eastAsia="仿宋_GB2312"/>
          <w:sz w:val="32"/>
          <w:szCs w:val="32"/>
        </w:rPr>
      </w:pP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eastAsia="仿宋_GB2312"/>
          <w:sz w:val="32"/>
          <w:szCs w:val="32"/>
        </w:rPr>
        <w:t>总体判断，</w:t>
      </w:r>
      <w:r>
        <w:rPr>
          <w:rFonts w:hint="eastAsia" w:ascii="仿宋_GB2312" w:hAnsi="仿宋_GB2312" w:eastAsia="仿宋_GB2312" w:cs="仿宋_GB2312"/>
          <w:sz w:val="32"/>
          <w:szCs w:val="32"/>
        </w:rPr>
        <w:t>“十四五”时期将成为靖边发展史上极其重要的五年，靖边将进入转型升级最为紧迫和最具条件的时期。为此，全县上下要充分认识“十四五”时期的巩固拓展脱贫攻坚成果同乡村振兴有效衔接特殊重要性，以强烈的责任感和使命感，扎实推进巩固拓展脱贫攻坚成果同乡村振兴有效衔接工作，做到思想不乱、工作不断、队伍不散、干劲不减，取得显著成效。</w:t>
      </w:r>
    </w:p>
    <w:p/>
    <w:p>
      <w:pPr>
        <w:pStyle w:val="23"/>
        <w:widowControl w:val="0"/>
        <w:spacing w:after="0" w:line="240" w:lineRule="auto"/>
        <w:jc w:val="center"/>
        <w:outlineLvl w:val="1"/>
        <w:rPr>
          <w:rFonts w:ascii="黑体" w:hAnsi="黑体" w:eastAsia="黑体" w:cs="黑体"/>
          <w:sz w:val="32"/>
          <w:szCs w:val="32"/>
        </w:rPr>
      </w:pPr>
      <w:bookmarkStart w:id="13" w:name="_Toc20994"/>
      <w:bookmarkStart w:id="14" w:name="_Toc21340"/>
      <w:r>
        <w:rPr>
          <w:rFonts w:hint="eastAsia" w:ascii="黑体" w:hAnsi="黑体" w:eastAsia="黑体" w:cs="黑体"/>
          <w:sz w:val="32"/>
          <w:szCs w:val="32"/>
        </w:rPr>
        <w:t>第一节 指导思想</w:t>
      </w:r>
      <w:bookmarkEnd w:id="13"/>
      <w:bookmarkEnd w:id="14"/>
    </w:p>
    <w:p/>
    <w:p>
      <w:pPr>
        <w:ind w:firstLine="616" w:firstLineChars="200"/>
        <w:rPr>
          <w:rFonts w:ascii="仿宋_GB2312" w:hAnsi="仿宋_GB2312" w:eastAsia="仿宋_GB2312" w:cs="仿宋_GB2312"/>
          <w:color w:val="000000"/>
          <w:sz w:val="32"/>
          <w:szCs w:val="32"/>
        </w:rPr>
      </w:pPr>
      <w:r>
        <w:rPr>
          <w:rFonts w:hint="eastAsia" w:ascii="仿宋_GB2312" w:eastAsia="仿宋_GB2312"/>
          <w:sz w:val="32"/>
          <w:szCs w:val="32"/>
        </w:rPr>
        <w:t>以习近平新时代中国特色社会主义思想为指导，深入贯彻党的“二十大”精神，全面落实中央经济工作会议、中央农村工作会议精神和习近平总书记到全国各地考察有关乡村振兴重要论述，尤其是来陕考察重要讲话重要指示精神，贯彻陕西省委第十四次党代会精神，全面推进乡村振兴，加快推进农业农村现代化进程。坚决落实市委市政府巩固拓展脱贫攻坚成果、建设陕西现代农业先行区、全面推进乡村建设行动、深化农村改革的要求。</w:t>
      </w:r>
      <w:r>
        <w:rPr>
          <w:rFonts w:hint="eastAsia" w:ascii="仿宋_GB2312" w:eastAsia="仿宋_GB2312"/>
          <w:color w:val="000000"/>
          <w:kern w:val="0"/>
          <w:sz w:val="32"/>
          <w:szCs w:val="32"/>
        </w:rPr>
        <w:t>按照县第十九次党代会和县委</w:t>
      </w:r>
      <w:r>
        <w:rPr>
          <w:rFonts w:ascii="仿宋_GB2312" w:eastAsia="仿宋_GB2312"/>
          <w:color w:val="000000"/>
          <w:kern w:val="0"/>
          <w:sz w:val="32"/>
          <w:szCs w:val="32"/>
        </w:rPr>
        <w:t>十九届</w:t>
      </w:r>
      <w:r>
        <w:rPr>
          <w:rFonts w:hint="eastAsia" w:ascii="仿宋_GB2312" w:eastAsia="仿宋_GB2312"/>
          <w:color w:val="000000"/>
          <w:kern w:val="0"/>
          <w:sz w:val="32"/>
          <w:szCs w:val="32"/>
        </w:rPr>
        <w:t>三</w:t>
      </w:r>
      <w:r>
        <w:rPr>
          <w:rFonts w:ascii="仿宋_GB2312" w:eastAsia="仿宋_GB2312"/>
          <w:color w:val="000000"/>
          <w:kern w:val="0"/>
          <w:sz w:val="32"/>
          <w:szCs w:val="32"/>
        </w:rPr>
        <w:t>次全会</w:t>
      </w:r>
      <w:r>
        <w:rPr>
          <w:rFonts w:hint="eastAsia" w:ascii="仿宋_GB2312" w:eastAsia="仿宋_GB2312"/>
          <w:color w:val="000000"/>
          <w:kern w:val="0"/>
          <w:sz w:val="32"/>
          <w:szCs w:val="32"/>
        </w:rPr>
        <w:t>确定的目标任务，</w:t>
      </w:r>
      <w:r>
        <w:rPr>
          <w:rFonts w:hint="eastAsia" w:ascii="仿宋_GB2312" w:eastAsia="仿宋_GB2312"/>
          <w:sz w:val="32"/>
          <w:szCs w:val="32"/>
        </w:rPr>
        <w:t>坚持稳中求进工作总基调，完整、准确、全面贯彻新发展理念，坚持以人民为中心的发展思想，</w:t>
      </w:r>
      <w:r>
        <w:rPr>
          <w:rFonts w:hint="eastAsia" w:ascii="仿宋_GB2312" w:hAnsi="仿宋_GB2312" w:eastAsia="仿宋_GB2312" w:cs="仿宋_GB2312"/>
          <w:color w:val="000000"/>
          <w:sz w:val="32"/>
          <w:szCs w:val="32"/>
        </w:rPr>
        <w:t>坚持共同富裕方向，</w:t>
      </w:r>
      <w:r>
        <w:rPr>
          <w:rFonts w:hint="eastAsia" w:ascii="仿宋_GB2312" w:eastAsia="仿宋_GB2312"/>
          <w:sz w:val="32"/>
          <w:szCs w:val="32"/>
        </w:rPr>
        <w:t>坚持统筹发展和安全，</w:t>
      </w:r>
      <w:r>
        <w:rPr>
          <w:rFonts w:hint="eastAsia" w:ascii="仿宋_GB2312" w:eastAsia="仿宋_GB2312" w:hAnsiTheme="minorEastAsia"/>
          <w:kern w:val="0"/>
          <w:sz w:val="32"/>
          <w:szCs w:val="32"/>
        </w:rPr>
        <w:t>贯通落实“五项要求”“五个扎实”，</w:t>
      </w:r>
      <w:r>
        <w:rPr>
          <w:rFonts w:hint="eastAsia" w:ascii="仿宋_GB2312" w:eastAsia="仿宋_GB2312"/>
          <w:color w:val="000000"/>
          <w:kern w:val="0"/>
          <w:sz w:val="32"/>
          <w:szCs w:val="32"/>
        </w:rPr>
        <w:t>锚定全县“1365”战略，</w:t>
      </w:r>
      <w:r>
        <w:rPr>
          <w:rFonts w:hint="eastAsia" w:ascii="仿宋_GB2312" w:eastAsia="仿宋_GB2312"/>
          <w:b/>
          <w:bCs/>
          <w:sz w:val="32"/>
          <w:szCs w:val="32"/>
        </w:rPr>
        <w:t>按照“1235”工作思路，</w:t>
      </w:r>
      <w:r>
        <w:rPr>
          <w:rFonts w:hint="eastAsia" w:ascii="仿宋_GB2312" w:eastAsia="仿宋_GB2312"/>
          <w:sz w:val="32"/>
          <w:szCs w:val="32"/>
        </w:rPr>
        <w:t>即聚焦农业农村现代化总目标，坚守“保障国家粮食安全和不发生规模性返贫”两条底线，</w:t>
      </w:r>
      <w:r>
        <w:rPr>
          <w:rFonts w:hint="eastAsia" w:ascii="仿宋_GB2312" w:hAnsi="仿宋_GB2312" w:eastAsia="仿宋_GB2312" w:cs="仿宋_GB2312"/>
          <w:sz w:val="32"/>
          <w:szCs w:val="32"/>
        </w:rPr>
        <w:t>突出抓好“乡村发展、乡村建设、乡村治理”三项重点，</w:t>
      </w:r>
      <w:r>
        <w:rPr>
          <w:rFonts w:hint="eastAsia" w:ascii="仿宋_GB2312" w:hAnsi="仿宋_GB2312" w:eastAsia="仿宋_GB2312" w:cs="仿宋_GB2312"/>
          <w:color w:val="000000"/>
          <w:sz w:val="32"/>
          <w:szCs w:val="32"/>
        </w:rPr>
        <w:t>加快推进乡村产业、人才、文化、生态、组织</w:t>
      </w:r>
      <w:r>
        <w:rPr>
          <w:rFonts w:hint="eastAsia" w:ascii="仿宋_GB2312" w:hAnsi="仿宋_GB2312" w:eastAsia="仿宋_GB2312" w:cs="仿宋_GB2312"/>
          <w:sz w:val="32"/>
          <w:szCs w:val="32"/>
        </w:rPr>
        <w:t>五大</w:t>
      </w:r>
      <w:r>
        <w:rPr>
          <w:rFonts w:hint="eastAsia" w:ascii="仿宋_GB2312" w:hAnsi="仿宋_GB2312" w:eastAsia="仿宋_GB2312" w:cs="仿宋_GB2312"/>
          <w:color w:val="000000"/>
          <w:sz w:val="32"/>
          <w:szCs w:val="32"/>
        </w:rPr>
        <w:t>振兴，为全面实现乡村振兴战略目标奠定坚实基础。</w:t>
      </w:r>
    </w:p>
    <w:p>
      <w:pPr>
        <w:pStyle w:val="2"/>
      </w:pPr>
    </w:p>
    <w:p>
      <w:pPr>
        <w:pStyle w:val="23"/>
        <w:widowControl w:val="0"/>
        <w:spacing w:after="0" w:line="240" w:lineRule="auto"/>
        <w:jc w:val="center"/>
        <w:outlineLvl w:val="1"/>
        <w:rPr>
          <w:rFonts w:ascii="黑体" w:hAnsi="黑体" w:eastAsia="黑体" w:cs="黑体"/>
          <w:sz w:val="32"/>
          <w:szCs w:val="32"/>
        </w:rPr>
      </w:pPr>
      <w:bookmarkStart w:id="15" w:name="_Toc2066"/>
      <w:bookmarkStart w:id="16" w:name="_Toc15317"/>
      <w:r>
        <w:rPr>
          <w:rFonts w:hint="eastAsia" w:ascii="黑体" w:hAnsi="黑体" w:eastAsia="黑体" w:cs="黑体"/>
          <w:sz w:val="32"/>
          <w:szCs w:val="32"/>
        </w:rPr>
        <w:t>第二节 坚持原则</w:t>
      </w:r>
      <w:bookmarkEnd w:id="15"/>
      <w:bookmarkEnd w:id="16"/>
    </w:p>
    <w:p/>
    <w:p>
      <w:pPr>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——坚持党政主导。</w:t>
      </w:r>
      <w:r>
        <w:rPr>
          <w:rFonts w:hint="eastAsia" w:ascii="仿宋_GB2312" w:hAnsi="仿宋_GB2312" w:eastAsia="仿宋_GB2312" w:cs="仿宋_GB2312"/>
          <w:sz w:val="32"/>
          <w:szCs w:val="32"/>
        </w:rPr>
        <w:t>各级党政主要领导既抓统筹，更抓落实，以身作则、以上率下，确保工作责任贯通、高效推进。</w:t>
      </w:r>
    </w:p>
    <w:p>
      <w:pPr>
        <w:pStyle w:val="2"/>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——坚持群众立场。</w:t>
      </w:r>
      <w:r>
        <w:rPr>
          <w:rFonts w:hint="eastAsia" w:ascii="仿宋_GB2312" w:hAnsi="仿宋_GB2312" w:eastAsia="仿宋_GB2312" w:cs="仿宋_GB2312"/>
          <w:sz w:val="32"/>
          <w:szCs w:val="32"/>
        </w:rPr>
        <w:t>充发挥人民群众的主观能动性，尊重群众意愿，保障农民权益，依靠农民、引导农民、组织带动农民，发挥政府引导、支持、组织保障等方面作用。</w:t>
      </w:r>
    </w:p>
    <w:p>
      <w:pPr>
        <w:pStyle w:val="2"/>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——坚持全局统筹。</w:t>
      </w:r>
      <w:r>
        <w:rPr>
          <w:rFonts w:hint="eastAsia" w:ascii="仿宋_GB2312" w:hAnsi="仿宋_GB2312" w:eastAsia="仿宋_GB2312" w:cs="仿宋_GB2312"/>
          <w:sz w:val="32"/>
          <w:szCs w:val="32"/>
        </w:rPr>
        <w:t>坚持“一盘棋”思想，把巩固拓展脱贫成果推进实施乡村振兴战略放在全县经济社会发展大局中统筹谋划、平稳过渡、梯次推进、社会协同、形成合力。</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——坚持产业引领。</w:t>
      </w:r>
      <w:r>
        <w:rPr>
          <w:rFonts w:hint="eastAsia" w:ascii="仿宋_GB2312" w:hAnsi="仿宋_GB2312" w:eastAsia="仿宋_GB2312" w:cs="仿宋_GB2312"/>
          <w:sz w:val="32"/>
          <w:szCs w:val="32"/>
        </w:rPr>
        <w:t>牢牢扭住产业这个“牛鼻子”，探索推进“村集体经济组织+X”发展模式，持续壮大村级集体经济；依托资源禀赋，宜农则农、宜林则林、宜工则工，打造闭环产业链条，健全利益联结机制，把群众镶嵌在产业链上稳定增收。</w:t>
      </w:r>
    </w:p>
    <w:p>
      <w:pPr>
        <w:pStyle w:val="2"/>
        <w:ind w:firstLine="616" w:firstLineChars="200"/>
        <w:rPr>
          <w:sz w:val="32"/>
          <w:szCs w:val="32"/>
        </w:rPr>
      </w:pPr>
      <w:r>
        <w:rPr>
          <w:rFonts w:hint="eastAsia" w:ascii="楷体_GB2312" w:hAnsi="楷体_GB2312" w:eastAsia="楷体_GB2312" w:cs="楷体_GB2312"/>
          <w:b/>
          <w:bCs/>
          <w:sz w:val="32"/>
          <w:szCs w:val="32"/>
        </w:rPr>
        <w:t>——坚持清单管理。</w:t>
      </w:r>
      <w:r>
        <w:rPr>
          <w:rFonts w:hint="eastAsia" w:ascii="仿宋_GB2312" w:hAnsi="仿宋_GB2312" w:eastAsia="仿宋_GB2312" w:cs="仿宋_GB2312"/>
          <w:sz w:val="32"/>
          <w:szCs w:val="32"/>
        </w:rPr>
        <w:t>对重点工作任务实行清单化管理，坚持压茬式推进方式，切实推动各镇（街道、场）各部门把乡村振兴工作放在心上、拿在手上、抓出成效。</w:t>
      </w:r>
    </w:p>
    <w:p>
      <w:pPr>
        <w:pStyle w:val="2"/>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——坚持督导驱动。</w:t>
      </w:r>
      <w:r>
        <w:rPr>
          <w:rFonts w:hint="eastAsia" w:ascii="仿宋_GB2312" w:hAnsi="仿宋_GB2312" w:eastAsia="仿宋_GB2312" w:cs="仿宋_GB2312"/>
          <w:sz w:val="32"/>
          <w:szCs w:val="32"/>
        </w:rPr>
        <w:t>继续开展好日常工作督查和业务指导，将督导情况纳入年度考核范围，强化巩固拓展脱贫攻坚成果推进实施乡村振兴战略实绩考核结果运用。</w:t>
      </w:r>
    </w:p>
    <w:p/>
    <w:p>
      <w:pPr>
        <w:pStyle w:val="23"/>
        <w:widowControl w:val="0"/>
        <w:spacing w:after="0" w:line="240" w:lineRule="auto"/>
        <w:jc w:val="center"/>
        <w:outlineLvl w:val="1"/>
        <w:rPr>
          <w:rFonts w:ascii="黑体" w:hAnsi="黑体" w:eastAsia="黑体" w:cs="黑体"/>
          <w:sz w:val="32"/>
          <w:szCs w:val="32"/>
        </w:rPr>
      </w:pPr>
      <w:bookmarkStart w:id="17" w:name="_Toc17784"/>
      <w:bookmarkStart w:id="18" w:name="_Toc30210"/>
      <w:r>
        <w:rPr>
          <w:rFonts w:hint="eastAsia" w:ascii="黑体" w:hAnsi="黑体" w:eastAsia="黑体" w:cs="黑体"/>
          <w:sz w:val="32"/>
          <w:szCs w:val="32"/>
        </w:rPr>
        <w:t>第三节 发展目标</w:t>
      </w:r>
      <w:bookmarkEnd w:id="17"/>
      <w:bookmarkEnd w:id="18"/>
    </w:p>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巩固拓展脱贫攻坚成果，坚决守住不发生规模性返贫底线，不断强化体制机制衔接、政策衔接和工作衔接，着力推进工作重心稳妥转移，推动乡村振兴有关具体工作落地见效，统筹抓好农业农村工作，确保脱贫群众收入增速高于全县农民收入增速、脱贫村农民收入增速高于全国农民收入增速，使脱贫群众与全县农民的收入比例、脱贫村农民与全国农民的收入比例不断提高。</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——“两不愁三保障”及饮水安全成果巩固拓展。</w:t>
      </w:r>
      <w:r>
        <w:rPr>
          <w:rFonts w:hint="eastAsia" w:ascii="仿宋_GB2312" w:hAnsi="仿宋_GB2312" w:eastAsia="仿宋_GB2312" w:cs="仿宋_GB2312"/>
          <w:sz w:val="32"/>
          <w:szCs w:val="32"/>
        </w:rPr>
        <w:t>城乡低保、各类救助和供养等兜底措施更加精准及时，推动无劳动能力、无就业能力的农村困难人口应保尽保、应救尽救，农村义务教育、基本医疗和住房、饮水安全等后续保障力度持续增强，突出短板有力破解，实现农村义务教育巩固率99%，农村居民医保参保率保持95%以上，农村自来水普及率达到98%。</w:t>
      </w:r>
    </w:p>
    <w:p>
      <w:pPr>
        <w:ind w:firstLine="616" w:firstLineChars="200"/>
        <w:rPr>
          <w:rFonts w:ascii="仿宋_GB2312" w:eastAsia="仿宋_GB2312"/>
          <w:sz w:val="32"/>
          <w:szCs w:val="32"/>
        </w:rPr>
      </w:pPr>
      <w:r>
        <w:rPr>
          <w:rFonts w:hint="eastAsia" w:ascii="楷体_GB2312" w:hAnsi="楷体_GB2312" w:eastAsia="楷体_GB2312" w:cs="楷体_GB2312"/>
          <w:b/>
          <w:bCs/>
          <w:sz w:val="32"/>
          <w:szCs w:val="32"/>
        </w:rPr>
        <w:t>——特色优势产业进一步发展壮大。</w:t>
      </w:r>
      <w:r>
        <w:rPr>
          <w:rFonts w:hint="eastAsia" w:ascii="仿宋_GB2312" w:eastAsia="仿宋_GB2312"/>
          <w:sz w:val="32"/>
          <w:szCs w:val="32"/>
        </w:rPr>
        <w:t>形成以“畜、薯、菜”三大产业主导的“3+X”特色农业产业集群，构建农业产业技术创新、成果孵化、产业示范平台，培育壮大文旅农业、智慧农业等新兴产业，实现产业链延伸和一、二、三产业互促互动。完善产业利益联结机制，增强产业带动增收致富能力，力争农产品加工产值与农业总产值比达到0.7:1，农业产值年均增速高于全市平均水平。</w:t>
      </w:r>
    </w:p>
    <w:p>
      <w:pPr>
        <w:ind w:firstLine="616" w:firstLineChars="200"/>
        <w:rPr>
          <w:rFonts w:ascii="仿宋_GB2312" w:eastAsia="仿宋_GB2312"/>
          <w:sz w:val="32"/>
          <w:szCs w:val="32"/>
        </w:rPr>
      </w:pPr>
      <w:r>
        <w:rPr>
          <w:rFonts w:hint="eastAsia" w:ascii="楷体_GB2312" w:hAnsi="楷体_GB2312" w:eastAsia="楷体_GB2312" w:cs="楷体_GB2312"/>
          <w:b/>
          <w:bCs/>
          <w:sz w:val="32"/>
          <w:szCs w:val="32"/>
        </w:rPr>
        <w:t>——乡村环境和乡风文明水平明显提升。</w:t>
      </w:r>
      <w:r>
        <w:rPr>
          <w:rFonts w:hint="eastAsia" w:ascii="仿宋_GB2312" w:eastAsia="仿宋_GB2312"/>
          <w:sz w:val="32"/>
          <w:szCs w:val="32"/>
        </w:rPr>
        <w:t>村庄布局进一步优化，城乡基础设施一体化建设管理水平明显提高，乡村建设行动成效明显，交通网络体系不断完善，美丽宜居的乡村风貌不断彰显，勤劳淳朴的乡风文明程度不断提升，带头引领的村党组织战斗力凝聚力不断增强，交通、能源、水利、信息等农村基础设施短板逐步补齐，持续巩固村民小组通硬化路100%，力争实现全县镇（街道、场）通三级公路比例、农村卫生户厕普及率、行政村生活垃圾有效治理比例达85%以上。</w:t>
      </w:r>
    </w:p>
    <w:p>
      <w:pPr>
        <w:ind w:firstLine="616" w:firstLineChars="200"/>
      </w:pPr>
      <w:r>
        <w:rPr>
          <w:rFonts w:hint="eastAsia" w:ascii="楷体_GB2312" w:hAnsi="楷体_GB2312" w:eastAsia="楷体_GB2312" w:cs="楷体_GB2312"/>
          <w:b/>
          <w:bCs/>
          <w:sz w:val="32"/>
          <w:szCs w:val="32"/>
        </w:rPr>
        <w:t>——就业和公共服务水平持续提升。</w:t>
      </w:r>
      <w:r>
        <w:rPr>
          <w:rFonts w:hint="eastAsia" w:ascii="仿宋_GB2312" w:eastAsia="仿宋_GB2312"/>
          <w:sz w:val="32"/>
          <w:szCs w:val="32"/>
        </w:rPr>
        <w:t>公共服务城乡一体化和基本公共服务均等化水平不断提升，农村教育普及水平稳步提高，公共卫生与医疗服务体系更加完善，就业服务体系更加健全，现代化技能培训实效不断增强，实现农村义务教育学校校舍建设标准化率达到90%以上，转移就业率达到85%，移民搬迁集中安置点社区管理覆盖面达到100%。</w:t>
      </w:r>
    </w:p>
    <w:p>
      <w:pPr>
        <w:ind w:firstLine="616" w:firstLineChars="200"/>
        <w:rPr>
          <w:rFonts w:ascii="仿宋_GB2312" w:eastAsia="仿宋_GB2312"/>
          <w:b/>
          <w:bCs/>
          <w:sz w:val="32"/>
          <w:szCs w:val="32"/>
        </w:rPr>
      </w:pPr>
      <w:r>
        <w:rPr>
          <w:rFonts w:hint="eastAsia" w:ascii="楷体_GB2312" w:hAnsi="楷体_GB2312" w:eastAsia="楷体_GB2312" w:cs="楷体_GB2312"/>
          <w:b/>
          <w:bCs/>
          <w:sz w:val="32"/>
          <w:szCs w:val="32"/>
        </w:rPr>
        <w:t>——基层治理能力明显增强。</w:t>
      </w:r>
      <w:r>
        <w:rPr>
          <w:rFonts w:hint="eastAsia" w:ascii="仿宋_GB2312" w:eastAsia="仿宋_GB2312"/>
          <w:sz w:val="32"/>
          <w:szCs w:val="32"/>
        </w:rPr>
        <w:t>建立健全党组织领导的自治、法治、德治相结合的乡村治理体系，建立和完善乡村治理清单制，网格化管理服务设施更加健全，乡村数字治理手段更加完善。</w:t>
      </w:r>
    </w:p>
    <w:p>
      <w:pPr>
        <w:ind w:firstLine="616" w:firstLineChars="200"/>
        <w:rPr>
          <w:rFonts w:ascii="仿宋_GB2312" w:eastAsia="仿宋_GB2312"/>
          <w:sz w:val="32"/>
          <w:szCs w:val="32"/>
        </w:rPr>
      </w:pPr>
      <w:r>
        <w:rPr>
          <w:rFonts w:hint="eastAsia" w:ascii="楷体_GB2312" w:hAnsi="楷体_GB2312" w:eastAsia="楷体_GB2312" w:cs="楷体_GB2312"/>
          <w:b/>
          <w:bCs/>
          <w:sz w:val="32"/>
          <w:szCs w:val="32"/>
        </w:rPr>
        <w:t>——人民生活水平不断提升。</w:t>
      </w:r>
      <w:r>
        <w:rPr>
          <w:rFonts w:hint="eastAsia" w:ascii="仿宋_GB2312" w:eastAsia="仿宋_GB2312"/>
          <w:sz w:val="32"/>
          <w:szCs w:val="32"/>
        </w:rPr>
        <w:t>脱贫户内生发展动能显著提升、增收致富渠道明显拓宽，农村常住居民收入增长与经济增长基本同步、人均生活消费支出不断提升、城乡居民可支配收入差距逐步缩小，实现农村常住居民人均可支配收入增速高于全区平均水平，力争城乡居民收入比达到1.9:1。</w:t>
      </w:r>
    </w:p>
    <w:p>
      <w:pPr>
        <w:pStyle w:val="2"/>
      </w:pPr>
    </w:p>
    <w:tbl>
      <w:tblPr>
        <w:tblStyle w:val="2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588"/>
        <w:gridCol w:w="4913"/>
        <w:gridCol w:w="852"/>
        <w:gridCol w:w="84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0" w:type="auto"/>
            <w:gridSpan w:val="6"/>
            <w:vAlign w:val="center"/>
          </w:tcPr>
          <w:p>
            <w:pPr>
              <w:pStyle w:val="24"/>
              <w:widowControl w:val="0"/>
              <w:spacing w:line="0" w:lineRule="atLeast"/>
              <w:ind w:left="0" w:firstLine="420"/>
              <w:jc w:val="center"/>
              <w:rPr>
                <w:rFonts w:ascii="黑体" w:hAnsi="黑体" w:eastAsia="黑体"/>
                <w:kern w:val="2"/>
                <w:sz w:val="24"/>
                <w:szCs w:val="24"/>
              </w:rPr>
            </w:pPr>
            <w:r>
              <w:rPr>
                <w:rFonts w:hint="eastAsia" w:ascii="黑体" w:hAnsi="黑体" w:eastAsia="黑体"/>
                <w:kern w:val="2"/>
                <w:sz w:val="24"/>
                <w:szCs w:val="24"/>
              </w:rPr>
              <w:t>专栏1 靖边县“十四五”巩固拓展脱贫攻坚成果同</w:t>
            </w:r>
          </w:p>
          <w:p>
            <w:pPr>
              <w:pStyle w:val="24"/>
              <w:widowControl w:val="0"/>
              <w:spacing w:line="0" w:lineRule="atLeast"/>
              <w:ind w:left="0" w:firstLine="420"/>
              <w:jc w:val="center"/>
              <w:rPr>
                <w:rFonts w:ascii="黑体" w:hAnsi="黑体" w:eastAsia="黑体"/>
                <w:kern w:val="2"/>
                <w:szCs w:val="32"/>
              </w:rPr>
            </w:pPr>
            <w:r>
              <w:rPr>
                <w:rFonts w:hint="eastAsia" w:ascii="黑体" w:hAnsi="黑体" w:eastAsia="黑体"/>
                <w:kern w:val="2"/>
                <w:sz w:val="24"/>
                <w:szCs w:val="24"/>
              </w:rPr>
              <w:t>乡村振兴有效衔接主要指标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blHeader/>
        </w:trPr>
        <w:tc>
          <w:tcPr>
            <w:tcW w:w="458" w:type="dxa"/>
            <w:vAlign w:val="center"/>
          </w:tcPr>
          <w:p>
            <w:pPr>
              <w:pStyle w:val="24"/>
              <w:widowControl w:val="0"/>
              <w:spacing w:line="0" w:lineRule="atLeast"/>
              <w:ind w:left="0" w:firstLine="0"/>
              <w:jc w:val="center"/>
              <w:rPr>
                <w:rFonts w:ascii="黑体" w:hAnsi="黑体" w:eastAsia="黑体"/>
                <w:kern w:val="2"/>
                <w:sz w:val="24"/>
                <w:szCs w:val="24"/>
              </w:rPr>
            </w:pPr>
            <w:r>
              <w:rPr>
                <w:rFonts w:hint="eastAsia" w:ascii="黑体" w:hAnsi="黑体" w:eastAsia="黑体"/>
                <w:kern w:val="2"/>
                <w:sz w:val="24"/>
                <w:szCs w:val="24"/>
              </w:rPr>
              <w:t>序号</w:t>
            </w:r>
          </w:p>
        </w:tc>
        <w:tc>
          <w:tcPr>
            <w:tcW w:w="589" w:type="dxa"/>
            <w:vAlign w:val="center"/>
          </w:tcPr>
          <w:p>
            <w:pPr>
              <w:pStyle w:val="24"/>
              <w:widowControl w:val="0"/>
              <w:spacing w:line="0" w:lineRule="atLeast"/>
              <w:ind w:left="0" w:firstLine="0"/>
              <w:jc w:val="center"/>
              <w:rPr>
                <w:rFonts w:ascii="黑体" w:hAnsi="黑体" w:eastAsia="黑体"/>
                <w:kern w:val="2"/>
                <w:sz w:val="24"/>
                <w:szCs w:val="24"/>
              </w:rPr>
            </w:pPr>
            <w:r>
              <w:rPr>
                <w:rFonts w:hint="eastAsia" w:ascii="黑体" w:hAnsi="黑体" w:eastAsia="黑体"/>
                <w:kern w:val="2"/>
                <w:sz w:val="24"/>
                <w:szCs w:val="24"/>
              </w:rPr>
              <w:t>分类</w:t>
            </w:r>
          </w:p>
        </w:tc>
        <w:tc>
          <w:tcPr>
            <w:tcW w:w="4918" w:type="dxa"/>
            <w:vAlign w:val="center"/>
          </w:tcPr>
          <w:p>
            <w:pPr>
              <w:pStyle w:val="24"/>
              <w:widowControl w:val="0"/>
              <w:spacing w:line="0" w:lineRule="atLeast"/>
              <w:ind w:left="0" w:firstLine="0"/>
              <w:jc w:val="center"/>
              <w:rPr>
                <w:rFonts w:ascii="黑体" w:hAnsi="黑体" w:eastAsia="黑体"/>
                <w:kern w:val="2"/>
                <w:sz w:val="24"/>
                <w:szCs w:val="24"/>
              </w:rPr>
            </w:pPr>
            <w:r>
              <w:rPr>
                <w:rFonts w:hint="eastAsia" w:ascii="黑体" w:hAnsi="黑体" w:eastAsia="黑体"/>
                <w:kern w:val="2"/>
                <w:sz w:val="24"/>
                <w:szCs w:val="24"/>
              </w:rPr>
              <w:t>指标</w:t>
            </w:r>
          </w:p>
        </w:tc>
        <w:tc>
          <w:tcPr>
            <w:tcW w:w="852" w:type="dxa"/>
            <w:vAlign w:val="center"/>
          </w:tcPr>
          <w:p>
            <w:pPr>
              <w:pStyle w:val="24"/>
              <w:widowControl w:val="0"/>
              <w:spacing w:line="0" w:lineRule="atLeast"/>
              <w:ind w:left="0" w:firstLine="0"/>
              <w:jc w:val="center"/>
              <w:rPr>
                <w:rFonts w:ascii="黑体" w:hAnsi="黑体" w:eastAsia="黑体"/>
                <w:kern w:val="2"/>
                <w:sz w:val="24"/>
                <w:szCs w:val="24"/>
              </w:rPr>
            </w:pPr>
            <w:r>
              <w:rPr>
                <w:rFonts w:hint="eastAsia" w:ascii="黑体" w:hAnsi="黑体" w:eastAsia="黑体"/>
                <w:kern w:val="2"/>
                <w:sz w:val="24"/>
                <w:szCs w:val="24"/>
              </w:rPr>
              <w:t>2020年</w:t>
            </w:r>
          </w:p>
        </w:tc>
        <w:tc>
          <w:tcPr>
            <w:tcW w:w="842" w:type="dxa"/>
            <w:vAlign w:val="center"/>
          </w:tcPr>
          <w:p>
            <w:pPr>
              <w:pStyle w:val="24"/>
              <w:widowControl w:val="0"/>
              <w:spacing w:line="0" w:lineRule="atLeast"/>
              <w:ind w:left="0" w:firstLine="0"/>
              <w:jc w:val="center"/>
              <w:rPr>
                <w:rFonts w:ascii="黑体" w:hAnsi="黑体" w:eastAsia="黑体"/>
                <w:kern w:val="2"/>
                <w:sz w:val="24"/>
                <w:szCs w:val="24"/>
              </w:rPr>
            </w:pPr>
            <w:r>
              <w:rPr>
                <w:rFonts w:hint="eastAsia" w:ascii="黑体" w:hAnsi="黑体" w:eastAsia="黑体"/>
                <w:kern w:val="2"/>
                <w:sz w:val="24"/>
                <w:szCs w:val="24"/>
              </w:rPr>
              <w:t>2025年</w:t>
            </w:r>
          </w:p>
        </w:tc>
        <w:tc>
          <w:tcPr>
            <w:tcW w:w="741" w:type="dxa"/>
            <w:vAlign w:val="center"/>
          </w:tcPr>
          <w:p>
            <w:pPr>
              <w:pStyle w:val="24"/>
              <w:widowControl w:val="0"/>
              <w:spacing w:line="0" w:lineRule="atLeast"/>
              <w:ind w:left="0" w:firstLine="0"/>
              <w:jc w:val="center"/>
              <w:rPr>
                <w:rFonts w:ascii="黑体" w:hAnsi="黑体" w:eastAsia="黑体"/>
                <w:kern w:val="2"/>
                <w:sz w:val="24"/>
                <w:szCs w:val="24"/>
              </w:rPr>
            </w:pPr>
            <w:r>
              <w:rPr>
                <w:rFonts w:hint="eastAsia" w:ascii="黑体" w:hAnsi="黑体" w:eastAsia="黑体"/>
                <w:kern w:val="2"/>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w:t>
            </w:r>
          </w:p>
        </w:tc>
        <w:tc>
          <w:tcPr>
            <w:tcW w:w="589" w:type="dxa"/>
            <w:vMerge w:val="restart"/>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巩固提升</w:t>
            </w: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返贫人口</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动态清零</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脱贫人口、防止返贫监测对象义务教育阶段适龄儿童少年除身体原因不具备学习条件外失学辍学人数</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动态清零</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3</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脱贫人口、防止返贫监测对象基本医疗保障率（%）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95</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4</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脱贫人口、防止返贫监测对象住房安全保障率（%）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5</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脱贫人口、防止返贫监测对象饮水安全保障率（%）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7</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义务教育学校教师本科以上学历比例（%）</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84</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89</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8</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每千人拥有执业（助理）医师数（人）</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2.9</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4</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w:t>
            </w:r>
          </w:p>
        </w:tc>
        <w:tc>
          <w:tcPr>
            <w:tcW w:w="589" w:type="dxa"/>
            <w:vMerge w:val="restart"/>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产业发展</w:t>
            </w: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地区生产总值（亿元）</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62.14</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73</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市级以上龙头企业数（家）</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16</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26</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11</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农产品加工业与农业总产值比</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0.62：1</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0.7:1</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12</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农业科技进步贡献率（%）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62</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70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13</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集体收益5万元以上的村占比（%）</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12</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60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14</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易地移民搬迁安置点就业率（%）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40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15</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易地移民搬迁安置点基础设设施和服务设施完成率（%）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13</w:t>
            </w:r>
          </w:p>
        </w:tc>
        <w:tc>
          <w:tcPr>
            <w:tcW w:w="589" w:type="dxa"/>
            <w:vMerge w:val="restart"/>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人居环境</w:t>
            </w: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30户以上自然村通硬化路比例（%）</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60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14</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具备条件的建制村通物流快递比例（%）</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15</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农村户用卫生厕所普及率（%）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30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40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16</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生活垃圾得到有效治理的自然村比例（%）</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82</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17</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森林覆盖率（%）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38.44</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39.5</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18</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农村污水集中处理率（%）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36</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45</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19</w:t>
            </w:r>
          </w:p>
        </w:tc>
        <w:tc>
          <w:tcPr>
            <w:tcW w:w="589" w:type="dxa"/>
            <w:vMerge w:val="restart"/>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农村事业</w:t>
            </w: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具备条件的建制村物流快递比例（%）</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20</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村标准化综合性文化中心覆盖率（%）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68</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21</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县级及以上文明村和镇（便民服务中心、街道、场）占比（%）</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 xml:space="preserve">*  </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22</w:t>
            </w:r>
          </w:p>
        </w:tc>
        <w:tc>
          <w:tcPr>
            <w:tcW w:w="589" w:type="dxa"/>
            <w:vMerge w:val="restart"/>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基层治理</w:t>
            </w: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有社区服务站的村占比（%）</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23</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有村规民约的村占比（%）</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24</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标准化村党组织覆盖率（%）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80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25</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建制村储备干部达标率（%）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100</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26</w:t>
            </w:r>
          </w:p>
        </w:tc>
        <w:tc>
          <w:tcPr>
            <w:tcW w:w="589" w:type="dxa"/>
            <w:vMerge w:val="restart"/>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生活提升</w:t>
            </w: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农村基本养老保险参保率（%）</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95</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99</w:t>
            </w:r>
          </w:p>
        </w:tc>
        <w:tc>
          <w:tcPr>
            <w:tcW w:w="741" w:type="dxa"/>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27</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农村居民人均可支配收入（元）</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16620</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26500</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color w:val="auto"/>
                <w:spacing w:val="0"/>
                <w:kern w:val="2"/>
                <w:sz w:val="15"/>
                <w:szCs w:val="15"/>
              </w:rPr>
            </w:pPr>
            <w:r>
              <w:rPr>
                <w:rFonts w:hint="eastAsia" w:asciiTheme="minorEastAsia" w:hAnsiTheme="minorEastAsia" w:eastAsiaTheme="minorEastAsia" w:cstheme="minorEastAsia"/>
                <w:color w:val="auto"/>
                <w:spacing w:val="0"/>
                <w:kern w:val="2"/>
                <w:sz w:val="15"/>
                <w:szCs w:val="15"/>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28</w:t>
            </w:r>
          </w:p>
        </w:tc>
        <w:tc>
          <w:tcPr>
            <w:tcW w:w="589" w:type="dxa"/>
            <w:vMerge w:val="continue"/>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p>
        </w:tc>
        <w:tc>
          <w:tcPr>
            <w:tcW w:w="4918"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城乡居民收入比</w:t>
            </w:r>
          </w:p>
        </w:tc>
        <w:tc>
          <w:tcPr>
            <w:tcW w:w="85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2.21:1</w:t>
            </w:r>
          </w:p>
        </w:tc>
        <w:tc>
          <w:tcPr>
            <w:tcW w:w="842" w:type="dxa"/>
            <w:vAlign w:val="center"/>
          </w:tcPr>
          <w:p>
            <w:pPr>
              <w:pStyle w:val="24"/>
              <w:widowControl w:val="0"/>
              <w:spacing w:line="240" w:lineRule="auto"/>
              <w:ind w:left="0" w:firstLine="0"/>
              <w:jc w:val="center"/>
              <w:rPr>
                <w:rFonts w:asciiTheme="minorEastAsia" w:hAnsiTheme="minorEastAsia" w:eastAsiaTheme="minorEastAsia" w:cstheme="minorEastAsia"/>
                <w:kern w:val="2"/>
                <w:sz w:val="15"/>
                <w:szCs w:val="15"/>
              </w:rPr>
            </w:pPr>
            <w:r>
              <w:rPr>
                <w:rFonts w:hint="eastAsia" w:asciiTheme="minorEastAsia" w:hAnsiTheme="minorEastAsia" w:eastAsiaTheme="minorEastAsia" w:cstheme="minorEastAsia"/>
                <w:kern w:val="2"/>
                <w:sz w:val="15"/>
                <w:szCs w:val="15"/>
              </w:rPr>
              <w:t>1.96:1</w:t>
            </w:r>
          </w:p>
        </w:tc>
        <w:tc>
          <w:tcPr>
            <w:tcW w:w="741" w:type="dxa"/>
            <w:vAlign w:val="center"/>
          </w:tcPr>
          <w:p>
            <w:pPr>
              <w:pStyle w:val="24"/>
              <w:widowControl w:val="0"/>
              <w:spacing w:line="240" w:lineRule="auto"/>
              <w:ind w:left="0" w:firstLine="0"/>
              <w:jc w:val="distribute"/>
              <w:rPr>
                <w:rFonts w:asciiTheme="minorEastAsia" w:hAnsiTheme="minorEastAsia" w:eastAsiaTheme="minorEastAsia" w:cstheme="minorEastAsia"/>
                <w:color w:val="auto"/>
                <w:spacing w:val="0"/>
                <w:kern w:val="2"/>
                <w:sz w:val="15"/>
                <w:szCs w:val="15"/>
              </w:rPr>
            </w:pPr>
            <w:r>
              <w:rPr>
                <w:rFonts w:hint="eastAsia" w:asciiTheme="minorEastAsia" w:hAnsiTheme="minorEastAsia" w:eastAsiaTheme="minorEastAsia" w:cstheme="minorEastAsia"/>
                <w:color w:val="auto"/>
                <w:spacing w:val="0"/>
                <w:kern w:val="2"/>
                <w:sz w:val="15"/>
                <w:szCs w:val="15"/>
              </w:rPr>
              <w:t>约束性</w:t>
            </w:r>
          </w:p>
        </w:tc>
      </w:tr>
    </w:tbl>
    <w:p>
      <w:pPr>
        <w:pStyle w:val="24"/>
        <w:widowControl w:val="0"/>
        <w:spacing w:line="240" w:lineRule="auto"/>
        <w:ind w:left="0" w:firstLine="0"/>
        <w:jc w:val="center"/>
        <w:rPr>
          <w:rFonts w:ascii="黑体" w:hAnsi="黑体" w:eastAsia="黑体"/>
          <w:kern w:val="2"/>
          <w:szCs w:val="32"/>
        </w:rPr>
      </w:pPr>
    </w:p>
    <w:p>
      <w:pPr>
        <w:pStyle w:val="24"/>
        <w:widowControl w:val="0"/>
        <w:spacing w:line="240" w:lineRule="auto"/>
        <w:ind w:left="0" w:firstLine="0"/>
        <w:jc w:val="center"/>
        <w:rPr>
          <w:rFonts w:ascii="黑体" w:hAnsi="黑体" w:eastAsia="黑体"/>
          <w:kern w:val="2"/>
          <w:szCs w:val="32"/>
        </w:rPr>
      </w:pPr>
    </w:p>
    <w:p>
      <w:pPr>
        <w:pStyle w:val="24"/>
        <w:widowControl w:val="0"/>
        <w:spacing w:line="240" w:lineRule="auto"/>
        <w:ind w:left="0" w:firstLine="0"/>
        <w:rPr>
          <w:rFonts w:ascii="黑体" w:hAnsi="黑体" w:eastAsia="黑体"/>
          <w:kern w:val="2"/>
          <w:szCs w:val="32"/>
        </w:rPr>
      </w:pPr>
    </w:p>
    <w:p>
      <w:pPr>
        <w:pStyle w:val="24"/>
        <w:widowControl w:val="0"/>
        <w:spacing w:line="240" w:lineRule="auto"/>
        <w:ind w:left="0" w:firstLine="0"/>
        <w:rPr>
          <w:rFonts w:ascii="黑体" w:hAnsi="黑体" w:eastAsia="黑体"/>
          <w:kern w:val="2"/>
          <w:szCs w:val="32"/>
        </w:rPr>
      </w:pPr>
    </w:p>
    <w:p>
      <w:pPr>
        <w:pStyle w:val="24"/>
        <w:widowControl w:val="0"/>
        <w:spacing w:line="240" w:lineRule="auto"/>
        <w:ind w:left="0" w:firstLine="0"/>
        <w:rPr>
          <w:rFonts w:ascii="黑体" w:hAnsi="黑体" w:eastAsia="黑体"/>
          <w:kern w:val="2"/>
          <w:szCs w:val="32"/>
        </w:rPr>
      </w:pPr>
    </w:p>
    <w:p>
      <w:pPr>
        <w:pStyle w:val="24"/>
        <w:widowControl w:val="0"/>
        <w:spacing w:line="240" w:lineRule="auto"/>
        <w:ind w:left="0" w:firstLine="0"/>
        <w:rPr>
          <w:rFonts w:ascii="黑体" w:hAnsi="黑体" w:eastAsia="黑体"/>
          <w:kern w:val="2"/>
          <w:szCs w:val="32"/>
        </w:rPr>
      </w:pPr>
    </w:p>
    <w:p>
      <w:pPr>
        <w:pStyle w:val="24"/>
        <w:widowControl w:val="0"/>
        <w:spacing w:line="240" w:lineRule="auto"/>
        <w:ind w:left="0" w:firstLine="0"/>
        <w:rPr>
          <w:rFonts w:ascii="黑体" w:hAnsi="黑体" w:eastAsia="黑体"/>
          <w:kern w:val="2"/>
          <w:szCs w:val="32"/>
        </w:rPr>
      </w:pPr>
    </w:p>
    <w:p>
      <w:pPr>
        <w:pStyle w:val="24"/>
        <w:widowControl w:val="0"/>
        <w:spacing w:line="240" w:lineRule="auto"/>
        <w:ind w:left="0" w:firstLine="0"/>
        <w:rPr>
          <w:rFonts w:ascii="黑体" w:hAnsi="黑体" w:eastAsia="黑体"/>
          <w:kern w:val="2"/>
          <w:szCs w:val="32"/>
        </w:rPr>
      </w:pPr>
    </w:p>
    <w:p>
      <w:pPr>
        <w:pStyle w:val="24"/>
        <w:widowControl w:val="0"/>
        <w:spacing w:line="240" w:lineRule="auto"/>
        <w:ind w:left="0" w:firstLine="0"/>
        <w:jc w:val="center"/>
        <w:outlineLvl w:val="0"/>
        <w:rPr>
          <w:rFonts w:ascii="黑体" w:hAnsi="黑体" w:eastAsia="黑体"/>
          <w:kern w:val="2"/>
          <w:szCs w:val="32"/>
        </w:rPr>
      </w:pPr>
      <w:bookmarkStart w:id="19" w:name="_Toc32617"/>
      <w:bookmarkStart w:id="20" w:name="_Toc7085"/>
      <w:r>
        <w:rPr>
          <w:rFonts w:hint="eastAsia" w:ascii="方正小标宋简体" w:hAnsi="方正小标宋简体" w:eastAsia="方正小标宋简体" w:cs="方正小标宋简体"/>
          <w:color w:val="auto"/>
          <w:spacing w:val="0"/>
          <w:szCs w:val="32"/>
        </w:rPr>
        <w:t>第三章 扎实巩固拓展脱贫攻坚成果</w:t>
      </w:r>
      <w:bookmarkEnd w:id="19"/>
      <w:bookmarkEnd w:id="20"/>
    </w:p>
    <w:p>
      <w:pPr>
        <w:pStyle w:val="23"/>
        <w:widowControl w:val="0"/>
        <w:spacing w:after="0" w:line="0" w:lineRule="atLeast"/>
        <w:jc w:val="center"/>
        <w:rPr>
          <w:rFonts w:ascii="楷体" w:hAnsi="楷体" w:eastAsia="楷体" w:cs="楷体"/>
          <w:b/>
          <w:bCs/>
          <w:sz w:val="32"/>
          <w:szCs w:val="32"/>
        </w:rPr>
      </w:pPr>
    </w:p>
    <w:p>
      <w:pPr>
        <w:pStyle w:val="23"/>
        <w:widowControl w:val="0"/>
        <w:spacing w:after="0" w:line="240" w:lineRule="auto"/>
        <w:jc w:val="center"/>
        <w:outlineLvl w:val="1"/>
        <w:rPr>
          <w:rFonts w:ascii="黑体" w:hAnsi="黑体" w:eastAsia="黑体" w:cs="黑体"/>
          <w:sz w:val="32"/>
          <w:szCs w:val="32"/>
        </w:rPr>
      </w:pPr>
      <w:bookmarkStart w:id="21" w:name="_Toc2173"/>
      <w:bookmarkStart w:id="22" w:name="_Toc24870"/>
      <w:r>
        <w:rPr>
          <w:rFonts w:hint="eastAsia" w:ascii="黑体" w:hAnsi="黑体" w:eastAsia="黑体" w:cs="黑体"/>
          <w:sz w:val="32"/>
          <w:szCs w:val="32"/>
        </w:rPr>
        <w:t>第一节 保持帮扶政策总体稳定衔接</w:t>
      </w:r>
      <w:bookmarkEnd w:id="21"/>
      <w:bookmarkEnd w:id="22"/>
    </w:p>
    <w:p>
      <w:pPr>
        <w:spacing w:line="0" w:lineRule="atLeast"/>
        <w:ind w:firstLine="616" w:firstLineChars="200"/>
        <w:rPr>
          <w:rFonts w:ascii="仿宋_GB2312" w:hAnsi="仿宋_GB2312" w:eastAsia="仿宋_GB2312" w:cs="仿宋_GB2312"/>
          <w:sz w:val="32"/>
          <w:szCs w:val="32"/>
        </w:rPr>
      </w:pPr>
    </w:p>
    <w:p>
      <w:pPr>
        <w:pStyle w:val="23"/>
        <w:widowControl w:val="0"/>
        <w:spacing w:after="0" w:line="360" w:lineRule="auto"/>
        <w:ind w:firstLine="592"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按照全</w:t>
      </w:r>
      <w:r>
        <w:rPr>
          <w:rFonts w:hint="eastAsia" w:ascii="仿宋_GB2312" w:hAnsi="仿宋_GB2312" w:eastAsia="仿宋_GB2312" w:cs="仿宋_GB2312"/>
          <w:spacing w:val="-6"/>
          <w:sz w:val="32"/>
          <w:szCs w:val="32"/>
        </w:rPr>
        <w:t>国</w:t>
      </w:r>
      <w:r>
        <w:rPr>
          <w:rFonts w:ascii="仿宋_GB2312" w:hAnsi="仿宋_GB2312" w:eastAsia="仿宋_GB2312" w:cs="仿宋_GB2312"/>
          <w:spacing w:val="-6"/>
          <w:sz w:val="32"/>
          <w:szCs w:val="32"/>
        </w:rPr>
        <w:t>设立过渡期要求，过渡期内严格落实“四个不摘”，扎实做好</w:t>
      </w:r>
      <w:r>
        <w:rPr>
          <w:rFonts w:hint="eastAsia" w:ascii="仿宋_GB2312" w:hAnsi="仿宋_GB2312" w:eastAsia="仿宋_GB2312" w:cs="仿宋_GB2312"/>
          <w:spacing w:val="-6"/>
          <w:sz w:val="32"/>
          <w:szCs w:val="32"/>
        </w:rPr>
        <w:t>帮扶政策衔接、</w:t>
      </w:r>
      <w:r>
        <w:rPr>
          <w:rFonts w:ascii="仿宋_GB2312" w:hAnsi="仿宋_GB2312" w:eastAsia="仿宋_GB2312" w:cs="仿宋_GB2312"/>
          <w:spacing w:val="-6"/>
          <w:sz w:val="32"/>
          <w:szCs w:val="32"/>
        </w:rPr>
        <w:t>体制机制衔接</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工作</w:t>
      </w:r>
      <w:r>
        <w:rPr>
          <w:rFonts w:hint="eastAsia" w:ascii="仿宋_GB2312" w:hAnsi="仿宋_GB2312" w:eastAsia="仿宋_GB2312" w:cs="仿宋_GB2312"/>
          <w:spacing w:val="-6"/>
          <w:sz w:val="32"/>
          <w:szCs w:val="32"/>
        </w:rPr>
        <w:t>体系和考核机制</w:t>
      </w:r>
      <w:r>
        <w:rPr>
          <w:rFonts w:ascii="仿宋_GB2312" w:hAnsi="仿宋_GB2312" w:eastAsia="仿宋_GB2312" w:cs="仿宋_GB2312"/>
          <w:spacing w:val="-6"/>
          <w:sz w:val="32"/>
          <w:szCs w:val="32"/>
        </w:rPr>
        <w:t>衔接。</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——帮扶政策衔接。</w:t>
      </w:r>
      <w:r>
        <w:rPr>
          <w:rFonts w:hint="eastAsia" w:ascii="仿宋_GB2312" w:hAnsi="仿宋_GB2312" w:eastAsia="仿宋_GB2312" w:cs="仿宋_GB2312"/>
          <w:sz w:val="32"/>
          <w:szCs w:val="32"/>
        </w:rPr>
        <w:t>在过渡期内严格落实“四个不摘”要求，按照中央、省级、市级政策举措，分类、有序、逐项调整优化现有帮扶政策，对脱贫村、脱贫人口再送一程，坚决防止贫困反弹。在保持主要帮扶政策总体稳定的前提下，根据中央、国家部委和省市有关要求，延续、优化、调整相关政策，确保政策的精准性和连续性。对兜底救助类政策要精准稳定，应保尽保、应兜尽兜;对教育、医疗、住房、饮水等民生保障普惠性政策要采取针对性巩固提升措施;对产业、就业等发展类政策要不断提升优化;对产业发展效果明显的镇村要继续实施贷款贴息等扶持政策;要用好国家、省对脱贫地区的财政保障能力政策，延续脱贫攻坚相关税收优惠政策。</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——体制机制衔接。</w:t>
      </w:r>
      <w:r>
        <w:rPr>
          <w:rFonts w:hint="eastAsia" w:ascii="仿宋_GB2312" w:hAnsi="仿宋_GB2312" w:eastAsia="仿宋_GB2312" w:cs="仿宋_GB2312"/>
          <w:sz w:val="32"/>
          <w:szCs w:val="32"/>
        </w:rPr>
        <w:t>深入贯彻落实《中国共产党农村工作条例》，坚持三级书记抓巩固拓展脱贫攻坚成果同乡村振兴有效衔接，夯实党政一把手第一责任人责任和县委书记一线总指挥责任，将脱贫攻坚工作中形成的组织推动、要素保障、政策支持、驻村帮扶、考核督导等工作机制，根据实际需要运用到推进乡村振兴，建立健全上下贯通、精准施策、一抓到底的乡村振兴工作体系。充分发挥各级党委农村工作领导小组作用，建立统一高效的实现巩固拓展脱贫攻坚成果同乡村振兴有效衔接的决策议事协调工作机制。围绕“五大振兴”工作任务，设立由党委和政府负责同志领导的工作专班，建立落实台账，压实工作责任。调整优化巩固拓展脱贫攻坚成果同乡村振兴有效衔接工作领导小组及其办公室，明确领导人员分工及其办公室工作职责。强化各级党委农村工作领导小组办公室决策参谋、统筹协调、政策指导、推动落实、督促检查等职能，每年分解巩固拓展脱贫攻坚成果同乡村振兴有效衔接工作重点任务，落实到各责任部门，定期调度工作进展。</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——工作体系衔接。</w:t>
      </w:r>
      <w:r>
        <w:rPr>
          <w:rFonts w:hint="eastAsia" w:ascii="仿宋_GB2312" w:hAnsi="仿宋_GB2312" w:eastAsia="仿宋_GB2312" w:cs="仿宋_GB2312"/>
          <w:sz w:val="32"/>
          <w:szCs w:val="32"/>
        </w:rPr>
        <w:t>及时做好巩固拓展脱贫攻坚成果同全面推进乡村振兴在工作力量、组织保障、规划实施、项目建设、要素保障方面的有机结合，做到工作不留空档、政策不留空白。各镇（街道、场）各有关部门要结合实际，理清重点环节和重点任务，有针对性地提出分年度分阶段推进措施，明确各项重点工作任务的责任领导和完成时限，确保工作有人抓、有人管、有着落。实施抓党建促乡村振兴工程，推动农村基层党组织建设全面进步全面过硬。大力推进党建引领合作社高质量发展，选优配强村党组织书记，选好用好管好乡村振兴带头人。把乡村一线作为年轻干部培养锻炼的主战场。对巩固拓展脱贫攻坚成果和乡村振兴任务重的村，继续选派驻村第一书记和工作队，健全常态化驻村工作机制。培养一批会干事、敢干事、能干事的巩固拓展脱贫攻坚成果和乡村振兴骨干队伍。</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——考核机制衔接。</w:t>
      </w:r>
      <w:r>
        <w:rPr>
          <w:rFonts w:hint="eastAsia" w:ascii="仿宋_GB2312" w:hAnsi="仿宋_GB2312" w:eastAsia="仿宋_GB2312" w:cs="仿宋_GB2312"/>
          <w:sz w:val="32"/>
          <w:szCs w:val="32"/>
        </w:rPr>
        <w:t>把巩固拓展脱贫攻坚成果纳入县区党政领导班子和领导干部推进乡村振兴战略实绩考核范围。做好与高质量发展综合绩效评价衔接，科学设置考核指标，切实减轻基层负担。专项开展巩固拓展脱贫攻坚成果与乡村振兴有效衔接专项督查，确保脱贫成果稳得住、可持续，乡村振兴战略顺利实施。强化考核结果运用，将考核结果作为领导班子建设和领导干部选拔任用、评先选优、问题追责等重要参考。</w:t>
      </w:r>
    </w:p>
    <w:p/>
    <w:p>
      <w:pPr>
        <w:pStyle w:val="23"/>
        <w:widowControl w:val="0"/>
        <w:spacing w:after="0" w:line="240" w:lineRule="auto"/>
        <w:jc w:val="center"/>
        <w:outlineLvl w:val="1"/>
        <w:rPr>
          <w:rFonts w:ascii="黑体" w:hAnsi="黑体" w:eastAsia="黑体" w:cs="黑体"/>
          <w:sz w:val="32"/>
          <w:szCs w:val="32"/>
        </w:rPr>
      </w:pPr>
      <w:bookmarkStart w:id="23" w:name="_Toc7805"/>
      <w:bookmarkStart w:id="24" w:name="_Toc22075"/>
      <w:r>
        <w:rPr>
          <w:rFonts w:hint="eastAsia" w:ascii="黑体" w:hAnsi="黑体" w:eastAsia="黑体" w:cs="黑体"/>
          <w:sz w:val="32"/>
          <w:szCs w:val="32"/>
        </w:rPr>
        <w:t>第二节 健全防止返贫动态监测和帮扶机制</w:t>
      </w:r>
      <w:bookmarkEnd w:id="23"/>
      <w:bookmarkEnd w:id="24"/>
    </w:p>
    <w:p>
      <w:pPr>
        <w:pStyle w:val="24"/>
        <w:widowControl w:val="0"/>
        <w:spacing w:line="240" w:lineRule="auto"/>
        <w:ind w:left="0" w:firstLine="632" w:firstLineChars="200"/>
        <w:rPr>
          <w:rFonts w:ascii="仿宋_GB2312" w:hAnsi="仿宋_GB2312" w:eastAsia="仿宋_GB2312" w:cs="仿宋_GB2312"/>
          <w:b/>
          <w:bCs/>
          <w:kern w:val="2"/>
          <w:szCs w:val="32"/>
        </w:rPr>
      </w:pP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应纳尽纳、应扶尽扶、应消尽消”原则，持续压实责任，持续精准施策，动态监测和帮扶脱贫不稳定户、边缘易致贫户和突发严重困难户，做到早发现、早干预、早帮扶，坚决守住防止规模性返贫的底线，为实现巩固拓展脱贫攻坚成果同乡村振兴有效衔接奠定坚实基础。</w:t>
      </w:r>
    </w:p>
    <w:p>
      <w:pPr>
        <w:pStyle w:val="24"/>
        <w:widowControl w:val="0"/>
        <w:spacing w:line="240" w:lineRule="auto"/>
        <w:ind w:left="0" w:firstLine="632" w:firstLineChars="200"/>
        <w:rPr>
          <w:rFonts w:ascii="仿宋_GB2312" w:hAnsi="仿宋_GB2312" w:eastAsia="仿宋_GB2312" w:cs="仿宋_GB2312"/>
          <w:color w:val="auto"/>
          <w:spacing w:val="0"/>
          <w:kern w:val="2"/>
          <w:szCs w:val="32"/>
        </w:rPr>
      </w:pPr>
      <w:r>
        <w:rPr>
          <w:rFonts w:hint="eastAsia" w:ascii="楷体_GB2312" w:hAnsi="楷体_GB2312" w:eastAsia="楷体_GB2312" w:cs="楷体_GB2312"/>
          <w:b/>
          <w:bCs/>
          <w:kern w:val="2"/>
          <w:szCs w:val="32"/>
        </w:rPr>
        <w:t>——</w:t>
      </w:r>
      <w:r>
        <w:rPr>
          <w:rFonts w:hint="eastAsia" w:ascii="楷体_GB2312" w:hAnsi="楷体_GB2312" w:eastAsia="楷体_GB2312" w:cs="楷体_GB2312"/>
          <w:b/>
          <w:bCs/>
          <w:color w:val="auto"/>
          <w:spacing w:val="0"/>
          <w:kern w:val="2"/>
          <w:szCs w:val="32"/>
        </w:rPr>
        <w:t>完善动态监测机制。</w:t>
      </w:r>
      <w:r>
        <w:rPr>
          <w:rFonts w:hint="eastAsia" w:ascii="仿宋_GB2312" w:hAnsi="仿宋_GB2312" w:eastAsia="仿宋_GB2312" w:cs="仿宋_GB2312"/>
          <w:color w:val="auto"/>
          <w:spacing w:val="0"/>
          <w:kern w:val="2"/>
          <w:szCs w:val="32"/>
        </w:rPr>
        <w:t>进一步优化调整防返贫监测和帮扶机制配套文件，落实网格化管理机制、基层排查机制、部门筛查机制、跟踪回访机制、调度推进机制以及其他工作机制。全面梳理本部门本区域相关配套文件出台情况，并结合实际对相关要求和举措作出优化调整。</w:t>
      </w:r>
    </w:p>
    <w:p>
      <w:pPr>
        <w:pStyle w:val="24"/>
        <w:widowControl w:val="0"/>
        <w:spacing w:line="240" w:lineRule="auto"/>
        <w:ind w:left="0" w:firstLine="632" w:firstLineChars="200"/>
        <w:rPr>
          <w:rFonts w:ascii="仿宋_GB2312" w:hAnsi="仿宋_GB2312" w:eastAsia="仿宋_GB2312" w:cs="仿宋_GB2312"/>
          <w:color w:val="auto"/>
          <w:spacing w:val="0"/>
          <w:kern w:val="2"/>
          <w:szCs w:val="32"/>
        </w:rPr>
      </w:pPr>
      <w:r>
        <w:rPr>
          <w:rFonts w:hint="eastAsia" w:ascii="楷体_GB2312" w:hAnsi="楷体_GB2312" w:eastAsia="楷体_GB2312" w:cs="楷体_GB2312"/>
          <w:b/>
          <w:bCs/>
          <w:kern w:val="2"/>
          <w:szCs w:val="32"/>
        </w:rPr>
        <w:t>——</w:t>
      </w:r>
      <w:r>
        <w:rPr>
          <w:rFonts w:hint="eastAsia" w:ascii="楷体_GB2312" w:hAnsi="楷体_GB2312" w:eastAsia="楷体_GB2312" w:cs="楷体_GB2312"/>
          <w:b/>
          <w:bCs/>
          <w:color w:val="auto"/>
          <w:spacing w:val="0"/>
          <w:kern w:val="2"/>
          <w:szCs w:val="32"/>
        </w:rPr>
        <w:t>及时开展风险排查。</w:t>
      </w:r>
      <w:r>
        <w:rPr>
          <w:rFonts w:hint="eastAsia" w:ascii="仿宋_GB2312" w:hAnsi="仿宋_GB2312" w:eastAsia="仿宋_GB2312" w:cs="仿宋_GB2312"/>
          <w:color w:val="auto"/>
          <w:spacing w:val="0"/>
          <w:kern w:val="2"/>
          <w:szCs w:val="32"/>
        </w:rPr>
        <w:t>充分发挥网格员排查和行业部门风险预警作用，及时发现风险隐患，组织好返贫风险综合研判，做到监测对象“应纳尽纳”。网格员要对本网格内农户开展常态化走访，每周走访1/4的农户，每月走访对象全覆盖。行业部门每半月向县乡村振兴局报送一次本行业、本领域筛查风险预警信息或筛查预警工作开展情况，县乡村振兴局及时将相关预警信息分类汇总后反馈镇村核查研判。各镇每半月对本镇（街道、场）确定的重点对象进行一次入户排查，每月至少组织一次针对预警信息进行的入户核查，并进行返贫风险综合研判。镇、村两级建立监测对象台账，每季度根据实际情况更新一次台账内容。</w:t>
      </w:r>
    </w:p>
    <w:p>
      <w:pPr>
        <w:pStyle w:val="24"/>
        <w:widowControl w:val="0"/>
        <w:spacing w:line="240" w:lineRule="auto"/>
        <w:ind w:left="0" w:firstLine="632" w:firstLineChars="200"/>
        <w:rPr>
          <w:rFonts w:ascii="仿宋_GB2312" w:hAnsi="仿宋_GB2312" w:eastAsia="仿宋_GB2312" w:cs="仿宋_GB2312"/>
          <w:color w:val="auto"/>
          <w:spacing w:val="0"/>
          <w:kern w:val="2"/>
          <w:szCs w:val="32"/>
        </w:rPr>
      </w:pPr>
      <w:r>
        <w:rPr>
          <w:rFonts w:hint="eastAsia" w:ascii="楷体_GB2312" w:hAnsi="楷体_GB2312" w:eastAsia="楷体_GB2312" w:cs="楷体_GB2312"/>
          <w:b/>
          <w:bCs/>
          <w:kern w:val="2"/>
          <w:szCs w:val="32"/>
        </w:rPr>
        <w:t>——</w:t>
      </w:r>
      <w:r>
        <w:rPr>
          <w:rFonts w:hint="eastAsia" w:ascii="楷体_GB2312" w:hAnsi="楷体_GB2312" w:eastAsia="楷体_GB2312" w:cs="楷体_GB2312"/>
          <w:b/>
          <w:bCs/>
          <w:color w:val="auto"/>
          <w:spacing w:val="0"/>
          <w:kern w:val="2"/>
          <w:szCs w:val="32"/>
        </w:rPr>
        <w:t>分类实施精准帮扶。</w:t>
      </w:r>
      <w:r>
        <w:rPr>
          <w:rFonts w:hint="eastAsia" w:ascii="仿宋_GB2312" w:hAnsi="仿宋_GB2312" w:eastAsia="仿宋_GB2312" w:cs="仿宋_GB2312"/>
          <w:color w:val="auto"/>
          <w:spacing w:val="0"/>
          <w:kern w:val="2"/>
          <w:szCs w:val="32"/>
        </w:rPr>
        <w:t>坚持分层分类开展精准帮扶，各级各部门要按照行业主导、缺什么补什么的原则，根据监测对象的风险类别、发展需求等开展针对性帮扶。对风险单一的实施单项措施，对风险复杂多样的因户施策落实综合性帮扶；对有劳动能力的采取开发式帮扶，主要通过发展产业、引导就业等实施帮扶；对脱贫人口中失能或半失能且无法通过产业就业获得稳定收入的，依规纳入农村低保或特困人员救助供养范围，对符合条件的及时给予临时救助；对因病、因残、因灾等意外变故返贫致贫的及时落实临时救助政策；对内生动力不足的，通过持续扶志扶智激发内生发展动力。根据监测对象风险类别、发展需求等客观实际，1个月内落实精准帮扶措施，确保应帮尽帮。镇、村要为监测对象安排监测联系人，由监测联系人协助落实帮扶措施、跟踪帮扶和风险消除情况。</w:t>
      </w:r>
    </w:p>
    <w:p>
      <w:pPr>
        <w:pStyle w:val="24"/>
        <w:widowControl w:val="0"/>
        <w:spacing w:line="240" w:lineRule="auto"/>
        <w:ind w:left="0" w:firstLine="632" w:firstLineChars="200"/>
        <w:rPr>
          <w:rFonts w:ascii="仿宋_GB2312" w:hAnsi="仿宋_GB2312" w:eastAsia="仿宋_GB2312" w:cs="仿宋_GB2312"/>
          <w:kern w:val="2"/>
          <w:szCs w:val="32"/>
        </w:rPr>
      </w:pPr>
      <w:r>
        <w:rPr>
          <w:rFonts w:hint="eastAsia" w:ascii="楷体_GB2312" w:hAnsi="楷体_GB2312" w:eastAsia="楷体_GB2312" w:cs="楷体_GB2312"/>
          <w:b/>
          <w:bCs/>
          <w:kern w:val="2"/>
          <w:szCs w:val="32"/>
        </w:rPr>
        <w:t>——</w:t>
      </w:r>
      <w:r>
        <w:rPr>
          <w:rFonts w:hint="eastAsia" w:ascii="楷体_GB2312" w:hAnsi="楷体_GB2312" w:eastAsia="楷体_GB2312" w:cs="楷体_GB2312"/>
          <w:b/>
          <w:bCs/>
          <w:color w:val="auto"/>
          <w:spacing w:val="0"/>
          <w:kern w:val="2"/>
          <w:szCs w:val="32"/>
        </w:rPr>
        <w:t>稳定消除致贫风险。</w:t>
      </w:r>
      <w:r>
        <w:rPr>
          <w:rFonts w:hint="eastAsia" w:ascii="仿宋_GB2312" w:hAnsi="仿宋_GB2312" w:eastAsia="仿宋_GB2312" w:cs="仿宋_GB2312"/>
          <w:color w:val="auto"/>
          <w:spacing w:val="0"/>
          <w:kern w:val="2"/>
          <w:szCs w:val="32"/>
        </w:rPr>
        <w:t>对收入持续稳定、“两不愁三保障”及饮水安全持续巩固、返贫致贫风险已经稳定消除的监测对象，标注“风险消除”，不再按“监测对象”进行监测帮扶。</w:t>
      </w:r>
    </w:p>
    <w:p>
      <w:pPr>
        <w:pStyle w:val="24"/>
        <w:widowControl w:val="0"/>
        <w:spacing w:line="240" w:lineRule="auto"/>
        <w:ind w:left="0" w:firstLine="632" w:firstLineChars="200"/>
        <w:rPr>
          <w:rFonts w:ascii="仿宋_GB2312" w:hAnsi="仿宋_GB2312" w:eastAsia="仿宋_GB2312" w:cs="仿宋_GB2312"/>
          <w:color w:val="auto"/>
          <w:spacing w:val="0"/>
          <w:kern w:val="2"/>
          <w:szCs w:val="32"/>
        </w:rPr>
      </w:pPr>
      <w:r>
        <w:rPr>
          <w:rFonts w:hint="eastAsia" w:ascii="楷体_GB2312" w:hAnsi="楷体_GB2312" w:eastAsia="楷体_GB2312" w:cs="楷体_GB2312"/>
          <w:b/>
          <w:bCs/>
          <w:kern w:val="2"/>
          <w:szCs w:val="32"/>
        </w:rPr>
        <w:t>——</w:t>
      </w:r>
      <w:r>
        <w:rPr>
          <w:rFonts w:hint="eastAsia" w:ascii="楷体_GB2312" w:hAnsi="楷体_GB2312" w:eastAsia="楷体_GB2312" w:cs="楷体_GB2312"/>
          <w:b/>
          <w:bCs/>
          <w:color w:val="auto"/>
          <w:spacing w:val="0"/>
          <w:kern w:val="2"/>
          <w:szCs w:val="32"/>
        </w:rPr>
        <w:t>强化突发应急救助。</w:t>
      </w:r>
      <w:r>
        <w:rPr>
          <w:rFonts w:hint="eastAsia" w:ascii="仿宋_GB2312" w:hAnsi="仿宋_GB2312" w:eastAsia="仿宋_GB2312" w:cs="仿宋_GB2312"/>
          <w:color w:val="auto"/>
          <w:spacing w:val="0"/>
          <w:kern w:val="2"/>
          <w:szCs w:val="32"/>
        </w:rPr>
        <w:t>积板应对洪涝、干旱等自然灾害和新冠肺炎疫情对巩固拓展脱贫攻坚成果的影响，全力做好防灾减灾救灾工作，切实防止因受气象灾害、火灾、事故、新冠肺炎疫情等因灾致贫、因灾返贫。强化资金、物资、项目和能力支持保障，加强救灾救助扶贫政策衔接，帮助受灾地区和群众最大限度降低灾害损失，持续做好过渡期救助，用好多层次社会保障体系，因人因户合理设置临时救助和兜底保障。</w:t>
      </w:r>
    </w:p>
    <w:tbl>
      <w:tblPr>
        <w:tblStyle w:val="20"/>
        <w:tblpPr w:leftFromText="180" w:rightFromText="180" w:vertAnchor="text" w:horzAnchor="page" w:tblpX="2017" w:tblpY="1936"/>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40" w:type="dxa"/>
          </w:tcPr>
          <w:p>
            <w:pPr>
              <w:pStyle w:val="24"/>
              <w:widowControl w:val="0"/>
              <w:spacing w:line="240" w:lineRule="auto"/>
              <w:ind w:left="0" w:firstLine="0"/>
              <w:jc w:val="center"/>
              <w:rPr>
                <w:rFonts w:ascii="仿宋_GB2312" w:hAnsi="仿宋_GB2312" w:eastAsia="仿宋_GB2312" w:cs="仿宋_GB2312"/>
                <w:kern w:val="2"/>
                <w:sz w:val="24"/>
                <w:szCs w:val="24"/>
              </w:rPr>
            </w:pPr>
            <w:r>
              <w:rPr>
                <w:rFonts w:hint="eastAsia" w:ascii="黑体" w:hAnsi="黑体" w:eastAsia="黑体"/>
                <w:kern w:val="2"/>
                <w:sz w:val="24"/>
                <w:szCs w:val="24"/>
              </w:rPr>
              <w:t>专栏2  防止返贫动态监测和帮扶重点任务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640" w:type="dxa"/>
          </w:tcPr>
          <w:p>
            <w:pPr>
              <w:pStyle w:val="24"/>
              <w:widowControl w:val="0"/>
              <w:spacing w:line="500" w:lineRule="exact"/>
              <w:ind w:left="0" w:firstLine="472"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1.返贫动态监测。</w:t>
            </w:r>
            <w:r>
              <w:rPr>
                <w:rFonts w:hint="eastAsia" w:ascii="仿宋_GB2312" w:hAnsi="仿宋_GB2312" w:eastAsia="仿宋_GB2312" w:cs="仿宋_GB2312"/>
                <w:kern w:val="2"/>
                <w:sz w:val="24"/>
                <w:szCs w:val="24"/>
              </w:rPr>
              <w:t>对监测对象开展监测帮扶，密切监测、及早发现因病因灾因意外事故等刚性支出较大或收入大幅缩减导致基本生活出现严重困难户。</w:t>
            </w:r>
          </w:p>
          <w:p>
            <w:pPr>
              <w:pStyle w:val="24"/>
              <w:widowControl w:val="0"/>
              <w:spacing w:line="500" w:lineRule="exact"/>
              <w:ind w:left="0" w:firstLine="472"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2.“一户一策”帮扶。</w:t>
            </w:r>
            <w:r>
              <w:rPr>
                <w:rFonts w:hint="eastAsia" w:ascii="仿宋_GB2312" w:hAnsi="仿宋_GB2312" w:eastAsia="仿宋_GB2312" w:cs="仿宋_GB2312"/>
                <w:kern w:val="2"/>
                <w:sz w:val="24"/>
                <w:szCs w:val="24"/>
              </w:rPr>
              <w:t>对有劳动能力的返贫监测人口实施产业帮扶和就业帮扶，对没有劳动能力的返贫监测人口实施兜底保障。</w:t>
            </w:r>
          </w:p>
          <w:p>
            <w:pPr>
              <w:pStyle w:val="24"/>
              <w:widowControl w:val="0"/>
              <w:spacing w:line="500" w:lineRule="exact"/>
              <w:ind w:left="0" w:firstLine="472" w:firstLineChars="200"/>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3.大数据监测平台。</w:t>
            </w:r>
            <w:r>
              <w:rPr>
                <w:rFonts w:hint="eastAsia" w:ascii="仿宋_GB2312" w:hAnsi="仿宋_GB2312" w:eastAsia="仿宋_GB2312" w:cs="仿宋_GB2312"/>
                <w:kern w:val="2"/>
                <w:sz w:val="24"/>
                <w:szCs w:val="24"/>
              </w:rPr>
              <w:t>健全防止返贫大数据监测平台，实现行业、部门信息资源共享利用。</w:t>
            </w:r>
          </w:p>
        </w:tc>
      </w:tr>
    </w:tbl>
    <w:p>
      <w:pPr>
        <w:pStyle w:val="24"/>
        <w:widowControl w:val="0"/>
        <w:spacing w:line="240" w:lineRule="auto"/>
        <w:ind w:left="0" w:firstLine="632" w:firstLineChars="200"/>
        <w:rPr>
          <w:rFonts w:ascii="仿宋_GB2312" w:hAnsi="仿宋_GB2312" w:eastAsia="仿宋_GB2312" w:cs="仿宋_GB2312"/>
          <w:color w:val="auto"/>
          <w:spacing w:val="0"/>
          <w:kern w:val="2"/>
          <w:szCs w:val="32"/>
        </w:rPr>
      </w:pPr>
      <w:r>
        <w:rPr>
          <w:rFonts w:hint="eastAsia" w:ascii="楷体_GB2312" w:hAnsi="楷体_GB2312" w:eastAsia="楷体_GB2312" w:cs="楷体_GB2312"/>
          <w:b/>
          <w:bCs/>
          <w:kern w:val="2"/>
          <w:szCs w:val="32"/>
        </w:rPr>
        <w:t>——</w:t>
      </w:r>
      <w:r>
        <w:rPr>
          <w:rFonts w:hint="eastAsia" w:ascii="楷体_GB2312" w:hAnsi="楷体_GB2312" w:eastAsia="楷体_GB2312" w:cs="楷体_GB2312"/>
          <w:b/>
          <w:bCs/>
          <w:color w:val="auto"/>
          <w:spacing w:val="0"/>
          <w:kern w:val="2"/>
          <w:szCs w:val="32"/>
        </w:rPr>
        <w:t>切实提升数据质量。</w:t>
      </w:r>
      <w:r>
        <w:rPr>
          <w:rFonts w:hint="eastAsia" w:ascii="仿宋_GB2312" w:hAnsi="仿宋_GB2312" w:eastAsia="仿宋_GB2312" w:cs="仿宋_GB2312"/>
          <w:color w:val="auto"/>
          <w:spacing w:val="0"/>
          <w:kern w:val="2"/>
          <w:szCs w:val="32"/>
        </w:rPr>
        <w:t>及时完善监测对象基础数据信息，加强监测对象家庭情况、收入状况等信息共享，切实提升系统数据质量。</w:t>
      </w:r>
    </w:p>
    <w:p>
      <w:pPr>
        <w:pStyle w:val="23"/>
        <w:widowControl w:val="0"/>
        <w:spacing w:after="0" w:line="240" w:lineRule="auto"/>
        <w:jc w:val="center"/>
        <w:outlineLvl w:val="1"/>
        <w:rPr>
          <w:rFonts w:ascii="黑体" w:hAnsi="黑体" w:eastAsia="黑体" w:cs="黑体"/>
          <w:sz w:val="32"/>
          <w:szCs w:val="32"/>
        </w:rPr>
      </w:pPr>
      <w:bookmarkStart w:id="25" w:name="_Toc18693"/>
      <w:bookmarkStart w:id="26" w:name="_Toc27046"/>
    </w:p>
    <w:p>
      <w:pPr>
        <w:pStyle w:val="23"/>
        <w:widowControl w:val="0"/>
        <w:spacing w:after="0" w:line="240" w:lineRule="auto"/>
        <w:jc w:val="center"/>
        <w:outlineLvl w:val="1"/>
        <w:rPr>
          <w:rFonts w:ascii="黑体" w:hAnsi="黑体" w:eastAsia="黑体" w:cs="黑体"/>
          <w:sz w:val="32"/>
          <w:szCs w:val="32"/>
        </w:rPr>
      </w:pPr>
      <w:r>
        <w:rPr>
          <w:rFonts w:hint="eastAsia" w:ascii="黑体" w:hAnsi="黑体" w:eastAsia="黑体" w:cs="黑体"/>
          <w:sz w:val="32"/>
          <w:szCs w:val="32"/>
        </w:rPr>
        <w:t>第三节 巩固“两不愁三保障”和安全饮水成果</w:t>
      </w:r>
      <w:bookmarkEnd w:id="25"/>
      <w:bookmarkEnd w:id="26"/>
    </w:p>
    <w:p>
      <w:pPr>
        <w:spacing w:line="0" w:lineRule="atLeast"/>
        <w:ind w:firstLine="616" w:firstLineChars="200"/>
        <w:rPr>
          <w:rFonts w:ascii="仿宋_GB2312" w:hAnsi="仿宋_GB2312" w:eastAsia="仿宋_GB2312" w:cs="仿宋_GB2312"/>
          <w:bCs/>
          <w:sz w:val="32"/>
          <w:szCs w:val="32"/>
        </w:rPr>
      </w:pP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持续优化政策举措、强化常态保障，做到保底线、保基本、保民生，全面巩固拓展“两不愁三保障”及饮水安全成果。</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——持续巩固教育脱贫成果。</w:t>
      </w:r>
      <w:r>
        <w:rPr>
          <w:rFonts w:hint="eastAsia" w:ascii="仿宋_GB2312" w:hAnsi="仿宋_GB2312" w:eastAsia="仿宋_GB2312" w:cs="仿宋_GB2312"/>
          <w:sz w:val="32"/>
          <w:szCs w:val="32"/>
        </w:rPr>
        <w:t>常态化开展控辍保学工作，严格落实“七长责任制”和“日考勤、周报告、月排查”动态监测等体制机制，健全“双线”目标责任体系，加强农村留守儿童教育关爱，确保控辍保学成果，提高义务教育巩固水平。继续落实中省市县精准资助政策，重点做好边缘易致贫户学生、脱贫不稳定户学生、城乡低保家庭学生、特困救助供养家庭学生、孤儿、残疾学生以及突发严重困难户学生等重点保障人群的资助工作，确保各类资助政策落实到位。</w:t>
      </w:r>
    </w:p>
    <w:p>
      <w:pPr>
        <w:pStyle w:val="2"/>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持续巩固住房安全成果。</w:t>
      </w:r>
      <w:r>
        <w:rPr>
          <w:rFonts w:hint="eastAsia" w:ascii="仿宋_GB2312" w:hAnsi="仿宋_GB2312" w:eastAsia="仿宋_GB2312" w:cs="仿宋_GB2312"/>
          <w:sz w:val="32"/>
          <w:szCs w:val="32"/>
        </w:rPr>
        <w:t>继续做好农村低保户、农村分散供养特困人员、困难残疾人家庭、优抚对象家庭等四类主要保障对象和脱贫巩固户、易返贫边缘户住房安全保障工作，强化农村住房动态监测，加快因灾损毁住房恢复重建。积极指导、推进各镇（街道、场）被鉴定为C、D级危房的农户进行危房改造，重点关注农村低收入群体等重点对象的农村危房改造，根据房屋危险程度和农户改造意愿，选择加固改造、拆除重建或选址新建等方式解决住房安全问题。积极探索拓宽农村住房安全保障方式，采取统建农村集体公租房、修缮加固现有闲置公房等方式，供自筹资金和投工投劳能力弱的特殊困难农户周转使用；鼓励村集体协助盘活农村闲置安全房屋，向符合条件的保障对象进行租赁或置换；对农户唯一住房因灾受损的，提供临时</w:t>
      </w:r>
      <w:r>
        <w:rPr>
          <w:rFonts w:hint="eastAsia" w:ascii="仿宋_GB2312" w:hAnsi="仿宋_GB2312" w:eastAsia="仿宋_GB2312" w:cs="仿宋_GB2312"/>
          <w:spacing w:val="-11"/>
          <w:sz w:val="32"/>
          <w:szCs w:val="32"/>
        </w:rPr>
        <w:t>性安全住房，动态保障农村基本住房安全，确保农户住房安全有保障。</w:t>
      </w:r>
    </w:p>
    <w:p>
      <w:pPr>
        <w:pStyle w:val="2"/>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持续巩固饮水安全成果。</w:t>
      </w:r>
      <w:r>
        <w:rPr>
          <w:rFonts w:hint="eastAsia" w:ascii="仿宋_GB2312" w:hAnsi="仿宋_GB2312" w:eastAsia="仿宋_GB2312" w:cs="仿宋_GB2312"/>
          <w:sz w:val="32"/>
          <w:szCs w:val="32"/>
        </w:rPr>
        <w:t>进一步强化饮水安全保障运营长效机制，及时发现化解农村供水风险隐患。强化工程运行管理，建立健全巩固拓展脱贫攻坚成果同乡村振兴有效衔接农村饮水安全工程管理机构，实现巩固拓展脱贫攻坚成果同乡村振兴有效衔接农村饮水安全服务体系全覆盖；推进巩固拓展脱贫攻坚成果同乡村振兴有效衔接农村饮水安全工程水价改革，建立合理的水价制度，提升引水工程计量收费和水费征收机制。到2025年，通过巩固提升，建立健全农村饮水建设和运行管理体系，提高巩固拓展脱贫攻坚成果同乡村振兴有效衔接农村饮水安全保障水平，使广大农村居民喝上更方便、稳定和安全的饮用水。</w:t>
      </w:r>
    </w:p>
    <w:p>
      <w:pPr>
        <w:pStyle w:val="2"/>
        <w:ind w:firstLine="616" w:firstLineChars="200"/>
        <w:rPr>
          <w:rFonts w:ascii="仿宋_GB2312" w:hAnsi="仿宋_GB2312" w:eastAsia="仿宋_GB2312" w:cs="仿宋_GB2312"/>
          <w:spacing w:val="-6"/>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切实落实健康帮扶政策。</w:t>
      </w:r>
      <w:r>
        <w:rPr>
          <w:rFonts w:hint="eastAsia" w:ascii="仿宋_GB2312" w:hAnsi="仿宋_GB2312" w:eastAsia="仿宋_GB2312" w:cs="仿宋_GB2312"/>
          <w:sz w:val="32"/>
          <w:szCs w:val="32"/>
        </w:rPr>
        <w:t>继续实施30种大病专项救治、家庭医生签约服务，规范“四类”慢病对象的管理和健康服务，落实先诊疗后付费、“一站式”结算等政策。持续提升县级医院、镇（街道、场）卫生院、行政村和易地搬迁安置点卫生室服务水平。落实因病返贫致贫动态监测机制，</w:t>
      </w:r>
      <w:r>
        <w:rPr>
          <w:rFonts w:hint="eastAsia" w:ascii="仿宋_GB2312" w:hAnsi="仿宋_GB2312" w:eastAsia="仿宋_GB2312" w:cs="仿宋_GB2312"/>
          <w:spacing w:val="-6"/>
          <w:sz w:val="32"/>
          <w:szCs w:val="32"/>
        </w:rPr>
        <w:t>对农村低收入人口实施常态化健康帮扶。</w:t>
      </w:r>
    </w:p>
    <w:p>
      <w:pPr>
        <w:pStyle w:val="2"/>
        <w:ind w:firstLine="616" w:firstLineChars="20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切实落实医疗保障政策。</w:t>
      </w:r>
      <w:r>
        <w:rPr>
          <w:rFonts w:hint="eastAsia" w:ascii="仿宋_GB2312" w:hAnsi="仿宋_GB2312" w:eastAsia="仿宋_GB2312" w:cs="仿宋_GB2312"/>
          <w:b/>
          <w:sz w:val="32"/>
          <w:szCs w:val="32"/>
        </w:rPr>
        <w:t>一是优化调整脱贫人口资助参保政策。</w:t>
      </w:r>
      <w:r>
        <w:rPr>
          <w:rFonts w:hint="eastAsia" w:ascii="仿宋_GB2312" w:hAnsi="仿宋_GB2312" w:eastAsia="仿宋_GB2312" w:cs="仿宋_GB2312"/>
          <w:sz w:val="32"/>
          <w:szCs w:val="32"/>
        </w:rPr>
        <w:t>做好脱贫人口基本医疗保险参保动员工作,落实分类资助参保政策。继续对特困人员、孤儿、事实无人抚养儿童参保给予全额资助；对低保对象给予定额资助；脱贫不稳定且纳入民政和乡村振兴部门的农村低收入人口监测范围的人员,过渡期内可在一定期限内享受定额资助政策；未纳入农村低收入人口监测范围的稳定脱贫人口,不再享受资助参保政策。在逐步提高大病保障水平的基础上,大病保险继续对特困人员、低保对象和返贫致贫人口实施倾斜支持。</w:t>
      </w:r>
      <w:r>
        <w:rPr>
          <w:rFonts w:hint="eastAsia" w:ascii="仿宋_GB2312" w:hAnsi="仿宋_GB2312" w:eastAsia="仿宋_GB2312" w:cs="仿宋_GB2312"/>
          <w:b/>
          <w:bCs/>
          <w:sz w:val="32"/>
          <w:szCs w:val="32"/>
        </w:rPr>
        <w:t>二是优化疾病分类保障政策。</w:t>
      </w:r>
      <w:r>
        <w:rPr>
          <w:rFonts w:hint="eastAsia" w:ascii="仿宋_GB2312" w:hAnsi="仿宋_GB2312" w:eastAsia="仿宋_GB2312" w:cs="仿宋_GB2312"/>
          <w:sz w:val="32"/>
          <w:szCs w:val="32"/>
        </w:rPr>
        <w:t>继续加强基本医保、大病保险和医疗救助三重保障制度衔接，充分发挥综合保障职能，扎实做好市统筹区内基本医疗保险、大病保险、医疗救助“一站式”服务。脱贫户县域内政策范围内住院费用支付比例总体稳定在70%左右。</w:t>
      </w:r>
      <w:r>
        <w:rPr>
          <w:rFonts w:hint="eastAsia" w:ascii="仿宋_GB2312" w:hAnsi="仿宋_GB2312" w:eastAsia="仿宋_GB2312" w:cs="仿宋_GB2312"/>
          <w:b/>
          <w:sz w:val="32"/>
          <w:szCs w:val="32"/>
        </w:rPr>
        <w:t>三是健全因病返贫致贫动态监测和帮扶机制。</w:t>
      </w:r>
      <w:r>
        <w:rPr>
          <w:rFonts w:hint="eastAsia" w:ascii="仿宋_GB2312" w:hAnsi="仿宋_GB2312" w:eastAsia="仿宋_GB2312" w:cs="仿宋_GB2312"/>
          <w:sz w:val="32"/>
          <w:szCs w:val="32"/>
        </w:rPr>
        <w:t>加强部门协调联动,强化动态监测帮扶,做好因病返贫致贫风险监测,建立健全防止因病返贫致贫帮扶长效机制。对建档立卡脱贫人口中个人年度累计负担的医疗费用超过我市城乡居民基本医保大病保险起付线的,纳入医保部门的因病返贫监测范围；对靖边县城乡居民中个人年度累计负担的医疗费用超过我市上年居民人均可支配收入线的,纳入医保部门的因病致贫监测范围。县医保局定期将因病返贫和因病致贫监测数据反馈至县民政、乡村振兴局,民政、乡村振兴局将符合条件的人员分别纳入救助、返贫致贫人口等范围后,医保局按政策规定给予待遇保障。</w:t>
      </w:r>
      <w:r>
        <w:rPr>
          <w:rFonts w:hint="eastAsia" w:ascii="仿宋_GB2312" w:hAnsi="仿宋_GB2312" w:eastAsia="仿宋_GB2312" w:cs="仿宋_GB2312"/>
          <w:b/>
          <w:sz w:val="32"/>
          <w:szCs w:val="32"/>
        </w:rPr>
        <w:t>四是夯实医疗救助托底保障。</w:t>
      </w:r>
      <w:r>
        <w:rPr>
          <w:rFonts w:hint="eastAsia" w:ascii="仿宋_GB2312" w:hAnsi="仿宋_GB2312" w:eastAsia="仿宋_GB2312" w:cs="仿宋_GB2312"/>
          <w:sz w:val="32"/>
          <w:szCs w:val="32"/>
        </w:rPr>
        <w:t>夯实医疗救助政策所取得的成果，明确资助低保对象、特困人员、建档立卡贫困人口参加基本医疗保险的具体措施，确保困难人群的基本医疗权益。将符合条件的困难群众及时纳入重特大疾病救助范围，对其实际情况进行综合评估，实行分档梯度救助。拓展救助对象范围，提高重特大疾病救助待遇水平，细化分档梯度救助措施，进一步减轻大病贫困患者的疾病经济负担。</w:t>
      </w:r>
    </w:p>
    <w:p>
      <w:pPr>
        <w:pStyle w:val="2"/>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切实落实兜底保障政策。</w:t>
      </w:r>
      <w:r>
        <w:rPr>
          <w:rFonts w:hint="eastAsia" w:ascii="仿宋_GB2312" w:hAnsi="仿宋_GB2312" w:eastAsia="仿宋_GB2312" w:cs="仿宋_GB2312"/>
          <w:sz w:val="32"/>
          <w:szCs w:val="32"/>
        </w:rPr>
        <w:t>完善脱贫人口和“三类人员”参保资助政策，确保100%参保。对农村低收入人口开展常态化监测，及时将符合条件的易返贫致贫人口等纳入低保或特困供养救助范围。</w:t>
      </w:r>
    </w:p>
    <w:p>
      <w:pPr>
        <w:pStyle w:val="24"/>
        <w:widowControl w:val="0"/>
        <w:spacing w:line="240" w:lineRule="auto"/>
        <w:ind w:left="0" w:firstLine="0"/>
        <w:rPr>
          <w:rFonts w:ascii="仿宋_GB2312" w:hAnsi="仿宋_GB2312" w:eastAsia="仿宋_GB2312" w:cs="仿宋_GB2312"/>
          <w:b/>
          <w:bCs/>
          <w:kern w:val="2"/>
          <w:szCs w:val="32"/>
        </w:rPr>
      </w:pPr>
    </w:p>
    <w:p>
      <w:pPr>
        <w:pStyle w:val="23"/>
        <w:widowControl w:val="0"/>
        <w:spacing w:after="0" w:line="240" w:lineRule="auto"/>
        <w:jc w:val="center"/>
        <w:outlineLvl w:val="1"/>
        <w:rPr>
          <w:rFonts w:ascii="黑体" w:hAnsi="黑体" w:eastAsia="黑体" w:cs="黑体"/>
          <w:sz w:val="32"/>
          <w:szCs w:val="32"/>
        </w:rPr>
      </w:pPr>
      <w:bookmarkStart w:id="27" w:name="_Toc22471"/>
      <w:bookmarkStart w:id="28" w:name="_Toc14670"/>
      <w:r>
        <w:rPr>
          <w:rFonts w:hint="eastAsia" w:ascii="黑体" w:hAnsi="黑体" w:eastAsia="黑体" w:cs="黑体"/>
          <w:sz w:val="32"/>
          <w:szCs w:val="32"/>
        </w:rPr>
        <w:t>第四节 加强扶贫项目资产管理和监督</w:t>
      </w:r>
      <w:bookmarkEnd w:id="27"/>
      <w:bookmarkEnd w:id="28"/>
    </w:p>
    <w:p>
      <w:pPr>
        <w:ind w:firstLine="616" w:firstLineChars="200"/>
        <w:rPr>
          <w:rFonts w:ascii="仿宋_GB2312" w:hAnsi="仿宋_GB2312" w:eastAsia="仿宋_GB2312" w:cs="仿宋_GB2312"/>
          <w:b/>
          <w:bCs/>
          <w:sz w:val="32"/>
          <w:szCs w:val="32"/>
        </w:rPr>
      </w:pP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加强扶贫项目资产后续管理，明确扶贫资产管护责任，提升扶贫资产运营效益，规范扶贫资产收益分配，完善扶贫资产监管机制，防止资产闲置和损失浪费，确保扶贫资产保值增值、持续发挥效益。</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摸清扶贫项目资产底数。</w:t>
      </w:r>
      <w:r>
        <w:rPr>
          <w:rFonts w:hint="eastAsia" w:ascii="仿宋_GB2312" w:hAnsi="仿宋_GB2312" w:eastAsia="仿宋_GB2312" w:cs="仿宋_GB2312"/>
          <w:sz w:val="32"/>
          <w:szCs w:val="32"/>
        </w:rPr>
        <w:t>强化行业部门协作，全面摸清全县扶贫项目资产底数，对脱贫攻坚期投入的各类专项扶贫资金的全面清理、核查，逐项建立台帐，做到账目清晰、账实相符、账账相符。对脱贫攻坚期实施的扶贫项目的逐项规范，做到利益联结机制完善、项目执行质量可靠。对脱贫攻坚期形成的扶贫项目资产的盘点、清理、确权、监管。</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加强公益性资产后续管理。</w:t>
      </w:r>
      <w:r>
        <w:rPr>
          <w:rFonts w:hint="eastAsia" w:ascii="仿宋_GB2312" w:hAnsi="仿宋_GB2312" w:eastAsia="仿宋_GB2312" w:cs="仿宋_GB2312"/>
          <w:sz w:val="32"/>
          <w:szCs w:val="32"/>
        </w:rPr>
        <w:t>落实公益性资产管护主体，明确管护责任，可通过统筹利用公益性岗位等方式解决管护力量不足问题，优先吸纳边缘易致贫户、脱贫不稳定户等低收入群体参与扶贫项目资产管护，专业性较强的公益性资产可通过购买服务形式进行管护，确保公益性资产在巩固拓展脱贫攻坚成果和乡村振兴中持续发挥效益。</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加强经营性资产后续管理。</w:t>
      </w:r>
      <w:r>
        <w:rPr>
          <w:rFonts w:hint="eastAsia" w:ascii="仿宋_GB2312" w:hAnsi="仿宋_GB2312" w:eastAsia="仿宋_GB2312" w:cs="仿宋_GB2312"/>
          <w:sz w:val="32"/>
          <w:szCs w:val="32"/>
        </w:rPr>
        <w:t>明晰经营性资产产权关系，防止资产流失和被侵占。可实行承包、托管、租赁、合作及独资方式落实经营主体，努力提升经营性资产运营效益。资产收益重点用于项目运行管护、巩固拓展脱贫攻坚成果、村级公益事业等，可使用资产收益帮扶脱贫不稳定户、边缘易致贫户以及因病因灾因意外事故等刚性支出较大或收入大幅缩减导致基本生活出现严重困难户。</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加大到户资产管理。</w:t>
      </w:r>
      <w:r>
        <w:rPr>
          <w:rFonts w:hint="eastAsia" w:ascii="仿宋_GB2312" w:hAnsi="仿宋_GB2312" w:eastAsia="仿宋_GB2312" w:cs="仿宋_GB2312"/>
          <w:sz w:val="32"/>
          <w:szCs w:val="32"/>
        </w:rPr>
        <w:t>确权到农户或其他经营主体的扶贫资产，依法维护其财产权利，由其自主管理和运营。</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推进项目库建设。</w:t>
      </w:r>
      <w:r>
        <w:rPr>
          <w:rFonts w:hint="eastAsia" w:ascii="仿宋_GB2312" w:hAnsi="仿宋_GB2312" w:eastAsia="仿宋_GB2312" w:cs="仿宋_GB2312"/>
          <w:sz w:val="32"/>
          <w:szCs w:val="32"/>
        </w:rPr>
        <w:t>建立完善县级巩固拓展脱贫攻坚成果和乡村振兴项目库，对已入库项目作进一步优化调整，储备一批到村项目。</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落实各级各部门资产监管职责。</w:t>
      </w:r>
      <w:r>
        <w:rPr>
          <w:rFonts w:hint="eastAsia" w:ascii="仿宋_GB2312" w:hAnsi="仿宋_GB2312" w:eastAsia="仿宋_GB2312" w:cs="仿宋_GB2312"/>
          <w:sz w:val="32"/>
          <w:szCs w:val="32"/>
        </w:rPr>
        <w:t>组织开展政策培训、进度跟踪、统计汇总、分析研判等工作，对扶贫资产确权登记、运营管护、收益分配等各个环节开展全过程督促指导。县级承担扶贫资产管理主体责任，围绕“属于谁、谁来管、如何管”，统筹安排财政、发改、农业农村、人社、交通、水利、教育、卫健、住建等相关行业部门和镇（街道、场）、村，明确责任分工，强化业务培训，落实扶贫资产后续管理各环节责任，形成上下联动、条块结合的扶贫资产管理责任体系。</w:t>
      </w:r>
    </w:p>
    <w:p>
      <w:pPr>
        <w:pStyle w:val="2"/>
      </w:pPr>
    </w:p>
    <w:p>
      <w:pPr>
        <w:pStyle w:val="23"/>
        <w:widowControl w:val="0"/>
        <w:spacing w:after="0" w:line="240" w:lineRule="auto"/>
        <w:jc w:val="center"/>
        <w:outlineLvl w:val="1"/>
        <w:rPr>
          <w:rFonts w:ascii="黑体" w:hAnsi="黑体" w:eastAsia="黑体" w:cs="黑体"/>
          <w:sz w:val="32"/>
          <w:szCs w:val="32"/>
        </w:rPr>
      </w:pPr>
      <w:bookmarkStart w:id="29" w:name="_Toc18140"/>
      <w:bookmarkStart w:id="30" w:name="_Toc17550"/>
      <w:r>
        <w:rPr>
          <w:rFonts w:hint="eastAsia" w:ascii="黑体" w:hAnsi="黑体" w:eastAsia="黑体" w:cs="黑体"/>
          <w:sz w:val="32"/>
          <w:szCs w:val="32"/>
        </w:rPr>
        <w:t>第五节 加强农村低收入人口常态化帮扶</w:t>
      </w:r>
      <w:bookmarkEnd w:id="29"/>
      <w:bookmarkEnd w:id="30"/>
    </w:p>
    <w:p>
      <w:pPr>
        <w:ind w:firstLine="616" w:firstLineChars="200"/>
        <w:rPr>
          <w:rFonts w:ascii="仿宋_GB2312" w:eastAsia="仿宋_GB2312"/>
          <w:sz w:val="32"/>
          <w:szCs w:val="32"/>
        </w:rPr>
      </w:pP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开展低收入人口动态监测和常态化救助帮扶工作，加强社会救助资源统筹，大力实施社会保障普惠工程，为所有纳入监测对象的低收入人口构建起坚实的社会保障网络，切实消除返贫致贫风险。</w:t>
      </w:r>
    </w:p>
    <w:p>
      <w:pPr>
        <w:pStyle w:val="2"/>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sz w:val="32"/>
          <w:szCs w:val="32"/>
        </w:rPr>
        <w:t>加强农村低收入人口监测</w:t>
      </w:r>
      <w:r>
        <w:rPr>
          <w:rFonts w:hint="eastAsia" w:ascii="楷体_GB2312" w:hAnsi="楷体_GB2312" w:eastAsia="楷体_GB2312" w:cs="楷体_GB2312"/>
          <w:b/>
          <w:sz w:val="32"/>
          <w:szCs w:val="32"/>
        </w:rPr>
        <w:t>。</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入户走访、自主申报、基层上报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数据比对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热线信访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历史数据等方式，采集低收入人口信息，确保不漏一户、不落一人。积极对接补充完善巩固拓展脱贫攻坚成果监测指标，充分利用民政、乡村振兴、教育、人力资源社会保障、住建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卫健等政府部门现有数据平台，加强数据比对和信息共享，完善基层主动发现机制。持续跟踪收支变化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两不愁三保障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及饮水安全状况，着力构建低收入人口动态监测体系，健全多部门联动的风险预警、研判和处置机制，实现对农村低收入人口风险早发现、早帮扶。完善农村低收入人口定期核查和动态调整机制。</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sz w:val="32"/>
          <w:szCs w:val="32"/>
        </w:rPr>
        <w:t>给予基本生活救助</w:t>
      </w:r>
      <w:r>
        <w:rPr>
          <w:rFonts w:hint="eastAsia" w:ascii="楷体_GB2312" w:hAnsi="楷体_GB2312" w:eastAsia="楷体_GB2312" w:cs="楷体_GB2312"/>
          <w:b/>
          <w:sz w:val="32"/>
          <w:szCs w:val="32"/>
        </w:rPr>
        <w:t>。</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低收入人口中凡共同生活的家庭成员人均收入低于最低生活保障标准，且家庭财产状况符合相关规定的家庭，经</w:t>
      </w:r>
      <w:r>
        <w:rPr>
          <w:rFonts w:hint="eastAsia" w:ascii="仿宋_GB2312" w:hAnsi="仿宋_GB2312" w:eastAsia="仿宋_GB2312" w:cs="仿宋_GB2312"/>
          <w:sz w:val="32"/>
          <w:szCs w:val="32"/>
        </w:rPr>
        <w:t>镇（街道、场）</w:t>
      </w:r>
      <w:r>
        <w:rPr>
          <w:rFonts w:ascii="仿宋_GB2312" w:hAnsi="仿宋_GB2312" w:eastAsia="仿宋_GB2312" w:cs="仿宋_GB2312"/>
          <w:sz w:val="32"/>
          <w:szCs w:val="32"/>
        </w:rPr>
        <w:t>审核确认，纳入最低生活保障范围。对低保边缘家庭中的重残人员、重病患者等特殊困难人员，参照“单人户”纳入低保。</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无劳动能力、无生活来源且无法定赡养、抚养、扶养义务人，或者其法定赡养、抚养、扶养义务人无赡养、抚养、扶养能力的老年人、残疾人以及未成年人，经</w:t>
      </w:r>
      <w:r>
        <w:rPr>
          <w:rFonts w:hint="eastAsia" w:ascii="仿宋_GB2312" w:hAnsi="仿宋_GB2312" w:eastAsia="仿宋_GB2312" w:cs="仿宋_GB2312"/>
          <w:sz w:val="32"/>
          <w:szCs w:val="32"/>
        </w:rPr>
        <w:t>镇（街道、场）</w:t>
      </w:r>
      <w:r>
        <w:rPr>
          <w:rFonts w:ascii="仿宋_GB2312" w:hAnsi="仿宋_GB2312" w:eastAsia="仿宋_GB2312" w:cs="仿宋_GB2312"/>
          <w:sz w:val="32"/>
          <w:szCs w:val="32"/>
        </w:rPr>
        <w:t>审核确认，纳入特困人员救助供养范围。</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sz w:val="32"/>
          <w:szCs w:val="32"/>
        </w:rPr>
        <w:t>实施综合社会救助</w:t>
      </w:r>
      <w:r>
        <w:rPr>
          <w:rFonts w:hint="eastAsia" w:ascii="楷体_GB2312" w:hAnsi="楷体_GB2312" w:eastAsia="楷体_GB2312" w:cs="楷体_GB2312"/>
          <w:b/>
          <w:sz w:val="32"/>
          <w:szCs w:val="32"/>
        </w:rPr>
        <w:t>。</w:t>
      </w:r>
      <w:r>
        <w:rPr>
          <w:rFonts w:ascii="仿宋_GB2312" w:hAnsi="仿宋_GB2312" w:eastAsia="仿宋_GB2312" w:cs="仿宋_GB2312"/>
          <w:sz w:val="32"/>
          <w:szCs w:val="32"/>
        </w:rPr>
        <w:t>加强社会救助资源统筹，根据低收入人口对象类型、困难程度等，由相关部门及时有针对性地给予医疗、教育、住房、就业等专项救助，做到精准识别、应救尽救。对低收入家庭成员门诊慢特病和住院发生的经基本医疗保险、大病保险和其他补充医疗保险支付后，个人及其家庭难以承担的符合政策规定的自付费用，符合条件的给予适当救助。对低收入家庭中符合条件的在校学生，通过发放奖学金、助学金、提供勤工助学岗位、助学贷款、相关费用减免等方式，实施教育救助。对符合住房保障条件的城镇低收入家庭配租公租房或发放租赁补贴；对住房困难的农村低收入家庭给予农村危房改造等住房救助。对城市低收入家庭中有劳动能力并处于失业状态的家庭成员，按规定落实贷款贴息、税费减免、培训补贴、社保补贴、公益性岗位安置等优惠政策；对农村低收入家庭中有劳动能力的家庭成员，综合运用产业扶持、劳务输出、扶贫车间吸纳、以工代赈带动、乡村公益岗位安置等政策，帮助其积极就业。对遭遇自然灾害的低收入家庭，根据受灾情况给予必要的应急救助、过渡期救助、旱灾临时生活困难救助、冬春临时生活困难救助和遇难人员家庭抚慰、因灾倒损民房恢复重建等救助。</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sz w:val="32"/>
          <w:szCs w:val="32"/>
        </w:rPr>
        <w:t>给予急难社会救助</w:t>
      </w:r>
      <w:r>
        <w:rPr>
          <w:rFonts w:hint="eastAsia" w:ascii="楷体_GB2312" w:hAnsi="楷体_GB2312" w:eastAsia="楷体_GB2312" w:cs="楷体_GB2312"/>
          <w:b/>
          <w:sz w:val="32"/>
          <w:szCs w:val="32"/>
        </w:rPr>
        <w:t>。</w:t>
      </w:r>
      <w:r>
        <w:rPr>
          <w:rFonts w:ascii="仿宋_GB2312" w:hAnsi="仿宋_GB2312" w:eastAsia="仿宋_GB2312" w:cs="仿宋_GB2312"/>
          <w:sz w:val="32"/>
          <w:szCs w:val="32"/>
        </w:rPr>
        <w:t>对遭遇突发性、紧迫性、灾难性困难或突发公共事件导致基本生活出现严重困难的低收入人口，给予临时救助，做到凡困必帮、有难必救。用足用好</w:t>
      </w:r>
      <w:r>
        <w:rPr>
          <w:rFonts w:hint="eastAsia" w:ascii="仿宋_GB2312" w:hAnsi="仿宋_GB2312" w:eastAsia="仿宋_GB2312" w:cs="仿宋_GB2312"/>
          <w:sz w:val="32"/>
          <w:szCs w:val="32"/>
        </w:rPr>
        <w:t>镇（街道、场）</w:t>
      </w:r>
      <w:r>
        <w:rPr>
          <w:rFonts w:ascii="仿宋_GB2312" w:hAnsi="仿宋_GB2312" w:eastAsia="仿宋_GB2312" w:cs="仿宋_GB2312"/>
          <w:sz w:val="32"/>
          <w:szCs w:val="32"/>
        </w:rPr>
        <w:t>临时救助储备金制度。探索由急难发生地受理申请、审核、发放临时救助金，全面落实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先行救助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分级审批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一次审批、分阶段救助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等政策。发挥县级困难群众基本生活保障工作协调机制作用，及时化解困难群众遭遇的各类急难愁盼问题，最大限度防止发生冲击社会道德和心理底线事件。</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sz w:val="32"/>
          <w:szCs w:val="32"/>
        </w:rPr>
        <w:t>开展服务类社会救助</w:t>
      </w:r>
      <w:r>
        <w:rPr>
          <w:rFonts w:hint="eastAsia" w:ascii="楷体_GB2312" w:hAnsi="楷体_GB2312" w:eastAsia="楷体_GB2312" w:cs="楷体_GB2312"/>
          <w:b/>
          <w:sz w:val="32"/>
          <w:szCs w:val="32"/>
        </w:rPr>
        <w:t>。</w:t>
      </w:r>
      <w:r>
        <w:rPr>
          <w:rFonts w:ascii="仿宋_GB2312" w:hAnsi="仿宋_GB2312" w:eastAsia="仿宋_GB2312" w:cs="仿宋_GB2312"/>
          <w:sz w:val="32"/>
          <w:szCs w:val="32"/>
        </w:rPr>
        <w:t>鼓励各地通过政府购买服务对低收入人口中生活不能自理的老年人、未成年人、残疾人等提供必要的访视、照料服务。积极发展社会工作服务，为低收入人口提供心理疏导、资源链接、能力提升、社会融入等服务。</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sz w:val="32"/>
          <w:szCs w:val="32"/>
        </w:rPr>
        <w:t>积极开展慈善救助</w:t>
      </w:r>
      <w:r>
        <w:rPr>
          <w:rFonts w:hint="eastAsia" w:ascii="楷体_GB2312" w:hAnsi="楷体_GB2312" w:eastAsia="楷体_GB2312" w:cs="楷体_GB2312"/>
          <w:b/>
          <w:sz w:val="32"/>
          <w:szCs w:val="32"/>
        </w:rPr>
        <w:t>。</w:t>
      </w:r>
      <w:r>
        <w:rPr>
          <w:rFonts w:ascii="仿宋_GB2312" w:hAnsi="仿宋_GB2312" w:eastAsia="仿宋_GB2312" w:cs="仿宋_GB2312"/>
          <w:sz w:val="32"/>
          <w:szCs w:val="32"/>
        </w:rPr>
        <w:t>支持引导公民、法人和其他组织等社会力量，通过捐赠、设立帮扶项目、创办服务机构、提供志愿服务等方式，参与低收入人口救助帮扶工作。对于遭遇重特大疾病的低收入人口，引导支持慈善组织依法依规开展慈善活动，及时提供救助帮扶。动员引导相关企业、组织将对低保家庭、特困人员的救助帮扶措施延伸至其他低收入人口。</w:t>
      </w:r>
    </w:p>
    <w:p>
      <w:pPr>
        <w:tabs>
          <w:tab w:val="left" w:pos="3308"/>
        </w:tabs>
        <w:outlineLvl w:val="0"/>
        <w:rPr>
          <w:rFonts w:ascii="方正小标宋简体" w:hAnsi="方正小标宋简体" w:eastAsia="方正小标宋简体" w:cs="方正小标宋简体"/>
          <w:kern w:val="0"/>
          <w:sz w:val="32"/>
          <w:szCs w:val="32"/>
        </w:rPr>
      </w:pPr>
      <w:bookmarkStart w:id="31" w:name="_Toc1985"/>
      <w:bookmarkStart w:id="32" w:name="_Toc14542"/>
    </w:p>
    <w:p>
      <w:pPr>
        <w:tabs>
          <w:tab w:val="left" w:pos="3308"/>
        </w:tabs>
        <w:jc w:val="center"/>
        <w:outlineLvl w:val="0"/>
        <w:rPr>
          <w:rFonts w:hint="eastAsia" w:ascii="方正小标宋简体" w:hAnsi="方正小标宋简体" w:eastAsia="方正小标宋简体" w:cs="方正小标宋简体"/>
          <w:kern w:val="0"/>
          <w:sz w:val="32"/>
          <w:szCs w:val="32"/>
        </w:rPr>
      </w:pPr>
    </w:p>
    <w:p>
      <w:pPr>
        <w:pStyle w:val="2"/>
        <w:rPr>
          <w:rFonts w:hint="eastAsia"/>
        </w:rPr>
      </w:pPr>
    </w:p>
    <w:p>
      <w:pPr>
        <w:rPr>
          <w:rFonts w:hint="eastAsia"/>
        </w:rPr>
      </w:pPr>
    </w:p>
    <w:p>
      <w:pPr>
        <w:pStyle w:val="2"/>
      </w:pPr>
    </w:p>
    <w:p>
      <w:pPr>
        <w:tabs>
          <w:tab w:val="left" w:pos="3308"/>
        </w:tabs>
        <w:jc w:val="center"/>
        <w:outlineLvl w:val="0"/>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第四章 拓展脱贫攻坚成效</w:t>
      </w:r>
      <w:bookmarkEnd w:id="31"/>
      <w:bookmarkEnd w:id="32"/>
    </w:p>
    <w:p>
      <w:pPr>
        <w:pStyle w:val="23"/>
        <w:widowControl w:val="0"/>
        <w:spacing w:after="0" w:line="0" w:lineRule="atLeast"/>
        <w:jc w:val="center"/>
        <w:rPr>
          <w:rFonts w:ascii="楷体" w:hAnsi="楷体" w:eastAsia="楷体" w:cs="楷体"/>
          <w:b/>
          <w:bCs/>
          <w:sz w:val="32"/>
          <w:szCs w:val="32"/>
        </w:rPr>
      </w:pPr>
    </w:p>
    <w:p>
      <w:pPr>
        <w:pStyle w:val="23"/>
        <w:widowControl w:val="0"/>
        <w:spacing w:after="0" w:line="240" w:lineRule="auto"/>
        <w:jc w:val="center"/>
        <w:outlineLvl w:val="1"/>
        <w:rPr>
          <w:rFonts w:ascii="黑体" w:hAnsi="黑体" w:eastAsia="黑体" w:cs="黑体"/>
          <w:sz w:val="32"/>
          <w:szCs w:val="32"/>
        </w:rPr>
      </w:pPr>
      <w:bookmarkStart w:id="33" w:name="_Toc8849"/>
      <w:bookmarkStart w:id="34" w:name="_Toc25473"/>
      <w:r>
        <w:rPr>
          <w:rFonts w:hint="eastAsia" w:ascii="黑体" w:hAnsi="黑体" w:eastAsia="黑体" w:cs="黑体"/>
          <w:sz w:val="32"/>
          <w:szCs w:val="32"/>
        </w:rPr>
        <w:t>第一节 稳步推进镇村规划</w:t>
      </w:r>
      <w:bookmarkEnd w:id="33"/>
      <w:bookmarkEnd w:id="34"/>
    </w:p>
    <w:p>
      <w:pPr>
        <w:tabs>
          <w:tab w:val="left" w:pos="3308"/>
        </w:tabs>
        <w:spacing w:line="0" w:lineRule="atLeast"/>
        <w:ind w:firstLine="616" w:firstLineChars="200"/>
        <w:rPr>
          <w:rFonts w:ascii="仿宋_GB2312" w:hAnsi="仿宋_GB2312" w:eastAsia="仿宋_GB2312" w:cs="仿宋_GB2312"/>
          <w:sz w:val="32"/>
          <w:szCs w:val="32"/>
        </w:rPr>
      </w:pPr>
    </w:p>
    <w:p>
      <w:pPr>
        <w:tabs>
          <w:tab w:val="left" w:pos="3308"/>
        </w:tabs>
        <w:spacing w:line="66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立足解决群众急难愁盼、留住乡愁记忆、建设宜居乡愁，积极稳妥、分类推进“多规合一”实用性村庄规划编制，对有条件、有需求的村庄实现村庄规划全覆盖。</w:t>
      </w:r>
    </w:p>
    <w:p>
      <w:pPr>
        <w:spacing w:line="660" w:lineRule="exact"/>
        <w:ind w:firstLine="616" w:firstLineChars="200"/>
      </w:pPr>
      <w:r>
        <w:rPr>
          <w:rFonts w:hint="eastAsia" w:ascii="楷体_GB2312" w:hAnsi="楷体_GB2312" w:eastAsia="楷体_GB2312" w:cs="楷体_GB2312"/>
          <w:b/>
          <w:bCs/>
          <w:sz w:val="32"/>
          <w:szCs w:val="32"/>
        </w:rPr>
        <w:t>——统筹推进乡村规划编制。</w:t>
      </w:r>
      <w:r>
        <w:rPr>
          <w:rFonts w:hint="eastAsia" w:ascii="仿宋_GB2312" w:hAnsi="仿宋_GB2312" w:eastAsia="仿宋_GB2312" w:cs="仿宋_GB2312"/>
          <w:sz w:val="32"/>
          <w:szCs w:val="32"/>
        </w:rPr>
        <w:t>综合考虑土地利用、产业发展、居民点布局、生态保护和历史文化传承等因素，科学布局乡村生产生活生态空间，优化完善全域全要素村规划编制。尊重自然地理格局，尊重农民的意愿，体现城乡融合、产村融合、生产生活生态“三生”融合理念。推行多规合一，实行一张蓝图管到底。加强传统村落特色和乡村风貌保护，充分维护原生态村居风貌，保留乡村景观特色，保护自然和人文环境，注重融入时代感、现代性，强化空间利用的人性化、多样化，突出镇、村发展方向定位的差异化，加快推进“一镇一貌”“一村一品”特色乡村发展。结合《国家乡村振兴战略规划（2018-2022年）》提出的四大类村庄发展指导意见，按照榆林下发的村庄分类依据，将靖边县184个村庄按照定性定量的方法进行分类，其中集聚提升类村庄125个，城郊融合类村庄39个，特色保护类村庄19个，搬迁撤并类村庄1个。</w:t>
      </w:r>
    </w:p>
    <w:tbl>
      <w:tblPr>
        <w:tblStyle w:val="20"/>
        <w:tblpPr w:leftFromText="180" w:rightFromText="180" w:vertAnchor="text" w:horzAnchor="page" w:tblpX="1659"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19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70"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镇（街道、场）名称</w:t>
            </w:r>
          </w:p>
        </w:tc>
        <w:tc>
          <w:tcPr>
            <w:tcW w:w="1193"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集聚提升</w:t>
            </w:r>
            <w:r>
              <w:rPr>
                <w:rFonts w:hint="eastAsia" w:ascii="仿宋_GB2312" w:hAnsi="仿宋_GB2312" w:eastAsia="仿宋_GB2312" w:cs="仿宋_GB2312"/>
                <w:b/>
                <w:bCs/>
                <w:szCs w:val="21"/>
              </w:rPr>
              <w:t>类</w:t>
            </w:r>
          </w:p>
        </w:tc>
        <w:tc>
          <w:tcPr>
            <w:tcW w:w="1423"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城郊融合</w:t>
            </w:r>
            <w:r>
              <w:rPr>
                <w:rFonts w:hint="eastAsia" w:ascii="仿宋_GB2312" w:hAnsi="仿宋_GB2312" w:eastAsia="仿宋_GB2312" w:cs="仿宋_GB2312"/>
                <w:b/>
                <w:bCs/>
                <w:szCs w:val="21"/>
              </w:rPr>
              <w:t>类</w:t>
            </w:r>
          </w:p>
        </w:tc>
        <w:tc>
          <w:tcPr>
            <w:tcW w:w="1423"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特色保护</w:t>
            </w:r>
            <w:r>
              <w:rPr>
                <w:rFonts w:hint="eastAsia" w:ascii="仿宋_GB2312" w:hAnsi="仿宋_GB2312" w:eastAsia="仿宋_GB2312" w:cs="仿宋_GB2312"/>
                <w:b/>
                <w:bCs/>
                <w:szCs w:val="21"/>
              </w:rPr>
              <w:t>类</w:t>
            </w:r>
          </w:p>
        </w:tc>
        <w:tc>
          <w:tcPr>
            <w:tcW w:w="1423"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搬迁撤并</w:t>
            </w:r>
            <w:r>
              <w:rPr>
                <w:rFonts w:hint="eastAsia" w:ascii="仿宋_GB2312" w:hAnsi="仿宋_GB2312" w:eastAsia="仿宋_GB2312" w:cs="仿宋_GB2312"/>
                <w:b/>
                <w:bCs/>
                <w:szCs w:val="21"/>
              </w:rPr>
              <w:t>类</w:t>
            </w:r>
          </w:p>
        </w:tc>
        <w:tc>
          <w:tcPr>
            <w:tcW w:w="1423"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东坑镇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szCs w:val="21"/>
              </w:rPr>
            </w:pPr>
            <w:r>
              <w:rPr>
                <w:rFonts w:hint="eastAsia" w:ascii="仿宋_GB2312" w:hAnsi="仿宋_GB2312" w:eastAsia="仿宋_GB2312" w:cs="仿宋_GB2312"/>
                <w:b/>
                <w:bCs/>
                <w:w w:val="90"/>
                <w:szCs w:val="21"/>
              </w:rPr>
              <w:t>海则滩镇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红墩界镇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黄蒿界镇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龙洲镇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宁条梁镇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青阳岔镇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天赐湾镇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王渠则镇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席麻湾镇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小河镇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杨米涧镇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杨桥畔镇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张家畔街道</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镇靖镇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中山涧镇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周河镇</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70" w:type="dxa"/>
            <w:vAlign w:val="center"/>
          </w:tcPr>
          <w:p>
            <w:pPr>
              <w:tabs>
                <w:tab w:val="left" w:pos="3308"/>
              </w:tabs>
              <w:jc w:val="center"/>
              <w:rPr>
                <w:rFonts w:ascii="仿宋_GB2312" w:hAnsi="仿宋_GB2312" w:eastAsia="仿宋_GB2312" w:cs="仿宋_GB2312"/>
                <w:b/>
                <w:bCs/>
                <w:w w:val="90"/>
                <w:szCs w:val="21"/>
              </w:rPr>
            </w:pPr>
            <w:r>
              <w:rPr>
                <w:rFonts w:hint="eastAsia" w:ascii="仿宋_GB2312" w:hAnsi="仿宋_GB2312" w:eastAsia="仿宋_GB2312" w:cs="仿宋_GB2312"/>
                <w:b/>
                <w:bCs/>
                <w:w w:val="90"/>
                <w:szCs w:val="21"/>
              </w:rPr>
              <w:t>合计</w:t>
            </w:r>
          </w:p>
        </w:tc>
        <w:tc>
          <w:tcPr>
            <w:tcW w:w="119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39</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3" w:type="dxa"/>
            <w:vAlign w:val="center"/>
          </w:tcPr>
          <w:p>
            <w:pPr>
              <w:tabs>
                <w:tab w:val="left" w:pos="3308"/>
              </w:tabs>
              <w:jc w:val="center"/>
              <w:rPr>
                <w:rFonts w:ascii="仿宋_GB2312" w:hAnsi="仿宋_GB2312" w:eastAsia="仿宋_GB2312" w:cs="仿宋_GB2312"/>
                <w:szCs w:val="21"/>
              </w:rPr>
            </w:pPr>
            <w:r>
              <w:rPr>
                <w:rFonts w:hint="eastAsia" w:ascii="仿宋_GB2312" w:hAnsi="仿宋_GB2312" w:eastAsia="仿宋_GB2312" w:cs="仿宋_GB2312"/>
                <w:szCs w:val="21"/>
              </w:rPr>
              <w:t>184</w:t>
            </w:r>
          </w:p>
        </w:tc>
      </w:tr>
    </w:tbl>
    <w:p>
      <w:pPr>
        <w:tabs>
          <w:tab w:val="left" w:pos="3308"/>
        </w:tabs>
        <w:ind w:firstLine="616" w:firstLineChars="200"/>
        <w:rPr>
          <w:rFonts w:ascii="仿宋_GB2312" w:hAnsi="仿宋_GB2312" w:eastAsia="仿宋_GB2312" w:cs="仿宋_GB2312"/>
          <w:sz w:val="32"/>
          <w:szCs w:val="32"/>
        </w:rPr>
      </w:pPr>
    </w:p>
    <w:p>
      <w:pPr>
        <w:tabs>
          <w:tab w:val="left" w:pos="3308"/>
        </w:tabs>
        <w:ind w:firstLine="616" w:firstLineChars="200"/>
        <w:rPr>
          <w:rFonts w:ascii="仿宋_GB2312" w:hAnsi="仿宋_GB2312" w:eastAsia="仿宋_GB2312" w:cs="仿宋_GB2312"/>
          <w:sz w:val="32"/>
          <w:szCs w:val="32"/>
        </w:rPr>
      </w:pPr>
      <w:bookmarkStart w:id="35" w:name="_Toc29764"/>
      <w:r>
        <w:rPr>
          <w:rFonts w:hint="eastAsia" w:ascii="楷体_GB2312" w:hAnsi="楷体_GB2312" w:eastAsia="楷体_GB2312" w:cs="楷体_GB2312"/>
          <w:b/>
          <w:bCs/>
          <w:sz w:val="32"/>
          <w:szCs w:val="32"/>
        </w:rPr>
        <w:t>——严格执行农业功能区管理</w:t>
      </w:r>
      <w:bookmarkEnd w:id="35"/>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科学划定粮食生产功能区、重要农产品生产保护区，大力建设特色农产品优势区，合理划定畜禽水产养殖业适养、限养、禁养区域，加强农用地土壤重金属优先保护类、安全利用类、严格管控类管理，严格保护农业生产空间。统筹推进农业产业园、科技园、创业园等各类园区建设。严格执行农业功能区制度，建立农业准入负面清单，引导农业产业合理布局。</w:t>
      </w:r>
    </w:p>
    <w:tbl>
      <w:tblPr>
        <w:tblStyle w:val="20"/>
        <w:tblpPr w:leftFromText="180" w:rightFromText="180" w:vertAnchor="text" w:horzAnchor="page" w:tblpX="1987" w:tblpY="474"/>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40" w:type="dxa"/>
          </w:tcPr>
          <w:p>
            <w:pPr>
              <w:pStyle w:val="24"/>
              <w:widowControl w:val="0"/>
              <w:spacing w:line="240" w:lineRule="auto"/>
              <w:ind w:left="0" w:firstLine="0"/>
              <w:jc w:val="center"/>
              <w:rPr>
                <w:rFonts w:ascii="仿宋_GB2312" w:hAnsi="仿宋_GB2312" w:eastAsia="仿宋_GB2312" w:cs="仿宋_GB2312"/>
                <w:kern w:val="2"/>
                <w:sz w:val="24"/>
                <w:szCs w:val="24"/>
              </w:rPr>
            </w:pPr>
            <w:bookmarkStart w:id="36" w:name="_Toc14382"/>
            <w:bookmarkStart w:id="37" w:name="_Toc23143"/>
            <w:r>
              <w:rPr>
                <w:rFonts w:hint="eastAsia" w:ascii="黑体" w:hAnsi="黑体" w:eastAsia="黑体"/>
                <w:kern w:val="2"/>
                <w:sz w:val="24"/>
                <w:szCs w:val="24"/>
              </w:rPr>
              <w:t>专栏3 农业功能分区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trPr>
        <w:tc>
          <w:tcPr>
            <w:tcW w:w="8840" w:type="dxa"/>
          </w:tcPr>
          <w:p>
            <w:pPr>
              <w:pStyle w:val="24"/>
              <w:widowControl w:val="0"/>
              <w:spacing w:line="500" w:lineRule="exact"/>
              <w:ind w:left="0" w:firstLine="472" w:firstLineChars="200"/>
              <w:jc w:val="left"/>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1.现代农业集聚区。</w:t>
            </w:r>
            <w:r>
              <w:rPr>
                <w:rFonts w:hint="eastAsia" w:ascii="仿宋_GB2312" w:hAnsi="仿宋_GB2312" w:eastAsia="仿宋_GB2312" w:cs="仿宋_GB2312"/>
                <w:kern w:val="2"/>
                <w:sz w:val="24"/>
                <w:szCs w:val="24"/>
              </w:rPr>
              <w:t xml:space="preserve">以东坑现代农业产业示范园建设为核心，打造现代化种养殖 </w:t>
            </w:r>
          </w:p>
          <w:p>
            <w:pPr>
              <w:pStyle w:val="24"/>
              <w:widowControl w:val="0"/>
              <w:spacing w:line="500" w:lineRule="exact"/>
              <w:ind w:left="0" w:firstLine="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示范基地。建设以东坑镇为主、宁条梁镇为辅的现代农业集聚区，带动全县和周边镇（街道、场）发展现代农业。</w:t>
            </w:r>
          </w:p>
          <w:p>
            <w:pPr>
              <w:pStyle w:val="24"/>
              <w:widowControl w:val="0"/>
              <w:spacing w:line="500" w:lineRule="exact"/>
              <w:ind w:left="0" w:firstLine="465" w:firstLineChars="197"/>
              <w:jc w:val="left"/>
              <w:rPr>
                <w:rFonts w:hint="eastAsia"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2.传统畜牧养殖区。</w:t>
            </w:r>
            <w:r>
              <w:rPr>
                <w:rFonts w:hint="eastAsia" w:ascii="仿宋_GB2312" w:hAnsi="仿宋_GB2312" w:eastAsia="仿宋_GB2312" w:cs="仿宋_GB2312"/>
                <w:kern w:val="2"/>
                <w:sz w:val="24"/>
                <w:szCs w:val="24"/>
              </w:rPr>
              <w:t>北部镇（街道、场）以养殖业为主，大力支持设施养殖，为循环农业奠定基础。</w:t>
            </w:r>
          </w:p>
          <w:p>
            <w:pPr>
              <w:pStyle w:val="24"/>
              <w:widowControl w:val="0"/>
              <w:spacing w:line="500" w:lineRule="exact"/>
              <w:ind w:left="0" w:firstLine="465" w:firstLineChars="197"/>
              <w:jc w:val="left"/>
              <w:rPr>
                <w:rFonts w:hint="eastAsia"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3.蔬菜种植示范区。</w:t>
            </w:r>
            <w:r>
              <w:rPr>
                <w:rFonts w:hint="eastAsia" w:ascii="仿宋_GB2312" w:hAnsi="仿宋_GB2312" w:eastAsia="仿宋_GB2312" w:cs="仿宋_GB2312"/>
                <w:kern w:val="2"/>
                <w:sz w:val="24"/>
                <w:szCs w:val="24"/>
              </w:rPr>
              <w:t>中部涧地镇（街道、场）依托当地水土条件和区位优势，发展大棚蔬菜，实现农产品“多样化、错时代”发展。</w:t>
            </w:r>
          </w:p>
          <w:p>
            <w:pPr>
              <w:pStyle w:val="24"/>
              <w:widowControl w:val="0"/>
              <w:spacing w:line="500" w:lineRule="exact"/>
              <w:ind w:left="0" w:firstLine="465" w:firstLineChars="197"/>
              <w:jc w:val="left"/>
              <w:rPr>
                <w:rFonts w:hint="eastAsia"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4.农旅融合体验区。</w:t>
            </w:r>
            <w:r>
              <w:rPr>
                <w:rFonts w:hint="eastAsia" w:ascii="仿宋_GB2312" w:hAnsi="仿宋_GB2312" w:eastAsia="仿宋_GB2312" w:cs="仿宋_GB2312"/>
                <w:kern w:val="2"/>
                <w:sz w:val="24"/>
                <w:szCs w:val="24"/>
              </w:rPr>
              <w:t>东南部镇（街道、场）的旅游景区沿线大力发展休闲农业与观光农业，促进旅游业与农业相互带动发展，进一步提升靖边县的经济效益。</w:t>
            </w:r>
          </w:p>
          <w:p>
            <w:pPr>
              <w:pStyle w:val="24"/>
              <w:widowControl w:val="0"/>
              <w:spacing w:line="500" w:lineRule="exact"/>
              <w:ind w:left="0" w:firstLine="465" w:firstLineChars="197"/>
              <w:jc w:val="left"/>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5.生态林果种植区。</w:t>
            </w:r>
            <w:r>
              <w:rPr>
                <w:rFonts w:hint="eastAsia" w:ascii="仿宋_GB2312" w:hAnsi="仿宋_GB2312" w:eastAsia="仿宋_GB2312" w:cs="仿宋_GB2312"/>
                <w:kern w:val="2"/>
                <w:sz w:val="24"/>
                <w:szCs w:val="24"/>
              </w:rPr>
              <w:t>西南部镇（街道、场）加大森林资源保护力度，整合山区土地资源，发展经济林、设施水果等生态农业，实施土地流转，带动县域西南部镇（街道、场）发展。</w:t>
            </w:r>
          </w:p>
        </w:tc>
      </w:tr>
    </w:tbl>
    <w:p>
      <w:pPr>
        <w:pStyle w:val="23"/>
        <w:widowControl w:val="0"/>
        <w:spacing w:after="0" w:line="240" w:lineRule="auto"/>
        <w:outlineLvl w:val="1"/>
        <w:rPr>
          <w:rFonts w:ascii="黑体" w:hAnsi="黑体" w:eastAsia="黑体" w:cs="黑体"/>
          <w:sz w:val="32"/>
          <w:szCs w:val="32"/>
        </w:rPr>
      </w:pPr>
    </w:p>
    <w:p>
      <w:pPr>
        <w:pStyle w:val="23"/>
        <w:widowControl w:val="0"/>
        <w:spacing w:after="0" w:line="240" w:lineRule="auto"/>
        <w:jc w:val="center"/>
        <w:outlineLvl w:val="1"/>
        <w:rPr>
          <w:rFonts w:ascii="黑体" w:hAnsi="黑体" w:eastAsia="黑体" w:cs="黑体"/>
          <w:sz w:val="32"/>
          <w:szCs w:val="32"/>
        </w:rPr>
      </w:pPr>
      <w:r>
        <w:rPr>
          <w:rFonts w:hint="eastAsia" w:ascii="黑体" w:hAnsi="黑体" w:eastAsia="黑体" w:cs="黑体"/>
          <w:sz w:val="32"/>
          <w:szCs w:val="32"/>
        </w:rPr>
        <w:t>第二节 持续改善农村基础设施条件</w:t>
      </w:r>
      <w:bookmarkEnd w:id="36"/>
      <w:bookmarkEnd w:id="37"/>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稳步推进乡村建设，注重城乡一体化、设施现代化、公共服务局均等化；注重尊重科学规律、尊重群众意愿、尊重文化传承；进一步强化公共基础设施管护和各方协同推进机制。</w:t>
      </w:r>
    </w:p>
    <w:p>
      <w:pPr>
        <w:tabs>
          <w:tab w:val="left" w:pos="3308"/>
        </w:tabs>
        <w:spacing w:line="36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——加快农村交通基础设施建设。</w:t>
      </w:r>
      <w:r>
        <w:rPr>
          <w:rFonts w:hint="eastAsia" w:ascii="仿宋_GB2312" w:hAnsi="仿宋_GB2312" w:eastAsia="仿宋_GB2312" w:cs="仿宋_GB2312"/>
          <w:sz w:val="32"/>
          <w:szCs w:val="32"/>
        </w:rPr>
        <w:t>实施农村公路畅通工程，合理化农村路网结构，加强农村资源路、产业路、旅游路和村内主干道建设，畅通出行“最后一公里”。继续开展“四好农村路”示范创建，提高公路通过能力和抗灾能力，完善农村公路主要设施。实施镇（街道、场）通三级路工程，加强村内道路建设，建成“外通内联、通村畅乡、班车到村、安全便捷”的交通运输网络。有序实施较大人口规模自然村（组）通硬化路，促进农村公路建设向进村入户倾斜。优化农村客运班线，增加客运站点建设，推进城乡客运一体化发展。全面实施“县、乡、村”三级路长制，落实管养主体责任，持续保持农村公路列养率达到100%。加强农村道路桥梁安全隐患排查，强化农村道路管理养护和交通安全监管。“十四五”期间，</w:t>
      </w:r>
      <w:bookmarkStart w:id="38" w:name="_Toc18383"/>
      <w:r>
        <w:rPr>
          <w:rFonts w:hint="eastAsia" w:ascii="仿宋_GB2312" w:hAnsi="仿宋_GB2312" w:eastAsia="仿宋_GB2312" w:cs="仿宋_GB2312"/>
          <w:sz w:val="32"/>
          <w:szCs w:val="32"/>
        </w:rPr>
        <w:t>村民小组通畅率100%。</w:t>
      </w:r>
    </w:p>
    <w:p>
      <w:pPr>
        <w:tabs>
          <w:tab w:val="left" w:pos="3308"/>
        </w:tabs>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——加强农村水利基础设施建设</w:t>
      </w:r>
      <w:bookmarkEnd w:id="38"/>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加强农村饮用水水源地保护，集中力量建设一批打基础、管长远、促发展、惠民生的重点水源工程。按照“建大、并中、减小”的原则，推进农村供水工程规模化建设和升级改造。实施农村饮水安全“一改三提”行动，优化农村供水管网布局，全面提升农村供水质量，稳步提升农村集中供水率和自来水普及率，完善农村水价水费形成机制和工程长效运营机制，推进城乡供水一体化。推进大中型灌区续建配套与节水改造、小型农田水利建设，强化农田水利基础运行管护。加强中小河流域治理，增强农村防洪安全保障能力。</w:t>
      </w:r>
      <w:bookmarkStart w:id="39" w:name="_Toc12116"/>
    </w:p>
    <w:p>
      <w:pPr>
        <w:tabs>
          <w:tab w:val="left" w:pos="3308"/>
        </w:tabs>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——强化农村通讯和信息基础设施建设</w:t>
      </w:r>
      <w:bookmarkEnd w:id="39"/>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加快农村光纤宽带、移动互联网、数字电视网和下一代互联网发展，提升乡村网络设施水平。推进光纤、4G等高速宽带网络由行政村向自然村延伸覆盖，分类分阶段推进城乡关键节点的5G网络覆盖，全面满足镇（街道、场）移动通信网络高速接入需求。推动农村水利、公路、电力、物流、农业生产加工等基础设施数字化智能化升级。到2025年，全县农村互联网普及率达到70%以上。</w:t>
      </w:r>
    </w:p>
    <w:p>
      <w:pPr>
        <w:tabs>
          <w:tab w:val="left" w:pos="3308"/>
        </w:tabs>
        <w:ind w:firstLine="616" w:firstLineChars="200"/>
        <w:rPr>
          <w:rFonts w:ascii="仿宋_GB2312" w:hAnsi="仿宋_GB2312" w:eastAsia="仿宋_GB2312" w:cs="仿宋_GB2312"/>
          <w:sz w:val="32"/>
          <w:szCs w:val="32"/>
        </w:rPr>
      </w:pPr>
      <w:bookmarkStart w:id="40" w:name="_Toc32524"/>
      <w:r>
        <w:rPr>
          <w:rFonts w:hint="eastAsia" w:ascii="楷体_GB2312" w:hAnsi="楷体_GB2312" w:eastAsia="楷体_GB2312" w:cs="楷体_GB2312"/>
          <w:b/>
          <w:bCs/>
          <w:sz w:val="32"/>
          <w:szCs w:val="32"/>
        </w:rPr>
        <w:t>——加快农村清洁能源建设</w:t>
      </w:r>
      <w:bookmarkEnd w:id="40"/>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全面巩固提升农村电力保障水平，综合考虑各地区经济发展、产业结构、电能替代等因素，有针对性地储备、安排电网工程，持续推进乡村电网补强，实现从“用上电”向“用好电”提档升级。结合农村地区实际，推进燃气下乡，支持建设安全可靠的乡村储气罐站和微管网供气系统，鼓励各类具备经营资质的企业参与天然气管网建设和经营，进一步提高镇（街道、场）、农村天然气普及率和服务质量。鼓励发展农村生物质能源，减量化、无害化处理农林废弃物、生活垃圾和畜禽粪污等，将废弃物转化为可再生能源用于居民生活和生产经营。</w:t>
      </w:r>
    </w:p>
    <w:p>
      <w:pPr>
        <w:pStyle w:val="23"/>
        <w:widowControl w:val="0"/>
        <w:spacing w:after="0" w:line="240" w:lineRule="auto"/>
        <w:jc w:val="center"/>
        <w:rPr>
          <w:rFonts w:ascii="楷体" w:hAnsi="楷体" w:eastAsia="楷体" w:cs="楷体"/>
          <w:b/>
          <w:bCs/>
          <w:sz w:val="32"/>
          <w:szCs w:val="32"/>
        </w:rPr>
      </w:pPr>
    </w:p>
    <w:p>
      <w:pPr>
        <w:pStyle w:val="23"/>
        <w:widowControl w:val="0"/>
        <w:spacing w:after="0" w:line="240" w:lineRule="auto"/>
        <w:jc w:val="center"/>
        <w:outlineLvl w:val="1"/>
        <w:rPr>
          <w:rFonts w:ascii="黑体" w:hAnsi="黑体" w:eastAsia="黑体" w:cs="黑体"/>
          <w:sz w:val="32"/>
          <w:szCs w:val="32"/>
        </w:rPr>
      </w:pPr>
      <w:bookmarkStart w:id="41" w:name="_Toc10419"/>
      <w:bookmarkStart w:id="42" w:name="_Toc2454"/>
      <w:r>
        <w:rPr>
          <w:rFonts w:hint="eastAsia" w:ascii="黑体" w:hAnsi="黑体" w:eastAsia="黑体" w:cs="黑体"/>
          <w:sz w:val="32"/>
          <w:szCs w:val="32"/>
        </w:rPr>
        <w:t>第三节 加快提升农村人居环境整治</w:t>
      </w:r>
      <w:bookmarkEnd w:id="41"/>
      <w:bookmarkEnd w:id="42"/>
    </w:p>
    <w:p>
      <w:pPr>
        <w:tabs>
          <w:tab w:val="left" w:pos="3308"/>
        </w:tabs>
        <w:ind w:firstLine="616" w:firstLineChars="200"/>
        <w:rPr>
          <w:rFonts w:ascii="仿宋_GB2312" w:hAnsi="仿宋_GB2312" w:eastAsia="仿宋_GB2312" w:cs="仿宋_GB2312"/>
          <w:sz w:val="32"/>
          <w:szCs w:val="32"/>
        </w:rPr>
      </w:pPr>
      <w:bookmarkStart w:id="43" w:name="_Toc29181"/>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通过加快实施乡村厕所、垃圾、污水三大革命，促进农村人居环境持续改善，建立专业化、市场化建管运营的长效机制。</w:t>
      </w:r>
    </w:p>
    <w:p>
      <w:pPr>
        <w:tabs>
          <w:tab w:val="left" w:pos="3308"/>
        </w:tabs>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——深入实施农村厕所革命</w:t>
      </w:r>
      <w:bookmarkEnd w:id="43"/>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按照“愿改尽改、能改尽改”原则，充分考虑自然地理条件、风俗生活习惯和群众意愿推进农村户用厕所改造。合理规划农村公厕，落实管护主体责任，强化日常卫生保洁，加强粪污的无害化处理和资源化利用。因地制宜推进厕所粪污分散处理与纳入污水管网统一处理。到2025年，全县农村卫生厕所普及率达到90%以上。</w:t>
      </w:r>
    </w:p>
    <w:p>
      <w:pPr>
        <w:tabs>
          <w:tab w:val="left" w:pos="3308"/>
        </w:tabs>
        <w:ind w:firstLine="616" w:firstLineChars="200"/>
        <w:rPr>
          <w:rFonts w:ascii="仿宋_GB2312" w:hAnsi="仿宋_GB2312" w:eastAsia="仿宋_GB2312" w:cs="仿宋_GB2312"/>
          <w:spacing w:val="-11"/>
          <w:sz w:val="32"/>
          <w:szCs w:val="32"/>
        </w:rPr>
      </w:pPr>
      <w:bookmarkStart w:id="44" w:name="_Toc3431"/>
      <w:r>
        <w:rPr>
          <w:rFonts w:hint="eastAsia" w:ascii="楷体_GB2312" w:hAnsi="楷体_GB2312" w:eastAsia="楷体_GB2312" w:cs="楷体_GB2312"/>
          <w:b/>
          <w:bCs/>
          <w:sz w:val="32"/>
          <w:szCs w:val="32"/>
        </w:rPr>
        <w:t>——梯次推进农村生活污水治理</w:t>
      </w:r>
      <w:bookmarkEnd w:id="44"/>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针对各镇（街道、场）地理情况，分类总结推广低成本、低能耗、易维护、高效率的先进适用污水治理技术模式，“一村一策”精准解决农村生活污水治理问题。加强种植业中氮、磷导致的地表水富营养化污染，养殖业导致的粪便污染，生活污水排放等问题的管治。以“五沿”区域为优先，重点治理人口聚居点、乡村旅游发达地区生活污水，结合村庄规划、地形标高、排水流向，优先利用重力自流，合理</w:t>
      </w:r>
      <w:r>
        <w:rPr>
          <w:rFonts w:hint="eastAsia" w:ascii="仿宋_GB2312" w:hAnsi="仿宋_GB2312" w:eastAsia="仿宋_GB2312" w:cs="仿宋_GB2312"/>
          <w:spacing w:val="-11"/>
          <w:sz w:val="32"/>
          <w:szCs w:val="32"/>
        </w:rPr>
        <w:t>布置污水管网。</w:t>
      </w:r>
      <w:bookmarkStart w:id="45" w:name="_Toc14138"/>
    </w:p>
    <w:p>
      <w:pPr>
        <w:tabs>
          <w:tab w:val="left" w:pos="3308"/>
        </w:tabs>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——全面推进农村生活垃圾治理</w:t>
      </w:r>
      <w:bookmarkEnd w:id="45"/>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完善农村生活垃圾治理常态化运行机制和投入保障机制，健全农村生活垃圾收运处置体系，加强农村垃圾存放基础设施建设，逐步向自然村组延伸覆盖。实施垃圾源头减量，培养农村居民垃圾分类意识，积极开展农村生活垃圾资源化利用，加快推进农村生活垃圾分类示范镇、示范村建设。</w:t>
      </w:r>
      <w:bookmarkStart w:id="46" w:name="_Toc1466"/>
    </w:p>
    <w:p>
      <w:pPr>
        <w:tabs>
          <w:tab w:val="left" w:pos="3308"/>
        </w:tabs>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——着力提升村容村貌</w:t>
      </w:r>
      <w:bookmarkEnd w:id="46"/>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推进农村住房建设改造，提升农房建设质量，开展农村经营性自建房屋安全隐患排查整治，保障人民群众生命财产安全。推进村庄绿化和美化，深入开展清理“蓝棚顶”、无人居住废旧房、房前屋后杂物堆、田间地头废弃物、管线“蜘蛛网”、农村爱国卫生运动为主要内容的“五清理一活动”专项行动，充分利用闲置土地开展植树造林、湿地恢复等活动，建设绿色生态村庄。推进村庄亮化工程，加快村庄公共照明设施建设。推进农村人居环境成片整治示范，成片推进农村人居环境整治试点示范。</w:t>
      </w:r>
      <w:bookmarkStart w:id="47" w:name="_Toc13759"/>
    </w:p>
    <w:p>
      <w:pPr>
        <w:tabs>
          <w:tab w:val="left" w:pos="3308"/>
        </w:tabs>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——建立农村人居环境改善长效机制</w:t>
      </w:r>
      <w:bookmarkEnd w:id="47"/>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坚持农民主体、市场运作、政府引导，探索建立专业化、市场化建管运营机制。持续开展“三清一改”村庄清洁行动，加强农村人居环境整治宣传教育，开展“清洁户”评选，引导村民养成良好习惯。全面建立村庄保洁制度，建立健全人居环境建设和管护长效机制，在有条件的镇（街道、场）推广城乡环卫一体化第三方治理。</w:t>
      </w:r>
    </w:p>
    <w:p>
      <w:pPr>
        <w:pStyle w:val="23"/>
        <w:widowControl w:val="0"/>
        <w:spacing w:after="0" w:line="240" w:lineRule="auto"/>
        <w:jc w:val="center"/>
        <w:rPr>
          <w:rFonts w:ascii="楷体" w:hAnsi="楷体" w:eastAsia="楷体" w:cs="楷体"/>
          <w:b/>
          <w:bCs/>
          <w:sz w:val="32"/>
          <w:szCs w:val="32"/>
        </w:rPr>
      </w:pPr>
    </w:p>
    <w:p>
      <w:pPr>
        <w:pStyle w:val="23"/>
        <w:widowControl w:val="0"/>
        <w:spacing w:after="0" w:line="240" w:lineRule="auto"/>
        <w:jc w:val="center"/>
        <w:outlineLvl w:val="1"/>
        <w:rPr>
          <w:rFonts w:ascii="黑体" w:hAnsi="黑体" w:eastAsia="黑体" w:cs="黑体"/>
          <w:sz w:val="32"/>
          <w:szCs w:val="32"/>
        </w:rPr>
      </w:pPr>
      <w:bookmarkStart w:id="48" w:name="_Toc28802"/>
      <w:bookmarkStart w:id="49" w:name="_Toc32211"/>
      <w:r>
        <w:rPr>
          <w:rFonts w:hint="eastAsia" w:ascii="黑体" w:hAnsi="黑体" w:eastAsia="黑体" w:cs="黑体"/>
          <w:sz w:val="32"/>
          <w:szCs w:val="32"/>
        </w:rPr>
        <w:t>第四节 促进脱贫人口和低收入人口稳定就业</w:t>
      </w:r>
      <w:bookmarkEnd w:id="48"/>
      <w:bookmarkEnd w:id="49"/>
    </w:p>
    <w:p>
      <w:pPr>
        <w:tabs>
          <w:tab w:val="left" w:pos="3308"/>
        </w:tabs>
        <w:ind w:firstLine="616" w:firstLineChars="200"/>
        <w:rPr>
          <w:rFonts w:ascii="仿宋_GB2312" w:hAnsi="仿宋_GB2312" w:eastAsia="仿宋_GB2312" w:cs="仿宋_GB2312"/>
          <w:sz w:val="32"/>
          <w:szCs w:val="32"/>
        </w:rPr>
      </w:pPr>
    </w:p>
    <w:p>
      <w:pPr>
        <w:tabs>
          <w:tab w:val="left" w:pos="783"/>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重点把脱贫家庭、低保家庭、零就业家庭以及有残疾的、较长时间未就业的高校毕业生作为重要帮扶对象，通过发放务工补贴、开发公益岗位、职业技能培训、就业帮扶和创业补贴等多种方式来稳定就业。</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落实好脱贫人口稳岗就业相关政策措施，支持脱贫人口转移就业、自主创业、灵活就业，确保全县脱贫劳动力就业规模总体稳定。</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继续落实一次性求职补贴、一次性交通补贴、职业介绍补贴和社会保险补贴等就业激励奖补政策，并及时发放到位。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规范乡村公益岗位管理，建立健全按需设岗、以岗聘任、在岗领补、有序退岗的管理机制，确保聘用脱贫人口数量稳中有增，及时发放公益性岗位人员工资。</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实施新生代农民工职业技能提升计划，开展劳动力技能培训工作，强化培训项目针对性，组织培训的班次和人数均不少于上年度。</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做好扬榆劳务协作工作，加强劳务输出地和输入地精准对接，做好“点对点”输送、技能培训、用工信息等就业服务，不断加大脱贫人口有组织劳务输出力度。</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抓好社区工厂、帮扶车间建设，吸纳脱贫人口的比例不低于30%。</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落实离校未就业应届高校毕业生就业及参加见习帮扶，帮扶率达到50%以上。</w:t>
      </w: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制定本级创业孵化基地认定管理规范性文件，按照相关规定及时对符合补贴资金兑付条件的创业孵化基地落实相应的补贴资金。精准监测因疫回流脱贫劳动力和返乡留乡农民工情况，促进就近就地就业。推进社会保障制度城乡统筹，实施全民参保计划。</w:t>
      </w:r>
    </w:p>
    <w:p>
      <w:pPr>
        <w:pStyle w:val="23"/>
        <w:widowControl w:val="0"/>
        <w:spacing w:after="0" w:line="240" w:lineRule="auto"/>
        <w:jc w:val="center"/>
        <w:rPr>
          <w:rFonts w:ascii="楷体" w:hAnsi="楷体" w:eastAsia="楷体" w:cs="楷体"/>
          <w:b/>
          <w:bCs/>
          <w:sz w:val="32"/>
          <w:szCs w:val="32"/>
        </w:rPr>
      </w:pPr>
    </w:p>
    <w:p>
      <w:pPr>
        <w:pStyle w:val="23"/>
        <w:widowControl w:val="0"/>
        <w:spacing w:after="0" w:line="240" w:lineRule="auto"/>
        <w:jc w:val="center"/>
        <w:outlineLvl w:val="1"/>
        <w:rPr>
          <w:rFonts w:ascii="黑体" w:hAnsi="黑体" w:eastAsia="黑体" w:cs="黑体"/>
          <w:sz w:val="32"/>
          <w:szCs w:val="32"/>
        </w:rPr>
      </w:pPr>
      <w:bookmarkStart w:id="50" w:name="_Toc24045"/>
      <w:bookmarkStart w:id="51" w:name="_Toc18988"/>
      <w:r>
        <w:rPr>
          <w:rFonts w:hint="eastAsia" w:ascii="黑体" w:hAnsi="黑体" w:eastAsia="黑体" w:cs="黑体"/>
          <w:sz w:val="32"/>
          <w:szCs w:val="32"/>
        </w:rPr>
        <w:t>第五节 强化易地扶贫搬迁后续扶持工作</w:t>
      </w:r>
      <w:bookmarkEnd w:id="50"/>
      <w:bookmarkEnd w:id="51"/>
    </w:p>
    <w:p>
      <w:pPr>
        <w:tabs>
          <w:tab w:val="left" w:pos="3308"/>
        </w:tabs>
        <w:ind w:firstLine="616" w:firstLineChars="200"/>
        <w:rPr>
          <w:rFonts w:ascii="仿宋_GB2312" w:hAnsi="仿宋_GB2312" w:eastAsia="仿宋_GB2312" w:cs="仿宋_GB2312"/>
          <w:sz w:val="32"/>
          <w:szCs w:val="32"/>
        </w:rPr>
      </w:pP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易地搬迁后续扶持工作要深入学习贯彻习近平总书记关于完善后续扶持政策体系、做好易地搬迁后续帮扶工作的重要指示精神，落实中省市关于实现易地搬迁后续扶持工作同乡村振兴有效衔接的安排部署，因地制宜、分类施策，着力在搬迁群众就业、产业配套、设施完善、社区管理等方面精准发力，促进搬迁群众融入新社区、拥抱新生活，实现搬迁群众“稳得住、有就业、逐步能致富”目标。</w:t>
      </w:r>
    </w:p>
    <w:p>
      <w:pPr>
        <w:tabs>
          <w:tab w:val="left" w:pos="3308"/>
        </w:tabs>
        <w:ind w:firstLine="616" w:firstLineChars="200"/>
        <w:rPr>
          <w:rFonts w:ascii="黑体" w:hAnsi="黑体" w:eastAsia="黑体" w:cs="黑体"/>
          <w:sz w:val="32"/>
          <w:szCs w:val="32"/>
        </w:rPr>
      </w:pPr>
      <w:r>
        <w:rPr>
          <w:rFonts w:hint="eastAsia" w:ascii="楷体_GB2312" w:hAnsi="楷体_GB2312" w:eastAsia="楷体_GB2312" w:cs="楷体_GB2312"/>
          <w:b/>
          <w:bCs/>
          <w:sz w:val="32"/>
          <w:szCs w:val="32"/>
        </w:rPr>
        <w:t>——持续扩大群众就业创业，促进群众稳定增收</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拓展就地就近就业主渠道。</w:t>
      </w:r>
      <w:r>
        <w:rPr>
          <w:rFonts w:hint="eastAsia" w:ascii="仿宋_GB2312" w:hAnsi="仿宋_GB2312" w:eastAsia="仿宋_GB2312" w:cs="仿宋_GB2312"/>
          <w:sz w:val="32"/>
          <w:szCs w:val="32"/>
        </w:rPr>
        <w:t>坚持扶志扶智和扶技扶业相结合，帮助搬迁群众转变就业观念，树立依靠就业拔“穷根”和劳动致富的观念。人社部门主动对接当地企业和用人单位的岗位需求，通过政府投资项目、政府购买服务项目和设置公益性岗位，定期向社区就业窗口投放用工需求表；金融部门组织当地金融机构，对符合条件且吸纳搬迁劳动力人口较多的企业，给予金融贷款等政策支持。支持村委（社区）开发劳动强度低、难度系数低的公益岗解决留守老人、残疾人等特殊群体的就业增收问题。政府开发公益性岗位、企业用工等适度向大中专学历的易地搬迁子女倾斜。力争“十四五”期间，确保有劳动能力搬迁户家庭至少1人就业。</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支持搬迁群众自主创业。</w:t>
      </w:r>
      <w:r>
        <w:rPr>
          <w:rFonts w:hint="eastAsia" w:ascii="仿宋_GB2312" w:hAnsi="仿宋_GB2312" w:eastAsia="仿宋_GB2312" w:cs="仿宋_GB2312"/>
          <w:sz w:val="32"/>
          <w:szCs w:val="32"/>
        </w:rPr>
        <w:t>鼓励易地搬迁劳动力采取入股、务工等多种形式，发展物业、维修、家政、餐饮等生活服务业。具备创业能力和意愿的搬迁群众在安置点创业园区、创业孵化基地、迁入地门面商铺、农贸市场等创业载体优先入驻，在税费减免、场地租赁、创业担保贷款及贴息、创业孵化项目补贴、一次性创业补贴和创业培训等方面给予政策支持。人社部门对搬迁群众创业户加大创业公共服务力度，提供跟踪指导，强化信息发布、法律援助等服务，在市场营销、渠道挖掘等方面开展专门培训。</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提高外出就业精细化水平。</w:t>
      </w:r>
      <w:r>
        <w:rPr>
          <w:rFonts w:hint="eastAsia" w:ascii="仿宋_GB2312" w:hAnsi="仿宋_GB2312" w:eastAsia="仿宋_GB2312" w:cs="仿宋_GB2312"/>
          <w:sz w:val="32"/>
          <w:szCs w:val="32"/>
        </w:rPr>
        <w:t>掌握搬迁劳动力就业动态信息，摸清年龄结构、文化层次、已掌握技能、就业意愿、就业现状等，对劳动力市场需求进行精细分类，强化组织协调和对接，社区（村委）要建立相关就业信息台账，800人以上安置区社区要配建就业信息平台，实行“一月一更新”。打造本地劳务品牌，根据规模化程度、带动效益等情况，给予一定奖补，逐步提高搬迁群众外出就业的专业化、品牌化、市场化程度。</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创新以工代赈支持方式。</w:t>
      </w:r>
      <w:r>
        <w:rPr>
          <w:rFonts w:hint="eastAsia" w:ascii="仿宋_GB2312" w:hAnsi="仿宋_GB2312" w:eastAsia="仿宋_GB2312" w:cs="仿宋_GB2312"/>
          <w:sz w:val="32"/>
          <w:szCs w:val="32"/>
        </w:rPr>
        <w:t>申报中省市以工代赈专项资金、示范项目时，要优先解决易地搬迁安置点基础设施、公共服务、产业发展、社区治理等方面的短板弱项。积极发挥以工代赈政策作用，因地制宜谋划并实施一批投资规模小、技术门槛低、前期工作简单、务工技能要求不高的以工代赈建设项目，在改善安置点生产生活条件的同时，拓宽搬迁群众就业增收渠道。探索以工代赈方式建设安置点后续配套项目，把以工代赈项目实施与劳动者技能培训、折股量化等相结合，提高搬迁群众参与产业发展、依靠劳动增收致富的能力。</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加强职业技能培训。</w:t>
      </w:r>
      <w:r>
        <w:rPr>
          <w:rFonts w:hint="eastAsia" w:ascii="仿宋_GB2312" w:hAnsi="仿宋_GB2312" w:eastAsia="仿宋_GB2312" w:cs="仿宋_GB2312"/>
          <w:sz w:val="32"/>
          <w:szCs w:val="32"/>
        </w:rPr>
        <w:t>鼓励青壮年劳动力就读技工院校或参加中长期培训，引导有意愿的留守妇女、留守老人、残疾人等特殊群体，结合个人实际接受必要的职业技能培训。鼓励企业开展“订单式”培训、以工代训，发挥致富能手“传帮带”作用，搭建网络培训平台，拓宽搬迁群众获得技能渠道。人社部门结合安置区后续配套产业就业用工、劳务输出特色品牌需求，整合各类培训政策，组织技工院校、劳务中介等开办针对家政、维修、餐饮等职业培训班，并发放培训合格证书。组织大中型安置区开展月嫂等特色培训，逐步形成组织化、品牌化、专业化的劳务组织。力争“十四五”易地搬迁户技能培训全覆盖。</w:t>
      </w:r>
    </w:p>
    <w:p>
      <w:pPr>
        <w:tabs>
          <w:tab w:val="left" w:pos="3308"/>
        </w:tabs>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——持续推进后续产业发展，建立利益联结机制</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持续培育壮大县域主导产业。</w:t>
      </w:r>
      <w:r>
        <w:rPr>
          <w:rFonts w:hint="eastAsia" w:ascii="仿宋_GB2312" w:hAnsi="仿宋_GB2312" w:eastAsia="仿宋_GB2312" w:cs="仿宋_GB2312"/>
          <w:sz w:val="32"/>
          <w:szCs w:val="32"/>
        </w:rPr>
        <w:t>紧盯“1365”发展战略，把后续产业可持续发展纳入县域主导产业规划，主导产业在城镇安置区配建“延链补链”劳动密集型产业项目。统筹安排后续扶持资金，集中优势扶持安置区配套县域优势主导产业。鼓励搬迁户以土地、劳务、资金、资源入股合作社形式，建立县域主导产业发展项目与搬迁农户的利益联结机制，将搬迁群众镶入产业链，实现生产经营要素多元化、管理模式创新化。深化“三变”改革，开展土地经营权入股从事农业产业化经营试点，让搬迁群众更多分享后续产业发展红利。</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推动产业园区带动安置群众发展。</w:t>
      </w:r>
      <w:r>
        <w:rPr>
          <w:rFonts w:hint="eastAsia" w:ascii="仿宋_GB2312" w:hAnsi="仿宋_GB2312" w:eastAsia="仿宋_GB2312" w:cs="仿宋_GB2312"/>
          <w:sz w:val="32"/>
          <w:szCs w:val="32"/>
        </w:rPr>
        <w:t>靖边县劳动密集产业园区需要建立健全园区和安置点利益联结机制。政府投资参股建设的产业园区、社区工厂、就业基地等利用收益适当补助搬迁户物业费、社区公益性岗位工资等费用，鼓励和促进搬迁户在家门口就近就地就业。产业园区、第一书记和工作队员要结合县域主导产业，加大劳动密集型项目招商引资力度，实施产业链精准招商。到2023年，5个安置点实现“一县一园”全覆盖，成为搬迁群众发展致富的主引擎。探索安置区所属街道办或社区成立生产、流通、服务等类型的合作经济组织，吸纳搬迁群众入股分红、务工增收、经营关联搬迁群众的产业等。</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拓宽产品销售渠道。</w:t>
      </w:r>
      <w:r>
        <w:rPr>
          <w:rFonts w:hint="eastAsia" w:ascii="仿宋_GB2312" w:hAnsi="仿宋_GB2312" w:eastAsia="仿宋_GB2312" w:cs="仿宋_GB2312"/>
          <w:sz w:val="32"/>
          <w:szCs w:val="32"/>
        </w:rPr>
        <w:t>充分发挥政府引导作用，尊重市场规律，合理布局，持续开展消费帮扶“三专”建设，激发和调动社会力量参与消费帮扶的积极性。组织党政机关、国有企事业单位大、中型商贸旅游企业等，与安置点就业基地、“一县一园”、社区工厂等建立长期稳定的产销合作或协作帮扶关系，持续扩大安置点配套产品和服务消费规模。组织动员安置区后续产业经营主体参与杨凌农高会等全国性展销会。开展电子商务培训活动，在200人以上安置点，每年各开展电子商务培训活动2次以上。支持有意愿的企业、合作社和搬迁群众开办网上商店，帮助与销地商超企业、批发市场等建立直采直供关系，到2023年，全县至少建成1个“易地搬迁安置区电子商务示范点”。</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优化资产收益使用管理。</w:t>
      </w:r>
      <w:r>
        <w:rPr>
          <w:rFonts w:hint="eastAsia" w:ascii="仿宋_GB2312" w:hAnsi="仿宋_GB2312" w:eastAsia="仿宋_GB2312" w:cs="仿宋_GB2312"/>
          <w:sz w:val="32"/>
          <w:szCs w:val="32"/>
        </w:rPr>
        <w:t>按照相关规定将各类政策性资金用于扶贫车间和农牧业、商贸物流、旅游业等配套设施建设所形成的扶贫项目资产，符合规定且具备条件的可探索资产折股量化分红等长期稳定的利益联结机制。安置点资产收益原则上用于扩大再生产、支持搬迁群众发展产业、创业就业增收、解决搬迁群众面临的突出困难、补助无劳动能力的物业费用、小区人居环境护理人员费用等。</w:t>
      </w:r>
    </w:p>
    <w:p>
      <w:pPr>
        <w:tabs>
          <w:tab w:val="left" w:pos="3308"/>
        </w:tabs>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——持续完善配套设施建设，提高永续发展动力</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补齐安置点配套设施短板。</w:t>
      </w:r>
      <w:r>
        <w:rPr>
          <w:rFonts w:hint="eastAsia" w:ascii="仿宋_GB2312" w:hAnsi="仿宋_GB2312" w:eastAsia="仿宋_GB2312" w:cs="仿宋_GB2312"/>
          <w:sz w:val="32"/>
          <w:szCs w:val="32"/>
        </w:rPr>
        <w:t>按照“规模适宜、功能合理、经济安全、环境整洁、宜居宜业”的原则，将安置点基础设施和公共服务设施纳入县城、集镇和乡村建设行动统一规划、统一建设，保障搬迁群众“教育有学位、医疗有床位、生活更便利”。对安置区及周边的基础设施和公共服务设施的水电路气讯暖、公共交通、污水垃圾处理及教育、医疗等方面进行摸排，存在短板弱项的，策划补短板项目并纳入乡村振兴项目库，及时组织实施；对于安置点附近已有的配套设施，要确保搬迁群众共享资源，与迁入地居民享受同等的服务水平。安置点已建成的配套设施，按照行业要求，全部落实确权、管护、运营机构。教育部门在教育规划布局中，要优先考虑易地搬迁子女的就学问题，确保学位充足。将小微型安置点纳入迁入地基本公共服务保障范围。镇（街道办）牵头，相关行业部门配合，做好搬迁群众户口迁移、子女入学手续办理、社保接续等工作。</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改善安置点人居环境。</w:t>
      </w:r>
      <w:r>
        <w:rPr>
          <w:rFonts w:hint="eastAsia" w:ascii="仿宋_GB2312" w:hAnsi="仿宋_GB2312" w:eastAsia="仿宋_GB2312" w:cs="仿宋_GB2312"/>
          <w:sz w:val="32"/>
          <w:szCs w:val="32"/>
        </w:rPr>
        <w:t>加强安置点公共卫生环境设施建设和管护，同等条件下，优先实施易地搬迁安置点的农村厕所革命、生活垃圾和污水治理、村容村貌提升等工程，推动改善安置点环境卫生面貌。城镇安置点：补齐污水处理、垃圾填埋等设施短板。配置1-2座水冲公厕，污水排放就近接入市政污水管网。配备密封性好、压缩式收运车辆，改造垃圾房和转运站。日清运量超过300吨以上地区建设生活垃圾焚烧终端处理设施，300吨以下的探索开展小型生活垃圾焚烧点或规划建立符合标准的生活垃圾填埋场，逐步减少原生垃圾填埋。农村安置点：根据搬迁及常住人口规模，配套建设生活污水处理设施，推进农村厕所革命，探索开展小型生活垃圾焚烧点或规划建立符合标准的生活垃圾填埋场，推行“户分类、村收集、镇（村）处理”模式。大力开展爱国卫生运动，引导搬迁群众转变不良习惯，培养文明健康、绿色环保的生活方式，确保搬迁群众住上新居所、过上新生活。</w:t>
      </w:r>
    </w:p>
    <w:p>
      <w:pPr>
        <w:tabs>
          <w:tab w:val="left" w:pos="3308"/>
        </w:tabs>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——持续强化社区管理治理，提升整体服务效能</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完善社区服务设施。</w:t>
      </w:r>
      <w:r>
        <w:rPr>
          <w:rFonts w:hint="eastAsia" w:ascii="仿宋_GB2312" w:hAnsi="仿宋_GB2312" w:eastAsia="仿宋_GB2312" w:cs="仿宋_GB2312"/>
          <w:sz w:val="32"/>
          <w:szCs w:val="32"/>
        </w:rPr>
        <w:t>推动邮政、金融、电信、燃气、电力等公共事业和物流配送、资源回收商业网点实现百人以上安置点全覆盖。合理布局综合超市、便利菜店、社区药店、电商网店、消防、充电站、公交站点等设施，打造“一刻钟便民生活服务圈”。完善提升社区服务中心、综合性文化场所、大众健身全民健康等服务功能。根据安置区规模及需求，允许集镇、农村安置点配套建设红白喜事场所。在200人以上安置点设立政府服务场所，提供户籍管理、就业、就学、就医和社保、法律咨询、纠纷调解等“一站式”服务，并配齐相关公共服务岗位。在200人以下的小型安置点安排专人负责搬迁群众户籍、就业、就学、就医、社保、法律咨询等各类协调服务，并配齐相关公共服务岗位。畅通利益诉求表达渠道，完善突发性事件应急处置机制。</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强化党建引领。</w:t>
      </w:r>
      <w:r>
        <w:rPr>
          <w:rFonts w:hint="eastAsia" w:ascii="仿宋_GB2312" w:hAnsi="仿宋_GB2312" w:eastAsia="仿宋_GB2312" w:cs="仿宋_GB2312"/>
          <w:sz w:val="32"/>
          <w:szCs w:val="32"/>
        </w:rPr>
        <w:t>构建完善以党组织为核心、居委会为主体、群团自治组织为辅助的社区组织管理服务架构，加快完成安置区基本管理单元设置，探索开展“智慧社区”建设。创新基层治理，把党支部建在产业园区，带动产业发展；把党小组建在产业链上，带动群众增收致富。按照“关系在支部，活动在小组”原则，通过互联网等形式，保证流动党员正常开展组织生活。采取“村社联建”“村企联建”“村协联建”“跨村联建”等方式，</w:t>
      </w:r>
      <w:r>
        <w:rPr>
          <w:rFonts w:hint="eastAsia" w:ascii="仿宋_GB2312" w:hAnsi="仿宋_GB2312" w:eastAsia="仿宋_GB2312" w:cs="仿宋_GB2312"/>
          <w:spacing w:val="-6"/>
          <w:sz w:val="32"/>
          <w:szCs w:val="32"/>
        </w:rPr>
        <w:t>依托农村合作社、龙头企业、协会以及创业带富项目，把流入党员、本地党员镶嵌在产业链上，发挥示范引领作用，带动搬迁群众增收致富。</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提升安置区管理服务水平。</w:t>
      </w:r>
      <w:r>
        <w:rPr>
          <w:rFonts w:hint="eastAsia" w:ascii="仿宋_GB2312" w:hAnsi="仿宋_GB2312" w:eastAsia="仿宋_GB2312" w:cs="仿宋_GB2312"/>
          <w:sz w:val="32"/>
          <w:szCs w:val="32"/>
        </w:rPr>
        <w:t>按照我省《易地扶贫搬迁社区管理服务规范》，全面推进社区管理服务规范化。加强安置点治安综合防控，合理设置派出所、警务室、执勤点，推进城镇安置区安防监控全覆盖。全面推进城镇安置区网格化管理，确保网格员全覆盖。住建部门根据搬迁群众意愿推进物业管理机构覆盖城镇安置区，规范管理服务，明确收费标准，制定无劳动能力、防返贫监测搬迁户的物业费用补助办法；牵头做好安置点、安置住房日常风险监测和消防安全、水电气等隐患排查以及房屋和配套设施设备日常维修维护。</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充分保障搬迁群众合法权益</w:t>
      </w:r>
      <w:r>
        <w:rPr>
          <w:rFonts w:hint="eastAsia" w:ascii="仿宋_GB2312" w:hAnsi="仿宋_GB2312" w:eastAsia="仿宋_GB2312" w:cs="仿宋_GB2312"/>
          <w:sz w:val="32"/>
          <w:szCs w:val="32"/>
        </w:rPr>
        <w:t>。搬迁群众享受的迁出地承包地山林地的退耕还林、森林生态效益补偿、耕地地力保护等各种农牧业补贴、生态补偿等政策按照现行标准执行。做好城乡居民养老保险关系转移衔接，最低生活保障、特困供养人员等社会保障权益保持不变。严格执行安置住房20年内不得交易的规定。探索建立公租房和保障性租赁住房用于保障符合条件的易地搬迁人口新增住房需求的政策。</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增强搬迁群众归属感认同感。</w:t>
      </w:r>
      <w:r>
        <w:rPr>
          <w:rFonts w:hint="eastAsia" w:ascii="仿宋_GB2312" w:hAnsi="仿宋_GB2312" w:eastAsia="仿宋_GB2312" w:cs="仿宋_GB2312"/>
          <w:sz w:val="32"/>
          <w:szCs w:val="32"/>
        </w:rPr>
        <w:t xml:space="preserve">在安置社区广泛开展精神文明创建、科教文卫“三下乡”等活动，依托公共文化资源，结合中华传统节日、重要节假日等节庆活动，重视人文关怀，丰富精神文化生活，促进搬迁群众与所在地居民人际交往、文化交流、情感交融等方面融合交往，提高搬迁群众对新社区、新居住点有归属感、认同感和幸福感。宣传部门每年开展不同层次的科教文卫“三下乡”活动，实现百人以上安置点全覆盖。工会、共青团、妇联等群团组织每年至少开展1次关爱妇女儿童、关心老人、志愿者进社区（安置点）等活动。 </w:t>
      </w:r>
    </w:p>
    <w:p>
      <w:pPr>
        <w:pStyle w:val="23"/>
        <w:widowControl w:val="0"/>
        <w:spacing w:after="0" w:line="240" w:lineRule="auto"/>
        <w:jc w:val="center"/>
        <w:rPr>
          <w:rFonts w:ascii="楷体" w:hAnsi="楷体" w:eastAsia="楷体" w:cs="楷体"/>
          <w:b/>
          <w:bCs/>
          <w:sz w:val="32"/>
          <w:szCs w:val="32"/>
        </w:rPr>
      </w:pPr>
    </w:p>
    <w:p>
      <w:pPr>
        <w:pStyle w:val="23"/>
        <w:widowControl w:val="0"/>
        <w:spacing w:after="0" w:line="240" w:lineRule="auto"/>
        <w:jc w:val="center"/>
        <w:outlineLvl w:val="1"/>
        <w:rPr>
          <w:rFonts w:ascii="楷体" w:hAnsi="楷体" w:eastAsia="楷体" w:cs="楷体"/>
          <w:b/>
          <w:bCs/>
          <w:sz w:val="32"/>
          <w:szCs w:val="32"/>
        </w:rPr>
      </w:pPr>
      <w:bookmarkStart w:id="52" w:name="_Toc676"/>
      <w:bookmarkStart w:id="53" w:name="_Toc28756"/>
      <w:r>
        <w:rPr>
          <w:rFonts w:hint="eastAsia" w:ascii="黑体" w:hAnsi="黑体" w:eastAsia="黑体" w:cs="黑体"/>
          <w:sz w:val="32"/>
          <w:szCs w:val="32"/>
        </w:rPr>
        <w:t>第六节 着力提升教育服务水平</w:t>
      </w:r>
      <w:bookmarkEnd w:id="52"/>
      <w:bookmarkEnd w:id="53"/>
    </w:p>
    <w:p>
      <w:pPr>
        <w:ind w:firstLine="616" w:firstLineChars="200"/>
        <w:rPr>
          <w:rFonts w:ascii="仿宋_GB2312" w:hAnsi="仿宋_GB2312" w:eastAsia="仿宋_GB2312" w:cs="仿宋_GB2312"/>
          <w:sz w:val="32"/>
          <w:szCs w:val="32"/>
        </w:rPr>
      </w:pPr>
    </w:p>
    <w:p>
      <w:pPr>
        <w:spacing w:line="360" w:lineRule="auto"/>
        <w:ind w:firstLine="616" w:firstLineChars="200"/>
        <w:rPr>
          <w:rFonts w:ascii="仿宋_GB2312" w:hAnsi="仿宋" w:eastAsia="仿宋_GB2312" w:cs="仿宋"/>
          <w:sz w:val="32"/>
          <w:szCs w:val="32"/>
        </w:rPr>
      </w:pPr>
      <w:r>
        <w:rPr>
          <w:rFonts w:hint="eastAsia" w:ascii="仿宋_GB2312" w:hAnsi="仿宋_GB2312" w:eastAsia="仿宋_GB2312" w:cs="仿宋_GB2312"/>
          <w:sz w:val="32"/>
          <w:szCs w:val="32"/>
        </w:rPr>
        <w:t>继续落实义务教育薄弱环节改善与能力提升工程，提升教育信息化基础设施建设和应用水平，改善学校办学条件，提高乡村教育质量，促进教育均衡。结合乡村振兴总体规划，加强农村寄宿制学校建设，保留并办好必要的村完小和教学点。统筹利用各类资源，通过联办、独立办园等方式办好乡村幼儿园，完善学前教育公共服务网络。巩固拓展教师队伍建设成果，加大教师招聘、培养、培训力度，推进“县管校聘”改革和交流轮岗，</w:t>
      </w:r>
      <w:r>
        <w:rPr>
          <w:rFonts w:hint="eastAsia" w:ascii="仿宋_GB2312" w:hAnsi="仿宋" w:eastAsia="仿宋_GB2312" w:cs="仿宋"/>
          <w:sz w:val="32"/>
          <w:szCs w:val="32"/>
        </w:rPr>
        <w:t>全面提高教师队伍建设水平。努力改善职教中心办学条件，加强“双师型”教师队伍建设，优化专业设置，健全完善政府、行业企业协同培训机制，积极开展乡村旅游、家政服务等面向“三农”和乡村振兴领域的职业技能培训，为农村培养各种实用人才。</w:t>
      </w:r>
      <w:r>
        <w:rPr>
          <w:rFonts w:hint="eastAsia" w:ascii="仿宋_GB2312" w:hAnsi="仿宋" w:eastAsia="仿宋_GB2312" w:cs="仿宋"/>
          <w:b/>
          <w:bCs/>
          <w:sz w:val="32"/>
          <w:szCs w:val="32"/>
        </w:rPr>
        <w:t>一是</w:t>
      </w:r>
      <w:r>
        <w:rPr>
          <w:rFonts w:hint="eastAsia" w:ascii="仿宋_GB2312" w:hAnsi="仿宋" w:eastAsia="仿宋_GB2312" w:cs="仿宋"/>
          <w:sz w:val="32"/>
          <w:szCs w:val="32"/>
        </w:rPr>
        <w:t>以乡村教育的新发展阶段、新发展目标、新发展理念为导向，结合乡村振兴战略的基本要求，在乡村教育的优质、特色发展上，植入更多的新期盼、新内容、新要求、新目标，促进巩固拓展脱贫攻坚成果同乡村振兴有效衔接。</w:t>
      </w:r>
      <w:r>
        <w:rPr>
          <w:rFonts w:hint="eastAsia" w:ascii="仿宋_GB2312" w:hAnsi="仿宋" w:eastAsia="仿宋_GB2312" w:cs="仿宋"/>
          <w:b/>
          <w:bCs/>
          <w:sz w:val="32"/>
          <w:szCs w:val="32"/>
        </w:rPr>
        <w:t>二是</w:t>
      </w:r>
      <w:r>
        <w:rPr>
          <w:rFonts w:hint="eastAsia" w:ascii="仿宋_GB2312" w:hAnsi="仿宋" w:eastAsia="仿宋_GB2312" w:cs="仿宋"/>
          <w:sz w:val="32"/>
          <w:szCs w:val="32"/>
        </w:rPr>
        <w:t>落实控辍保学“七长”责任制和各类资助政策，逐步扩大优质示范普通高中学校招生名额到区域初中学校的比例，有效巩固</w:t>
      </w:r>
      <w:r>
        <w:rPr>
          <w:rFonts w:hint="eastAsia" w:ascii="仿宋_GB2312" w:hAnsi="仿宋_GB2312" w:eastAsia="仿宋_GB2312" w:cs="仿宋_GB2312"/>
          <w:sz w:val="32"/>
          <w:szCs w:val="32"/>
        </w:rPr>
        <w:t>镇（街道、场）</w:t>
      </w:r>
      <w:r>
        <w:rPr>
          <w:rFonts w:hint="eastAsia" w:ascii="仿宋_GB2312" w:hAnsi="仿宋" w:eastAsia="仿宋_GB2312" w:cs="仿宋"/>
          <w:sz w:val="32"/>
          <w:szCs w:val="32"/>
        </w:rPr>
        <w:t>生源，吸引学生向农村学校回流。加大“优秀乡村学校”“乡村温馨校园”创建力度，成立“名师乡村工作室”，积极打造乡村教育示范体系，提升教育服务乡村振兴的能力水平。</w:t>
      </w:r>
      <w:r>
        <w:rPr>
          <w:rFonts w:hint="eastAsia" w:ascii="仿宋_GB2312" w:hAnsi="仿宋" w:eastAsia="仿宋_GB2312" w:cs="仿宋"/>
          <w:b/>
          <w:bCs/>
          <w:sz w:val="32"/>
          <w:szCs w:val="32"/>
        </w:rPr>
        <w:t>三是</w:t>
      </w:r>
      <w:r>
        <w:rPr>
          <w:rFonts w:hint="eastAsia" w:ascii="仿宋_GB2312" w:hAnsi="仿宋" w:eastAsia="仿宋_GB2312" w:cs="仿宋"/>
          <w:sz w:val="32"/>
          <w:szCs w:val="32"/>
        </w:rPr>
        <w:t>依托靖边县优美的自然风光、独特的边塞文化、厚重的红色资源，在一些交通便利的村镇（东坑镇、龙洲镇、王渠则镇、红墩界镇、小河镇、镇靖镇、四柏树村）规划建设有特色的中小学校外劳动技能和社会实践教育基地，不断拓展“第三课堂”，满足中小学生社会化发展需求，促进学生全面发展。</w:t>
      </w:r>
    </w:p>
    <w:p>
      <w:pPr>
        <w:pStyle w:val="23"/>
        <w:widowControl w:val="0"/>
        <w:spacing w:after="0" w:line="240" w:lineRule="auto"/>
        <w:jc w:val="center"/>
        <w:outlineLvl w:val="1"/>
        <w:rPr>
          <w:rFonts w:ascii="黑体" w:hAnsi="黑体" w:eastAsia="黑体" w:cs="黑体"/>
          <w:sz w:val="32"/>
          <w:szCs w:val="32"/>
        </w:rPr>
      </w:pPr>
      <w:bookmarkStart w:id="54" w:name="_Toc28059"/>
      <w:bookmarkStart w:id="55" w:name="_Toc30367"/>
    </w:p>
    <w:p>
      <w:pPr>
        <w:pStyle w:val="23"/>
        <w:widowControl w:val="0"/>
        <w:spacing w:after="0" w:line="240" w:lineRule="auto"/>
        <w:jc w:val="center"/>
        <w:outlineLvl w:val="1"/>
        <w:rPr>
          <w:rFonts w:ascii="黑体" w:hAnsi="黑体" w:eastAsia="黑体" w:cs="黑体"/>
          <w:sz w:val="32"/>
          <w:szCs w:val="32"/>
        </w:rPr>
      </w:pPr>
      <w:r>
        <w:rPr>
          <w:rFonts w:hint="eastAsia" w:ascii="黑体" w:hAnsi="黑体" w:eastAsia="黑体" w:cs="黑体"/>
          <w:sz w:val="32"/>
          <w:szCs w:val="32"/>
        </w:rPr>
        <w:t xml:space="preserve">第七节 </w:t>
      </w:r>
      <w:bookmarkEnd w:id="54"/>
      <w:bookmarkEnd w:id="55"/>
      <w:r>
        <w:rPr>
          <w:rFonts w:hint="eastAsia" w:ascii="黑体" w:hAnsi="黑体" w:eastAsia="黑体" w:cs="黑体"/>
          <w:sz w:val="32"/>
          <w:szCs w:val="32"/>
        </w:rPr>
        <w:t>提升农村医疗卫生服务水平</w:t>
      </w:r>
    </w:p>
    <w:p>
      <w:pPr>
        <w:spacing w:line="360" w:lineRule="auto"/>
        <w:ind w:firstLine="616" w:firstLineChars="200"/>
        <w:rPr>
          <w:rFonts w:ascii="仿宋_GB2312" w:hAnsi="仿宋" w:eastAsia="仿宋_GB2312" w:cs="仿宋"/>
          <w:sz w:val="32"/>
          <w:szCs w:val="32"/>
        </w:rPr>
      </w:pPr>
    </w:p>
    <w:p>
      <w:pPr>
        <w:spacing w:line="360" w:lineRule="auto"/>
        <w:ind w:firstLine="616" w:firstLineChars="200"/>
        <w:rPr>
          <w:rFonts w:ascii="仿宋_GB2312" w:hAnsi="仿宋" w:eastAsia="仿宋_GB2312" w:cs="仿宋"/>
          <w:sz w:val="32"/>
          <w:szCs w:val="32"/>
        </w:rPr>
      </w:pPr>
      <w:r>
        <w:rPr>
          <w:rFonts w:hint="eastAsia" w:ascii="仿宋_GB2312" w:hAnsi="仿宋" w:eastAsia="仿宋_GB2312" w:cs="仿宋"/>
          <w:sz w:val="32"/>
          <w:szCs w:val="32"/>
        </w:rPr>
        <w:t>推进“医通、人通、财通”的区域医共体建设，全面建立新型基层医疗卫生服务体系，基本形成“基层首诊、双向转诊、急慢分治、上下联动”的分级诊疗格局。发展线上健康医疗服务，开展互联网诊疗、健康咨询、社区及居家健康管理等新业态。鼓励支持社会力量在医疗资源薄弱区域和短缺专科领域举办医疗机构。筑牢基层中医药服务阵地，推进社区卫生服务中心和</w:t>
      </w:r>
      <w:r>
        <w:rPr>
          <w:rFonts w:hint="eastAsia" w:ascii="仿宋_GB2312" w:hAnsi="仿宋_GB2312" w:eastAsia="仿宋_GB2312" w:cs="仿宋_GB2312"/>
          <w:sz w:val="32"/>
          <w:szCs w:val="32"/>
        </w:rPr>
        <w:t>镇（街道、场）</w:t>
      </w:r>
      <w:r>
        <w:rPr>
          <w:rFonts w:hint="eastAsia" w:ascii="仿宋_GB2312" w:hAnsi="仿宋" w:eastAsia="仿宋_GB2312" w:cs="仿宋"/>
          <w:sz w:val="32"/>
          <w:szCs w:val="32"/>
        </w:rPr>
        <w:t>卫生院设置中医馆、配备中医医师全覆盖。提升基层卫生人才队伍素质，鼓励和引导人才扎根基层，稳定乡村医生队伍，引导和规范城乡间、区域间卫生人才合理流动。加大对基层医疗卫生服务的投入倾斜力度，建立稳定的公共卫生事业投入机制。切实增强基层医疗卫生机构公共卫生事件防控和应急救治能力，围绕全生命周期为城乡居民就近提供预防、治疗、康复、婴幼儿照护指导等连续的健康管理服务，提升群众看病就医获得感。</w:t>
      </w:r>
    </w:p>
    <w:p>
      <w:pPr>
        <w:tabs>
          <w:tab w:val="left" w:pos="3308"/>
        </w:tabs>
        <w:ind w:firstLine="616" w:firstLineChars="200"/>
        <w:rPr>
          <w:rFonts w:ascii="楷体_GB2312" w:hAnsi="楷体_GB2312" w:eastAsia="楷体_GB2312" w:cs="楷体_GB2312"/>
          <w:b/>
          <w:bCs/>
          <w:sz w:val="32"/>
          <w:szCs w:val="32"/>
        </w:rPr>
      </w:pPr>
      <w:r>
        <w:rPr>
          <w:rFonts w:hint="eastAsia" w:ascii="黑体" w:hAnsi="黑体" w:eastAsia="黑体" w:cs="黑体"/>
          <w:sz w:val="32"/>
          <w:szCs w:val="32"/>
        </w:rPr>
        <w:t>——</w:t>
      </w:r>
      <w:r>
        <w:rPr>
          <w:rFonts w:hint="eastAsia" w:ascii="楷体_GB2312" w:hAnsi="楷体_GB2312" w:eastAsia="楷体_GB2312" w:cs="楷体_GB2312"/>
          <w:b/>
          <w:bCs/>
          <w:sz w:val="32"/>
          <w:szCs w:val="32"/>
        </w:rPr>
        <w:t>加强和优化政策供给，提升区域卫生健康服务水平</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加强医疗卫生服务体系建设。</w:t>
      </w:r>
      <w:r>
        <w:rPr>
          <w:rFonts w:hint="eastAsia" w:ascii="仿宋_GB2312" w:hAnsi="仿宋_GB2312" w:eastAsia="仿宋_GB2312" w:cs="仿宋_GB2312"/>
          <w:sz w:val="32"/>
          <w:szCs w:val="32"/>
        </w:rPr>
        <w:t>按照《陕西省解决贫困人口基本医疗有保障突出问题实施方案》（陕卫促进发〔2019〕78号）中明确的基本医疗有保障工作标准，继续加强动态监测与督导，确保靖边县乡村医疗卫生机构和人员“空白点”动态清零及能力建设全部达标；加强易地扶贫搬迁集中安置点医疗机构标准化建设和医疗人才队伍综合培养工作，确保搬迁脱贫人口享有基本医疗、基本公卫和慢病签约服务。加快改善医疗卫生机构基础设施条件，实施县级医院服务能力提升工程，重点建好胸痛、卒中、创伤、危重孕产妇和新生儿救治“五大中心”，健全急诊急救医疗网络。加强重症、呼吸、麻醉、传染及院感防控等疫情防治重点学科建设。支持靖边县人民医院创建三级综合医院，支持靖边县中医医院创建区域中医诊疗中心、“治未病”中心，支持镇（街道、场）卫生院改扩建和村卫生室标准化建设。加快推进镇（街道、场）卫生院“优质服务基层行”标准创建工作，支持有条件的卫生院建设“优质服务基层行”推荐标准。支持村集体新建公有产权卫生室。加强基层中医药服务能力建设，拓展中医药服务的可及性，镇（街道、场）卫生院全部配备中医执业（助理）医师。加强村卫生室乡村医生中医药知识与技能培训，宣传普及中医药知识，推广运用中医药适宜技术。</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深化医药卫生体制改革。</w:t>
      </w:r>
      <w:r>
        <w:rPr>
          <w:rFonts w:hint="eastAsia" w:ascii="仿宋_GB2312" w:hAnsi="仿宋_GB2312" w:eastAsia="仿宋_GB2312" w:cs="仿宋_GB2312"/>
          <w:sz w:val="32"/>
          <w:szCs w:val="32"/>
        </w:rPr>
        <w:t>按照“县强、乡活、村稳、上下联、信息通”的要求，推进紧密型县域医共体建设，统筹整合优化资源配置，完善县域医疗卫生服务体系，提升县域医疗卫生服务能力。完善县乡一体化管理机制，依托现有资源建立县域影像、心电、病理诊断和医学检验等中心，实现基层检查、上级诊断和区域内互认。落实“两个允许”要求，进一步激发运行活力，调动基层医疗卫生人员工作积极性。</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补齐公共卫生服务体系短板。</w:t>
      </w:r>
      <w:r>
        <w:rPr>
          <w:rFonts w:hint="eastAsia" w:ascii="仿宋_GB2312" w:hAnsi="仿宋_GB2312" w:eastAsia="仿宋_GB2312" w:cs="仿宋_GB2312"/>
          <w:sz w:val="32"/>
          <w:szCs w:val="32"/>
        </w:rPr>
        <w:t>进一步加强对疾病预防控制体系、县级医院救治能力等方面的建设支持力度。加强疾病预防控制机构建设，改善疾控中心基础设施条件，加强疾控中心人才队伍建设，强化实验室设备配置和信息化建设，提升监测预警能力、现场流行病学调查能力和实验室检验检测能力。改善基层医疗卫生机构应急救治和应对条件，加强基层医疗卫生机构疾病预防控制能力建设。加强县级妇幼保健院建设，持续加强儿童保健人员和新生儿科医师培训，加强基层医疗卫生机构儿童保健医师配备。继续推进综合医院精神心理科建设和心理健康服务人员配备。加强卫生监督执法体系建设，推进监督机构规范化建设，加强人才培养，支持监督机构基础设施建设及执法装备配备，推进监督信息化工作。</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加强基层医疗卫生人才队伍建设。</w:t>
      </w:r>
      <w:r>
        <w:rPr>
          <w:rFonts w:hint="eastAsia" w:ascii="仿宋_GB2312" w:hAnsi="仿宋_GB2312" w:eastAsia="仿宋_GB2312" w:cs="仿宋_GB2312"/>
          <w:sz w:val="32"/>
          <w:szCs w:val="32"/>
        </w:rPr>
        <w:t>针对基层医疗卫生机构，在人员招聘、职称评定、人才培养、待遇保障等方面给予政策支持。继续实施农村订单定向医学生免费培养、全科医生特岗计划和助理全科医生培训、住院医师规范化培训，支持县级医院退休医师到乡村基层医疗卫生机构多点执业，充实乡村卫生健康人才队伍。镇（街道、场）卫生院人员编制，以县为单位，实行总量控制、统筹使用、动态管理、自行平衡的管理办法，按照《陕西省乡镇卫生院机构编制标准（暂行）》（陕编办发〔2011〕81号）核定卫生院人员编制总数，允许编制在县域内统筹使用，用好用足空余编制。继续实施为县及县以下医疗卫生机构招聘医学类毕业生计划。加强乡村医生队伍建设，深入推进乡村全科执业助理医师资格考试，推动乡村医生向执业（助理）医师转化，引导医学专业高校毕业生免试申请乡村医生执业注册。积极实施“县聘镇用、</w:t>
      </w:r>
      <w:r>
        <w:rPr>
          <w:rFonts w:hint="eastAsia" w:ascii="仿宋_GB2312" w:hAnsi="仿宋_GB2312" w:eastAsia="仿宋_GB2312" w:cs="仿宋_GB2312"/>
          <w:spacing w:val="-11"/>
          <w:sz w:val="32"/>
          <w:szCs w:val="32"/>
        </w:rPr>
        <w:t>镇管村用”，落实乡村医生待遇政策，逐步提高乡村医生养老待遇。</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持续开展对口帮扶工作。</w:t>
      </w:r>
      <w:r>
        <w:rPr>
          <w:rFonts w:hint="eastAsia" w:ascii="仿宋_GB2312" w:hAnsi="仿宋_GB2312" w:eastAsia="仿宋_GB2312" w:cs="仿宋_GB2312"/>
          <w:sz w:val="32"/>
          <w:szCs w:val="32"/>
        </w:rPr>
        <w:t>充分利用国家扶贫政策和对口帮扶平台，积极主动衔接西安医学院附属医院、榆林市第二医院等省市三级医院继续在靖边县开展的对口帮扶工作，继续开展县级医院和镇（街道、场）卫生院结对帮扶工作。开展县镇一体化、镇村一体化改革，大力组建医联体、医共体、专科联盟和远程医疗协作网，切实提升医疗服务能力。</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支持推动“互联网+医疗健康”发展。</w:t>
      </w:r>
      <w:r>
        <w:rPr>
          <w:rFonts w:hint="eastAsia" w:ascii="仿宋_GB2312" w:hAnsi="仿宋_GB2312" w:eastAsia="仿宋_GB2312" w:cs="仿宋_GB2312"/>
          <w:sz w:val="32"/>
          <w:szCs w:val="32"/>
        </w:rPr>
        <w:t>加大对县级医院远程医疗服务支持力度，完善远程医疗工作规范及配套政策，推动更多优质医疗资源下沉。逐步推进远程医疗向镇（街道、场）卫生院和村卫生室延伸。县域医共体要积极运用互联网技术，加快实现医疗资源上下贯通、信息互通共享、业务高效协同，积极开展预约诊疗、双向转诊、远程医疗等服务。推进“互联网+”公共卫生服务、“互联网+”家庭医生签约服务、“互联网+”医学教育和科普服务，利用信息化技术手段，提升农村卫生健康服务效率。加强健康扶贫动态系统管理，严格制度规范，强化数据分析与应用，为精准帮扶提供数据支撑。</w:t>
      </w:r>
    </w:p>
    <w:p>
      <w:pPr>
        <w:tabs>
          <w:tab w:val="left" w:pos="3308"/>
        </w:tabs>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——加快推进健康靖边行动，健全完善区域健康危险因素控制长效机制</w:t>
      </w:r>
    </w:p>
    <w:p>
      <w:pPr>
        <w:tabs>
          <w:tab w:val="left" w:pos="3308"/>
        </w:tabs>
        <w:ind w:firstLine="592"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持续加强重大疾病综合防控。</w:t>
      </w:r>
      <w:r>
        <w:rPr>
          <w:rFonts w:hint="eastAsia" w:ascii="仿宋_GB2312" w:hAnsi="仿宋_GB2312" w:eastAsia="仿宋_GB2312" w:cs="仿宋_GB2312"/>
          <w:spacing w:val="-6"/>
          <w:sz w:val="32"/>
          <w:szCs w:val="32"/>
        </w:rPr>
        <w:t>完善重点传染病专病专防策略，加强源头管控，推动关口前移，持续巩固艾滋病、结核病、狂犬病、乙肝、手足口病、麻疹、流行性腮腺炎、布鲁氏菌病、梅毒等9种重点传染病防控成果。加强慢性病综合防治，继续推进慢性病综合防控示范区建设。加强癌症、心血管疾病等早期筛查和早诊早治，强化高血压、糖尿病等常见慢性病健康管理。推动尘肺病等职业病主动监测与筛查，实施综合防控。继续做好氟骨症等地方病患者的治疗和随访管理，开展地方病病情监测，落实改水、碘盐供应、健康教育等综合防治措施，持续巩固地方病防治成果。</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实施重点人群健康改善行动。</w:t>
      </w:r>
      <w:r>
        <w:rPr>
          <w:rFonts w:hint="eastAsia" w:ascii="仿宋_GB2312" w:hAnsi="仿宋_GB2312" w:eastAsia="仿宋_GB2312" w:cs="仿宋_GB2312"/>
          <w:sz w:val="32"/>
          <w:szCs w:val="32"/>
        </w:rPr>
        <w:t>落实出生缺陷三级预防，强化婚前医学检查重要意义宣教，统筹推进婚前、孕前保健，开展预防出生缺陷日主题宣传。加强艾滋病、梅毒和乙肝母婴传播防治工作。深入实施产前筛查和新生儿疾病筛查，产前筛查率、新生儿遗传代谢性疾病筛查覆盖率达90%以上。加快推进妇女健康促进项目，农村妇女宫颈癌、乳腺癌筛查年度目标人群覆盖率达到80%。继续实施儿童营养改善项目，做好孕产妇和0-6岁儿童健康管理。推进普惠性婴幼儿照护服务工作，在综合服务设施建设中，统筹考虑婴幼儿照护服务设施建设，加大对家庭的科学育儿指导力度。鼓励社会组织、企事业单位、计生协会等社会力量积极探索婴幼儿照护和老年人健康服务发展项目。深入推进医养结合，维护老年人健康。</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全面推进健康促进行动。</w:t>
      </w:r>
      <w:r>
        <w:rPr>
          <w:rFonts w:hint="eastAsia" w:ascii="仿宋_GB2312" w:hAnsi="仿宋_GB2312" w:eastAsia="仿宋_GB2312" w:cs="仿宋_GB2312"/>
          <w:sz w:val="32"/>
          <w:szCs w:val="32"/>
        </w:rPr>
        <w:t>聚焦影响健康的行为与生活方式、环境等因素，积极推进实施健康知识普及、合理膳食、全民健身、控烟限酒、心理健康、健康环境促进及健康细胞示范建设等健康促进行动，持续推进健康教育进乡村、进家庭、进学校等活动，为群众提供更加精准规范的健康教育服务。开展心理健康促进行动，提升居民心理健康素养，开展对抑郁、焦虑等常见精神障碍的早期筛查，及时干预，提高治疗率。</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深入开展爱国卫生运动。</w:t>
      </w:r>
      <w:r>
        <w:rPr>
          <w:rFonts w:hint="eastAsia" w:ascii="仿宋_GB2312" w:hAnsi="仿宋_GB2312" w:eastAsia="仿宋_GB2312" w:cs="仿宋_GB2312"/>
          <w:sz w:val="32"/>
          <w:szCs w:val="32"/>
        </w:rPr>
        <w:t>发挥爱国卫生运动的统筹协调作用，持续推进农村人居环境整治。巩固卫生镇、卫生村创建成果，以卫生创建为抓手，促进农村地区卫生基础设施不断提升，推动农村人居环境持续改善。积极开展健康知识普及教育，增强农村居民卫生防病意识，养成文明健康绿色环保生活方式。加强健康靖边建设与爱国卫生运动融合发展，推动卫生城镇向健康城镇发展，引导农村居民主动参与健康乡村建设，营造共建共享的良好氛围。</w:t>
      </w:r>
    </w:p>
    <w:p>
      <w:pPr>
        <w:pStyle w:val="23"/>
        <w:widowControl w:val="0"/>
        <w:spacing w:after="0" w:line="360" w:lineRule="auto"/>
        <w:jc w:val="center"/>
        <w:outlineLvl w:val="1"/>
        <w:rPr>
          <w:rFonts w:ascii="黑体" w:hAnsi="黑体" w:eastAsia="黑体" w:cs="黑体"/>
          <w:spacing w:val="-6"/>
          <w:sz w:val="32"/>
          <w:szCs w:val="32"/>
        </w:rPr>
      </w:pPr>
      <w:bookmarkStart w:id="56" w:name="_Toc8376"/>
      <w:bookmarkStart w:id="57" w:name="_Toc19199"/>
    </w:p>
    <w:p>
      <w:pPr>
        <w:tabs>
          <w:tab w:val="left" w:pos="3308"/>
        </w:tabs>
        <w:spacing w:line="360" w:lineRule="auto"/>
        <w:jc w:val="center"/>
        <w:rPr>
          <w:rFonts w:ascii="黑体" w:hAnsi="黑体" w:eastAsia="黑体" w:cs="黑体"/>
          <w:spacing w:val="-6"/>
          <w:sz w:val="32"/>
          <w:szCs w:val="32"/>
        </w:rPr>
      </w:pPr>
      <w:r>
        <w:rPr>
          <w:rFonts w:hint="eastAsia" w:ascii="黑体" w:hAnsi="黑体" w:eastAsia="黑体" w:cs="黑体"/>
          <w:spacing w:val="-6"/>
          <w:sz w:val="32"/>
          <w:szCs w:val="32"/>
        </w:rPr>
        <w:t>第八节 推进农村社会保障一体化</w:t>
      </w:r>
    </w:p>
    <w:p>
      <w:pPr>
        <w:pStyle w:val="2"/>
        <w:spacing w:line="360" w:lineRule="auto"/>
        <w:rPr>
          <w:spacing w:val="-6"/>
        </w:rPr>
      </w:pPr>
    </w:p>
    <w:p>
      <w:pPr>
        <w:tabs>
          <w:tab w:val="left" w:pos="3308"/>
        </w:tabs>
        <w:spacing w:line="360" w:lineRule="auto"/>
        <w:ind w:firstLine="592"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健全县、镇、村三级养老服务网络，推进县级失能特困人员集中照护中心、镇（街道、场）养老服务中心、村级互助养老点等建设，实现所有镇（街道、场）、行政村基本实现养老服务设施全覆盖。发展农村普惠型养老服务和互助性养老，加大居家养老支持力度。依托村“两委”、村级互助养老点，培育老年协会、老年互助社等农村互助养老服务组织。利用公益性岗位，依托村医、基层治理网格员、社会事务专干等人员，为每个村级互助养老点至少配备1名专兼职“护老员”“助老员”。支持有条件的养老机构开办或内设医疗机构，推动医养结合。加强农村家庭婴幼儿照护指导和支持力度，依托基层力量提供集中托育、育儿指导、养护培训等服务，加强婴幼儿身心健康、社会交往、认知水平等方面早期发展干预，提升农村家庭婴幼儿照护能力。到2025年，全面实现社会保障城乡并轨、统一标准。</w:t>
      </w:r>
    </w:p>
    <w:p>
      <w:pPr>
        <w:pStyle w:val="23"/>
        <w:widowControl w:val="0"/>
        <w:spacing w:after="0" w:line="360" w:lineRule="auto"/>
        <w:jc w:val="center"/>
        <w:outlineLvl w:val="1"/>
        <w:rPr>
          <w:rFonts w:ascii="黑体" w:hAnsi="黑体" w:eastAsia="黑体" w:cs="黑体"/>
          <w:spacing w:val="-6"/>
          <w:sz w:val="32"/>
          <w:szCs w:val="32"/>
        </w:rPr>
      </w:pPr>
    </w:p>
    <w:p>
      <w:pPr>
        <w:pStyle w:val="23"/>
        <w:widowControl w:val="0"/>
        <w:spacing w:after="0" w:line="360" w:lineRule="auto"/>
        <w:jc w:val="center"/>
        <w:outlineLvl w:val="1"/>
        <w:rPr>
          <w:rFonts w:ascii="黑体" w:hAnsi="黑体" w:eastAsia="黑体" w:cs="黑体"/>
          <w:spacing w:val="-6"/>
          <w:sz w:val="32"/>
          <w:szCs w:val="32"/>
        </w:rPr>
      </w:pPr>
      <w:r>
        <w:rPr>
          <w:rFonts w:hint="eastAsia" w:ascii="黑体" w:hAnsi="黑体" w:eastAsia="黑体" w:cs="黑体"/>
          <w:spacing w:val="-6"/>
          <w:sz w:val="32"/>
          <w:szCs w:val="32"/>
        </w:rPr>
        <w:t>第九节 提升金融服务水平</w:t>
      </w:r>
    </w:p>
    <w:p>
      <w:pPr>
        <w:spacing w:line="360" w:lineRule="auto"/>
        <w:ind w:firstLine="592" w:firstLineChars="200"/>
        <w:rPr>
          <w:rFonts w:ascii="仿宋_GB2312" w:hAnsi="仿宋_GB2312" w:eastAsia="仿宋_GB2312" w:cs="仿宋_GB2312"/>
          <w:spacing w:val="-6"/>
          <w:sz w:val="32"/>
          <w:szCs w:val="32"/>
        </w:rPr>
      </w:pPr>
    </w:p>
    <w:p>
      <w:pPr>
        <w:spacing w:line="360" w:lineRule="auto"/>
        <w:ind w:firstLine="592" w:firstLineChars="200"/>
        <w:rPr>
          <w:rFonts w:ascii="黑体" w:hAnsi="黑体" w:eastAsia="黑体" w:cs="黑体"/>
          <w:spacing w:val="-6"/>
          <w:sz w:val="32"/>
          <w:szCs w:val="32"/>
        </w:rPr>
      </w:pPr>
      <w:r>
        <w:rPr>
          <w:rFonts w:hint="eastAsia" w:ascii="仿宋_GB2312" w:hAnsi="仿宋_GB2312" w:eastAsia="仿宋_GB2312" w:cs="仿宋_GB2312"/>
          <w:spacing w:val="-6"/>
          <w:sz w:val="32"/>
          <w:szCs w:val="32"/>
        </w:rPr>
        <w:t>做好过渡期脱贫人口小额信贷工作，进一步完善脱贫人口小额信贷政策，加大宣传力度，满足脱贫户、边缘易致贫户的有效贷款需求，支持其发展生产和开展经营。强化户贷户用户还原则，做好脱贫人口小额信贷质量监测和续贷展期管理，符合条件的要及时启动风险补偿机制，推动脱贫人口小额信贷持续健康发展。积极运用保险产品巩固脱贫成果，支持具备条件的地区开展商业防止返贫保险，逐步健全针对脱贫人口和农村低收入人口的保险产品体系。支持保险公司继续做好城乡居民大病保险承办工作，对特困人员、低保对象、返贫致贫人口等实施政策倾斜，包括降低起付线、提高报销比例、逐步取消封顶线等。鼓励保险公司加大产品创新力度，医疗保险产品可在定价、赔付条件、保障范围等方面对脱贫人口适当优惠。鼓励保险公司经办基本医保、医疗救助，实现不同医保制度间的有效衔接。鼓励保险公司围绕乡村振兴战略，开发相应的养老保险、健康保险产品。继续加大扶贫互助资金筹措力度、创新监管机制、提升资金使用效率，按照“不出村、不吸储、不分红”的原则，帮助群众发展产业、促进就业，确保发挥“小资金”“大效用”的作用，有效解决群众发展产业缺资金、贷款难等问题。</w:t>
      </w:r>
    </w:p>
    <w:p>
      <w:pPr>
        <w:spacing w:line="360" w:lineRule="auto"/>
        <w:rPr>
          <w:spacing w:val="-6"/>
        </w:rPr>
      </w:pPr>
    </w:p>
    <w:p>
      <w:pPr>
        <w:pStyle w:val="23"/>
        <w:widowControl w:val="0"/>
        <w:spacing w:after="0" w:line="360" w:lineRule="auto"/>
        <w:jc w:val="center"/>
        <w:outlineLvl w:val="1"/>
        <w:rPr>
          <w:rFonts w:ascii="黑体" w:hAnsi="黑体" w:eastAsia="黑体" w:cs="黑体"/>
          <w:spacing w:val="-6"/>
          <w:sz w:val="32"/>
          <w:szCs w:val="32"/>
        </w:rPr>
      </w:pPr>
      <w:r>
        <w:rPr>
          <w:rFonts w:hint="eastAsia" w:ascii="黑体" w:hAnsi="黑体" w:eastAsia="黑体" w:cs="黑体"/>
          <w:spacing w:val="-6"/>
          <w:sz w:val="32"/>
          <w:szCs w:val="32"/>
        </w:rPr>
        <w:t>第十节 持续推进消费帮扶</w:t>
      </w:r>
      <w:bookmarkEnd w:id="56"/>
      <w:bookmarkEnd w:id="57"/>
    </w:p>
    <w:p>
      <w:pPr>
        <w:tabs>
          <w:tab w:val="left" w:pos="3308"/>
        </w:tabs>
        <w:spacing w:line="360" w:lineRule="auto"/>
        <w:ind w:firstLine="592" w:firstLineChars="200"/>
        <w:rPr>
          <w:rFonts w:ascii="仿宋_GB2312" w:hAnsi="仿宋_GB2312" w:eastAsia="仿宋_GB2312" w:cs="仿宋_GB2312"/>
          <w:b/>
          <w:bCs/>
          <w:spacing w:val="-6"/>
          <w:sz w:val="32"/>
          <w:szCs w:val="32"/>
        </w:rPr>
      </w:pPr>
    </w:p>
    <w:p>
      <w:pPr>
        <w:tabs>
          <w:tab w:val="left" w:pos="3308"/>
        </w:tabs>
        <w:spacing w:line="360" w:lineRule="auto"/>
        <w:ind w:firstLine="592" w:firstLineChars="200"/>
        <w:rPr>
          <w:rFonts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rPr>
        <w:t>——做强靖边消费扶贫产品。</w:t>
      </w:r>
      <w:r>
        <w:rPr>
          <w:rFonts w:hint="eastAsia" w:ascii="仿宋_GB2312" w:hAnsi="仿宋_GB2312" w:eastAsia="仿宋_GB2312" w:cs="仿宋_GB2312"/>
          <w:spacing w:val="-6"/>
          <w:sz w:val="32"/>
          <w:szCs w:val="32"/>
        </w:rPr>
        <w:t>继续开展帮扶重点产品认定，鼓励、引导帮扶产品生产经营主体开展农产品品质品牌认定和绿色、有机、地理标志认定，建立完善帮扶产品质量溯源体系，加强帮扶产品监管和帮扶成效评估，树立帮扶产品品牌良好社会形象。做响消费帮扶载体品牌，进一步做响品牌、扩大靖边县域影响力，促进靖边县消费帮扶各项工作始终保持“走在全市前列”。</w:t>
      </w:r>
    </w:p>
    <w:p>
      <w:pPr>
        <w:tabs>
          <w:tab w:val="left" w:pos="3308"/>
        </w:tabs>
        <w:spacing w:line="360" w:lineRule="auto"/>
        <w:ind w:firstLine="592" w:firstLineChars="200"/>
        <w:rPr>
          <w:rFonts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rPr>
        <w:t>——合理引导购买消费扶贫产品。</w:t>
      </w:r>
      <w:r>
        <w:rPr>
          <w:rFonts w:hint="eastAsia" w:ascii="仿宋_GB2312" w:hAnsi="仿宋_GB2312" w:eastAsia="仿宋_GB2312" w:cs="仿宋_GB2312"/>
          <w:spacing w:val="-6"/>
          <w:sz w:val="32"/>
          <w:szCs w:val="32"/>
        </w:rPr>
        <w:t>提前谋划消费帮扶采购任务，加强预算采购帮扶，按照工会经费使用要求，购买靖边县农副产品，鼓励干部职工自发消费。鼓励爱心企业、社会组织、爱心人士等积极参与消费帮扶，支持行业协会、商会、慈善机构等社会组织策划开展消费帮扶宣传推广活动。强化预警妥善应对农副产品滞销，建立完善农产品滞销监测预警机制，建立多方联动应急处置机制，持续开展消费帮扶行动。</w:t>
      </w:r>
    </w:p>
    <w:p>
      <w:pPr>
        <w:tabs>
          <w:tab w:val="left" w:pos="3308"/>
        </w:tabs>
        <w:spacing w:line="360" w:lineRule="auto"/>
        <w:ind w:firstLine="592" w:firstLineChars="200"/>
        <w:rPr>
          <w:rFonts w:ascii="方正小标宋简体" w:hAnsi="方正小标宋简体" w:eastAsia="方正小标宋简体" w:cs="方正小标宋简体"/>
          <w:kern w:val="0"/>
          <w:sz w:val="32"/>
          <w:szCs w:val="32"/>
        </w:rPr>
      </w:pPr>
      <w:r>
        <w:rPr>
          <w:rFonts w:hint="eastAsia" w:ascii="楷体_GB2312" w:hAnsi="楷体_GB2312" w:eastAsia="楷体_GB2312" w:cs="楷体_GB2312"/>
          <w:b/>
          <w:bCs/>
          <w:spacing w:val="-6"/>
          <w:sz w:val="32"/>
          <w:szCs w:val="32"/>
        </w:rPr>
        <w:t>——拓宽消费帮扶渠道。</w:t>
      </w:r>
      <w:r>
        <w:rPr>
          <w:rFonts w:hint="eastAsia" w:ascii="仿宋_GB2312" w:hAnsi="仿宋_GB2312" w:eastAsia="仿宋_GB2312" w:cs="仿宋_GB2312"/>
          <w:spacing w:val="-6"/>
          <w:sz w:val="32"/>
          <w:szCs w:val="32"/>
        </w:rPr>
        <w:t>鼓励在景区景点、宾馆饭店、高速公路服务区等开设农产品销售专区。推进城乡物流一体化发展，加强农产品供应链体系建设，积极培育公益性农产品批发市场，建设产地冷藏保鲜设施，持续打通农产品流通动脉。建立产销对接长效机制，强化农商对接互联，鼓励搭建线上线下融合的产销对接平台，支持批发市场、大型连锁超市、农产品流通企业等与农民专业合作社、联合社等构建紧密稳定的产销衔接机制。鼓励各类电商平台销售脱贫村产品，支持镇村积极打造特色鲜明的农产品电商主导产业和电商品牌，建立完善适应农产品网络销售的供应链体系、销售服务体系和支撑保障体系，积极开拓批发电商、分销电商渠道，积极发展农产品社交电商、直播电商等新模式。提升农副产品流通效率，实施“快递进村”工程，健全农产品流通骨干网络。</w:t>
      </w:r>
      <w:bookmarkStart w:id="58" w:name="_Toc6936"/>
      <w:bookmarkStart w:id="59" w:name="_Toc3177"/>
    </w:p>
    <w:p>
      <w:pPr>
        <w:tabs>
          <w:tab w:val="left" w:pos="3308"/>
        </w:tabs>
        <w:spacing w:line="600" w:lineRule="exact"/>
        <w:jc w:val="center"/>
        <w:outlineLvl w:val="0"/>
        <w:rPr>
          <w:rFonts w:ascii="方正小标宋简体" w:hAnsi="方正小标宋简体" w:eastAsia="方正小标宋简体" w:cs="方正小标宋简体"/>
          <w:kern w:val="0"/>
          <w:sz w:val="32"/>
          <w:szCs w:val="32"/>
        </w:rPr>
      </w:pPr>
    </w:p>
    <w:p>
      <w:pPr>
        <w:pStyle w:val="2"/>
        <w:rPr>
          <w:rFonts w:ascii="方正小标宋简体" w:hAnsi="方正小标宋简体" w:eastAsia="方正小标宋简体" w:cs="方正小标宋简体"/>
          <w:kern w:val="0"/>
          <w:sz w:val="32"/>
          <w:szCs w:val="32"/>
        </w:rPr>
      </w:pPr>
    </w:p>
    <w:p>
      <w:pPr>
        <w:rPr>
          <w:rFonts w:ascii="方正小标宋简体" w:hAnsi="方正小标宋简体" w:eastAsia="方正小标宋简体" w:cs="方正小标宋简体"/>
          <w:kern w:val="0"/>
          <w:sz w:val="32"/>
          <w:szCs w:val="32"/>
        </w:rPr>
      </w:pPr>
    </w:p>
    <w:p>
      <w:pPr>
        <w:pStyle w:val="2"/>
        <w:rPr>
          <w:rFonts w:ascii="方正小标宋简体" w:hAnsi="方正小标宋简体" w:eastAsia="方正小标宋简体" w:cs="方正小标宋简体"/>
          <w:kern w:val="0"/>
          <w:sz w:val="32"/>
          <w:szCs w:val="32"/>
        </w:rPr>
      </w:pPr>
    </w:p>
    <w:p>
      <w:pPr>
        <w:rPr>
          <w:rFonts w:ascii="方正小标宋简体" w:hAnsi="方正小标宋简体" w:eastAsia="方正小标宋简体" w:cs="方正小标宋简体"/>
          <w:kern w:val="0"/>
          <w:sz w:val="32"/>
          <w:szCs w:val="32"/>
        </w:rPr>
      </w:pPr>
    </w:p>
    <w:p>
      <w:pPr>
        <w:pStyle w:val="2"/>
        <w:rPr>
          <w:rFonts w:ascii="方正小标宋简体" w:hAnsi="方正小标宋简体" w:eastAsia="方正小标宋简体" w:cs="方正小标宋简体"/>
          <w:kern w:val="0"/>
          <w:sz w:val="32"/>
          <w:szCs w:val="32"/>
        </w:rPr>
      </w:pPr>
    </w:p>
    <w:p>
      <w:pPr>
        <w:rPr>
          <w:rFonts w:ascii="方正小标宋简体" w:hAnsi="方正小标宋简体" w:eastAsia="方正小标宋简体" w:cs="方正小标宋简体"/>
          <w:kern w:val="0"/>
          <w:sz w:val="32"/>
          <w:szCs w:val="32"/>
        </w:rPr>
      </w:pPr>
    </w:p>
    <w:p>
      <w:pPr>
        <w:pStyle w:val="2"/>
        <w:rPr>
          <w:rFonts w:ascii="方正小标宋简体" w:hAnsi="方正小标宋简体" w:eastAsia="方正小标宋简体" w:cs="方正小标宋简体"/>
          <w:kern w:val="0"/>
          <w:sz w:val="32"/>
          <w:szCs w:val="32"/>
        </w:rPr>
      </w:pPr>
    </w:p>
    <w:p>
      <w:pPr>
        <w:rPr>
          <w:rFonts w:ascii="方正小标宋简体" w:hAnsi="方正小标宋简体" w:eastAsia="方正小标宋简体" w:cs="方正小标宋简体"/>
          <w:kern w:val="0"/>
          <w:sz w:val="32"/>
          <w:szCs w:val="32"/>
        </w:rPr>
      </w:pPr>
    </w:p>
    <w:p>
      <w:pPr>
        <w:pStyle w:val="2"/>
        <w:rPr>
          <w:rFonts w:ascii="方正小标宋简体" w:hAnsi="方正小标宋简体" w:eastAsia="方正小标宋简体" w:cs="方正小标宋简体"/>
          <w:kern w:val="0"/>
          <w:sz w:val="32"/>
          <w:szCs w:val="32"/>
        </w:rPr>
      </w:pPr>
    </w:p>
    <w:p>
      <w:pPr>
        <w:rPr>
          <w:rFonts w:ascii="方正小标宋简体" w:hAnsi="方正小标宋简体" w:eastAsia="方正小标宋简体" w:cs="方正小标宋简体"/>
          <w:kern w:val="0"/>
          <w:sz w:val="32"/>
          <w:szCs w:val="32"/>
        </w:rPr>
      </w:pPr>
    </w:p>
    <w:p>
      <w:pPr>
        <w:pStyle w:val="2"/>
        <w:rPr>
          <w:rFonts w:ascii="方正小标宋简体" w:hAnsi="方正小标宋简体" w:eastAsia="方正小标宋简体" w:cs="方正小标宋简体"/>
          <w:kern w:val="0"/>
          <w:sz w:val="32"/>
          <w:szCs w:val="32"/>
        </w:rPr>
      </w:pPr>
    </w:p>
    <w:p/>
    <w:p>
      <w:pPr>
        <w:tabs>
          <w:tab w:val="left" w:pos="3308"/>
        </w:tabs>
        <w:spacing w:line="600" w:lineRule="exact"/>
        <w:jc w:val="center"/>
        <w:outlineLvl w:val="0"/>
        <w:rPr>
          <w:rFonts w:ascii="方正小标宋简体" w:hAnsi="方正小标宋简体" w:eastAsia="方正小标宋简体" w:cs="方正小标宋简体"/>
          <w:kern w:val="0"/>
          <w:sz w:val="32"/>
          <w:szCs w:val="32"/>
        </w:rPr>
      </w:pPr>
    </w:p>
    <w:p>
      <w:pPr>
        <w:tabs>
          <w:tab w:val="left" w:pos="3308"/>
        </w:tabs>
        <w:spacing w:line="600" w:lineRule="exact"/>
        <w:jc w:val="center"/>
        <w:outlineLvl w:val="0"/>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第五章 全面推进乡村“五大振兴”</w:t>
      </w:r>
      <w:bookmarkEnd w:id="58"/>
      <w:bookmarkEnd w:id="59"/>
    </w:p>
    <w:p>
      <w:pPr>
        <w:pStyle w:val="23"/>
        <w:widowControl w:val="0"/>
        <w:spacing w:after="0" w:line="600" w:lineRule="exact"/>
        <w:rPr>
          <w:rFonts w:ascii="楷体" w:hAnsi="楷体" w:eastAsia="楷体" w:cs="楷体"/>
          <w:b/>
          <w:bCs/>
          <w:sz w:val="22"/>
          <w:szCs w:val="22"/>
        </w:rPr>
      </w:pPr>
    </w:p>
    <w:p>
      <w:pPr>
        <w:pStyle w:val="23"/>
        <w:widowControl w:val="0"/>
        <w:spacing w:after="0" w:line="600" w:lineRule="exact"/>
        <w:jc w:val="center"/>
        <w:outlineLvl w:val="1"/>
        <w:rPr>
          <w:rFonts w:ascii="黑体" w:hAnsi="黑体" w:eastAsia="黑体" w:cs="黑体"/>
          <w:sz w:val="32"/>
          <w:szCs w:val="32"/>
        </w:rPr>
      </w:pPr>
      <w:bookmarkStart w:id="60" w:name="_Toc31280"/>
      <w:bookmarkStart w:id="61" w:name="_Toc6172"/>
      <w:r>
        <w:rPr>
          <w:rFonts w:hint="eastAsia" w:ascii="黑体" w:hAnsi="黑体" w:eastAsia="黑体" w:cs="黑体"/>
          <w:sz w:val="32"/>
          <w:szCs w:val="32"/>
        </w:rPr>
        <w:t xml:space="preserve">第一节 </w:t>
      </w:r>
      <w:bookmarkEnd w:id="60"/>
      <w:bookmarkEnd w:id="61"/>
      <w:r>
        <w:rPr>
          <w:rFonts w:hint="eastAsia" w:ascii="黑体" w:hAnsi="黑体" w:eastAsia="黑体" w:cs="黑体"/>
          <w:sz w:val="32"/>
          <w:szCs w:val="32"/>
        </w:rPr>
        <w:t>产业振兴</w:t>
      </w:r>
    </w:p>
    <w:p>
      <w:pPr>
        <w:tabs>
          <w:tab w:val="left" w:pos="3308"/>
        </w:tabs>
        <w:spacing w:line="600" w:lineRule="exact"/>
        <w:ind w:firstLine="416" w:firstLineChars="200"/>
        <w:rPr>
          <w:rFonts w:ascii="仿宋_GB2312" w:hAnsi="仿宋_GB2312" w:eastAsia="仿宋_GB2312" w:cs="仿宋_GB2312"/>
          <w:sz w:val="22"/>
          <w:szCs w:val="22"/>
        </w:rPr>
      </w:pPr>
    </w:p>
    <w:p>
      <w:pPr>
        <w:tabs>
          <w:tab w:val="left" w:pos="3308"/>
        </w:tabs>
        <w:spacing w:line="600" w:lineRule="exact"/>
        <w:ind w:firstLine="616" w:firstLineChars="200"/>
      </w:pPr>
      <w:r>
        <w:rPr>
          <w:rFonts w:hint="eastAsia" w:ascii="仿宋_GB2312" w:hAnsi="仿宋_GB2312" w:eastAsia="仿宋_GB2312" w:cs="仿宋_GB2312"/>
          <w:sz w:val="32"/>
          <w:szCs w:val="32"/>
        </w:rPr>
        <w:t>“十四五”时期，要以增加农民收入为核心，深化“三变”改革，持续发展壮大乡村特色产业，突出规模、绿色、品牌、智慧、融合发展，优化农业产业布局，建设高产、优质、低耗的农业产业体系。通过建基地、强链条、创品牌既</w:t>
      </w:r>
      <w:r>
        <w:rPr>
          <w:rFonts w:hint="eastAsia" w:ascii="仿宋_GB2312" w:hAnsi="仿宋_GB2312" w:eastAsia="仿宋_GB2312" w:cs="仿宋_GB2312"/>
          <w:b/>
          <w:bCs/>
          <w:sz w:val="32"/>
          <w:szCs w:val="32"/>
        </w:rPr>
        <w:t>“依托一镇一园建设一个规模化基地，打造九大全产业链条，创建八大靖边特色品牌”</w:t>
      </w:r>
      <w:r>
        <w:rPr>
          <w:rFonts w:hint="eastAsia" w:ascii="仿宋_GB2312" w:hAnsi="仿宋_GB2312" w:eastAsia="仿宋_GB2312" w:cs="仿宋_GB2312"/>
          <w:sz w:val="32"/>
          <w:szCs w:val="32"/>
        </w:rPr>
        <w:t>的方式，发展特色产业，达到实现产业兴旺目的。</w:t>
      </w:r>
    </w:p>
    <w:p>
      <w:pPr>
        <w:tabs>
          <w:tab w:val="left" w:pos="3308"/>
        </w:tabs>
        <w:spacing w:line="600" w:lineRule="exact"/>
        <w:ind w:firstLine="616" w:firstLineChars="200"/>
        <w:rPr>
          <w:rFonts w:ascii="黑体" w:hAnsi="黑体" w:eastAsia="黑体" w:cs="黑体"/>
          <w:sz w:val="32"/>
          <w:szCs w:val="32"/>
        </w:rPr>
      </w:pPr>
      <w:r>
        <w:rPr>
          <w:rFonts w:hint="eastAsia" w:ascii="黑体" w:hAnsi="黑体" w:eastAsia="黑体" w:cs="黑体"/>
          <w:sz w:val="32"/>
          <w:szCs w:val="32"/>
        </w:rPr>
        <w:t>一、加快基础设施提档升级</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力补短板、强弱项，持续抓好水电路田等基础设施建设。在土地集中连片达500亩后，争取中央资金（1070元/亩）发展高标准农田。积极与陕西农垦集团合作对接，争取20万亩高标准农田提标改造工程（1500元/亩）。北部加快农田改造升级和节水技术推广，中部全力推进以涧地开发为主的高标准农田建设，南部山区重点抓好以宽幅梯田为主的高标准农田建设和生态建设。中南部要在旱作农业种植上下功夫，促进粮食稳产增产。</w:t>
      </w:r>
    </w:p>
    <w:p>
      <w:pPr>
        <w:tabs>
          <w:tab w:val="left" w:pos="3308"/>
        </w:tabs>
        <w:spacing w:line="600" w:lineRule="exact"/>
        <w:ind w:firstLine="616" w:firstLineChars="200"/>
        <w:rPr>
          <w:rFonts w:ascii="黑体" w:hAnsi="黑体" w:eastAsia="黑体" w:cs="黑体"/>
          <w:sz w:val="32"/>
          <w:szCs w:val="32"/>
        </w:rPr>
      </w:pPr>
      <w:r>
        <w:rPr>
          <w:rFonts w:hint="eastAsia" w:ascii="黑体" w:hAnsi="黑体" w:eastAsia="黑体" w:cs="黑体"/>
          <w:sz w:val="32"/>
          <w:szCs w:val="32"/>
        </w:rPr>
        <w:t>二、促进产业发展提质增效</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t>围绕“畜、菜、薯”三大主导产业，按照北部稳规模、中部挖潜力、南部促提升，“一镇一园”发展思路，统筹土地、水资源等生态环境承载能力，合理布局产业。</w:t>
      </w:r>
      <w:r>
        <w:rPr>
          <w:rFonts w:hint="eastAsia" w:ascii="仿宋_GB2312" w:hAnsi="仿宋_GB2312" w:eastAsia="仿宋_GB2312" w:cs="仿宋_GB2312"/>
          <w:b/>
          <w:bCs/>
          <w:kern w:val="0"/>
          <w:sz w:val="32"/>
          <w:szCs w:val="32"/>
        </w:rPr>
        <w:t>307国道以北风沙滩区，</w:t>
      </w:r>
      <w:r>
        <w:rPr>
          <w:rFonts w:hint="eastAsia" w:ascii="仿宋_GB2312" w:hAnsi="仿宋_GB2312" w:eastAsia="仿宋_GB2312" w:cs="仿宋_GB2312"/>
          <w:kern w:val="0"/>
          <w:sz w:val="32"/>
          <w:szCs w:val="32"/>
        </w:rPr>
        <w:t>重点发展白绒山羊、生猪养殖，设施蔬菜和特色农业，提升现代农业水平。</w:t>
      </w:r>
      <w:r>
        <w:rPr>
          <w:rFonts w:hint="eastAsia" w:ascii="仿宋_GB2312" w:hAnsi="仿宋_GB2312" w:eastAsia="仿宋_GB2312" w:cs="仿宋_GB2312"/>
          <w:b/>
          <w:bCs/>
          <w:kern w:val="0"/>
          <w:sz w:val="32"/>
          <w:szCs w:val="32"/>
        </w:rPr>
        <w:t>307国道以南，</w:t>
      </w:r>
      <w:r>
        <w:rPr>
          <w:rFonts w:hint="eastAsia" w:ascii="仿宋_GB2312" w:hAnsi="仿宋_GB2312" w:eastAsia="仿宋_GB2312" w:cs="仿宋_GB2312"/>
          <w:kern w:val="0"/>
          <w:sz w:val="32"/>
          <w:szCs w:val="32"/>
        </w:rPr>
        <w:t>白于山区以北梁峁涧区大力发展高效优质马铃薯和特色养殖业，促进传统动植物品种保护传承。</w:t>
      </w:r>
      <w:r>
        <w:rPr>
          <w:rFonts w:hint="eastAsia" w:ascii="仿宋_GB2312" w:hAnsi="仿宋_GB2312" w:eastAsia="仿宋_GB2312" w:cs="仿宋_GB2312"/>
          <w:b/>
          <w:bCs/>
          <w:kern w:val="0"/>
          <w:sz w:val="32"/>
          <w:szCs w:val="32"/>
        </w:rPr>
        <w:t>南部山区重点建设生态屏障，</w:t>
      </w:r>
      <w:r>
        <w:rPr>
          <w:rFonts w:hint="eastAsia" w:ascii="仿宋_GB2312" w:hAnsi="仿宋_GB2312" w:eastAsia="仿宋_GB2312" w:cs="仿宋_GB2312"/>
          <w:kern w:val="0"/>
          <w:sz w:val="32"/>
          <w:szCs w:val="32"/>
        </w:rPr>
        <w:t>发展林果业、林下经济和小杂粮、中药材等特色农业。</w:t>
      </w:r>
      <w:r>
        <w:rPr>
          <w:rFonts w:hint="eastAsia" w:ascii="仿宋_GB2312" w:hAnsi="宋体" w:eastAsia="仿宋_GB2312"/>
          <w:sz w:val="32"/>
          <w:szCs w:val="32"/>
        </w:rPr>
        <w:t>到2025年，</w:t>
      </w:r>
      <w:r>
        <w:rPr>
          <w:rFonts w:hint="eastAsia" w:ascii="仿宋" w:hAnsi="仿宋" w:eastAsia="仿宋" w:cs="仿宋"/>
          <w:sz w:val="32"/>
          <w:szCs w:val="32"/>
        </w:rPr>
        <w:t>发展</w:t>
      </w:r>
      <w:r>
        <w:rPr>
          <w:rFonts w:hint="eastAsia" w:ascii="仿宋_GB2312" w:hAnsi="仿宋_GB2312" w:eastAsia="仿宋_GB2312" w:cs="仿宋_GB2312"/>
          <w:sz w:val="32"/>
          <w:szCs w:val="32"/>
        </w:rPr>
        <w:t>饲草10万亩，</w:t>
      </w:r>
      <w:r>
        <w:rPr>
          <w:rFonts w:hint="eastAsia" w:ascii="仿宋_GB2312" w:hAnsi="宋体" w:eastAsia="仿宋_GB2312"/>
          <w:sz w:val="32"/>
          <w:szCs w:val="32"/>
        </w:rPr>
        <w:t>羊子、生猪饲养量分别达到</w:t>
      </w:r>
      <w:r>
        <w:rPr>
          <w:rFonts w:hint="eastAsia" w:ascii="仿宋_GB2312" w:eastAsia="仿宋_GB2312"/>
          <w:sz w:val="32"/>
          <w:szCs w:val="32"/>
        </w:rPr>
        <w:t>170</w:t>
      </w:r>
      <w:r>
        <w:rPr>
          <w:rFonts w:hint="eastAsia" w:ascii="仿宋_GB2312" w:hAnsi="宋体" w:eastAsia="仿宋_GB2312"/>
          <w:sz w:val="32"/>
          <w:szCs w:val="32"/>
        </w:rPr>
        <w:t>万只、</w:t>
      </w:r>
      <w:r>
        <w:rPr>
          <w:rFonts w:hint="eastAsia" w:ascii="仿宋_GB2312" w:eastAsia="仿宋_GB2312"/>
          <w:sz w:val="32"/>
          <w:szCs w:val="32"/>
        </w:rPr>
        <w:t>50</w:t>
      </w:r>
      <w:r>
        <w:rPr>
          <w:rFonts w:hint="eastAsia" w:ascii="仿宋_GB2312" w:hAnsi="宋体" w:eastAsia="仿宋_GB2312"/>
          <w:sz w:val="32"/>
          <w:szCs w:val="32"/>
        </w:rPr>
        <w:t>万头，实施</w:t>
      </w:r>
      <w:r>
        <w:rPr>
          <w:rFonts w:hint="eastAsia" w:ascii="仿宋_GB2312" w:hAnsi="仿宋_GB2312" w:eastAsia="仿宋_GB2312" w:cs="仿宋_GB2312"/>
          <w:bCs/>
          <w:sz w:val="32"/>
          <w:szCs w:val="32"/>
        </w:rPr>
        <w:t>产业培育工程和绿色循环优质高效特色农业项目</w:t>
      </w:r>
      <w:r>
        <w:rPr>
          <w:rFonts w:hint="eastAsia" w:ascii="仿宋_GB2312" w:hAnsi="仿宋_GB2312" w:eastAsia="仿宋_GB2312" w:cs="仿宋_GB2312"/>
          <w:color w:val="0C0C0C"/>
          <w:sz w:val="32"/>
          <w:szCs w:val="32"/>
        </w:rPr>
        <w:t>，</w:t>
      </w:r>
      <w:r>
        <w:rPr>
          <w:rFonts w:hint="eastAsia" w:ascii="仿宋_GB2312" w:eastAsia="仿宋_GB2312"/>
          <w:sz w:val="32"/>
          <w:szCs w:val="32"/>
        </w:rPr>
        <w:t>发展</w:t>
      </w:r>
      <w:r>
        <w:rPr>
          <w:rFonts w:hint="eastAsia" w:ascii="仿宋_GB2312" w:hAnsi="宋体" w:eastAsia="仿宋_GB2312"/>
          <w:sz w:val="32"/>
          <w:szCs w:val="32"/>
        </w:rPr>
        <w:t>优质马铃薯基地30万亩</w:t>
      </w:r>
      <w:r>
        <w:rPr>
          <w:rFonts w:hint="eastAsia" w:ascii="仿宋_GB2312" w:eastAsia="仿宋_GB2312"/>
          <w:sz w:val="32"/>
          <w:szCs w:val="32"/>
        </w:rPr>
        <w:t>、</w:t>
      </w:r>
      <w:r>
        <w:rPr>
          <w:rFonts w:hint="eastAsia" w:ascii="仿宋_GB2312" w:hAnsi="宋体" w:eastAsia="仿宋_GB2312"/>
          <w:sz w:val="32"/>
          <w:szCs w:val="32"/>
        </w:rPr>
        <w:t>标准化蔬菜基地20万亩，</w:t>
      </w:r>
      <w:r>
        <w:rPr>
          <w:rFonts w:hint="eastAsia" w:ascii="仿宋_GB2312" w:hAnsi="仿宋_GB2312" w:eastAsia="仿宋_GB2312" w:cs="仿宋_GB2312"/>
          <w:color w:val="0C0C0C"/>
          <w:sz w:val="32"/>
          <w:szCs w:val="32"/>
        </w:rPr>
        <w:t>马铃薯和</w:t>
      </w:r>
      <w:r>
        <w:rPr>
          <w:rFonts w:ascii="仿宋_GB2312" w:hAnsi="仿宋_GB2312" w:eastAsia="仿宋_GB2312" w:cs="仿宋_GB2312"/>
          <w:color w:val="0C0C0C"/>
          <w:sz w:val="32"/>
          <w:szCs w:val="32"/>
        </w:rPr>
        <w:t>蔬菜产量分别稳定60万吨</w:t>
      </w:r>
      <w:r>
        <w:rPr>
          <w:rFonts w:hint="eastAsia" w:ascii="仿宋_GB2312" w:hAnsi="仿宋_GB2312" w:eastAsia="仿宋_GB2312" w:cs="仿宋_GB2312"/>
          <w:color w:val="0C0C0C"/>
          <w:sz w:val="32"/>
          <w:szCs w:val="32"/>
        </w:rPr>
        <w:t>和80万吨。</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楷体" w:hAnsi="楷体" w:eastAsia="楷体" w:cs="楷体"/>
          <w:b/>
          <w:bCs/>
          <w:sz w:val="32"/>
          <w:szCs w:val="32"/>
        </w:rPr>
        <w:t>（一）畜产业</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仿宋_GB2312" w:eastAsia="仿宋_GB2312"/>
          <w:sz w:val="32"/>
          <w:szCs w:val="32"/>
        </w:rPr>
        <w:t>切实加大畜牧业资金投入，解决畜牧人才短缺和动物疫病防控滞后问题，提升畜牧业生产服务水平。进一步优化品种和养殖模式。羊子养殖以陕北白绒山羊为主，示范推广萨福克、杜泊、湖羊等肉羊杂交；生猪推广“杜洛克、长白、大白”，肉牛推广西蒙特尔、夏洛莱等成熟品种。饲养模式上坚持走适度规模、舍饲养畜、种养结合、循环发展的路子，实现小群体、大产业发展格局。着力解决草畜矛盾问题，加大人工种草，实施京津风沙源、退牧还草、粮改饲等涉农项目，落实种草补贴政策（300-600元/亩），激发农民种草积极性，走种养结合路子。有条件的地方可整村推进，集中建设圈舍、草棚等设施，让群众养殖有场地。大力扶持合作组织对灌木平茬、柠条揉丝、秸秆打捆、饲草粉碎等提供社会化服务，节约养殖户饲养成本，有效提高资源利用效率。持续做好封山禁牧，常态化打击偷牧、夜牧，巩固来之不易的生态成果。</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1.羊产业</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湖羊产业。扶持在全县选择有养羊基础、有土地条件、饲草种植等资源条件好的行政村，以发展壮大村集体经济为目标，建设存栏万只以上湖羊繁育基地2个；建设存栏1000只（基础母羊存栏500只）的村集体养殖合作社以及规模场106个；建设存栏400只（基础母羊存栏200只）的集体经济、合作社、养殖场165个；建设存栏200只（基础母羊存栏100只）的家庭适度规模养殖场290个。以整村推进方式，在全县择优选择78个行政村，每村发展基础母羊50只的养殖农户50户，基本实现年存栏湖羊基础母羊32万只以上，饲养量达到百万只以上。同时建设1个年屠宰加工50万只的肉绵羊产品深加工基地、10个肉绵羊人工授精站（点）。</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陕北白绒山羊产业。扶持在全县打造陕北白绒山羊育种创新能力提升项目基地1处；新建或改造陕北白绒山羊良种繁育场2个，新建或改扩建陕北白绒山羊规模养殖场25个；打造陕北白绒山羊育种核心行政村5个，每村打造基础母羊存栏100只以上育种核心户30户；打造陕北白绒山羊养殖核心行政村20个，每村打造存栏100只以上陕北绒山羊养殖户30户；年普查鉴定优良陕北白绒山羊1500只，引进良种羊200只。</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饲草饲料种植及加工利用产业。制定出台奖补政策，对全县牧业草地进行改良。开发柠条等非常规饲料种植加工利用技术，以有限的土地资源产出大量的饲草饲料资源，使生态效益与经济效益最大化。鼓励支持广大养殖户加大现有人工种草保留面积的管护，引导羊子养殖场（户）增加紫花苜蓿、青贮玉米、甜高粱等饲用作物种植面积，开展青贮饲料制作，提高秸秆生物产量与质量。推广玉米秸秆微贮、氨化、颗粒饲料全混合饲喂技术，粉碎饲喂技术，提高饲草利用率。计划五年内建成标准化规模化饲草饲料加工企业（场）3个；向标准化规模化养殖场（户）配套饲草饲料加工机具1000台（套）；发放紫花苜蓿、青贮玉米、甜高粱等优质牧草种子25吨；牧草种植面积补贴5000亩。</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（4）规模养殖场粪污资源化利用。五年内将年饲养量达到500只的规模养羊场全部配套粪污资源化利用设施设备，初步完成100个场户建设；建立健全符合当地标准可实施的畜禽粪污资源化利用技术工艺规程。</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羊子屠宰、精深加工、交易市场以及冷链物流建设。建成集屠宰、精细分割、品牌包装的屠宰深加工企业1-2个；建成大型标准化规范化羊子交易市场2个；建成羊肉产品冷链配送中心2个，配备冷链运输车辆及相关设施设备。</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2.牛产业</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扶持靖边县万通奶牛养殖场和靖边县神华奶牛养殖专业合作社，改扩建养殖基础设施，更新仪器设备，对养殖场进行升级改造；在全县扶持新建或改扩建存栏在100头以上规模肉牛养殖场10个，存栏50-99头适度规模肉牛养殖场50个；新建或改扩建存栏在50-99头规模奶牛养殖场2个，20-49头适度规模奶牛养殖场（户）5个。</w:t>
      </w:r>
    </w:p>
    <w:p>
      <w:pPr>
        <w:tabs>
          <w:tab w:val="left" w:pos="3308"/>
        </w:tabs>
        <w:spacing w:line="600" w:lineRule="exact"/>
        <w:ind w:firstLine="616"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3.生猪产业</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恢复生猪生产。扶持靖边县阳晨生态养殖有限公司能繁母猪恢复补栏2500头，种公猪站种公猪补栏200头的恢复生产建设；扶持靖边县兴庆养殖有限公司生猪养殖场扩建；扶持靖边县然博养殖专业合作社猪舍的补建工程建设；扶持新建或改扩建存栏200头能繁母猪规模养猪场20个，存栏100头能繁母猪规模</w:t>
      </w:r>
      <w:r>
        <w:rPr>
          <w:rFonts w:hint="eastAsia" w:ascii="仿宋_GB2312" w:hAnsi="仿宋_GB2312" w:eastAsia="仿宋_GB2312" w:cs="仿宋_GB2312"/>
          <w:spacing w:val="-11"/>
          <w:sz w:val="32"/>
          <w:szCs w:val="32"/>
        </w:rPr>
        <w:t>养猪场50个，存栏能繁母猪在50-99头的适度规模养殖场户100户。</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（2）生猪运输车辆洗消中心建设。扶持宁条梁镇靖边县兴庆养殖有限公司、杨桥畔镇靖边县森茂良种繁育中心、海则滩镇靖边县阳晨生态养殖有限公司建设生猪运输车辆洗消中心3个。</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4.家禽产业。</w:t>
      </w:r>
      <w:r>
        <w:rPr>
          <w:rFonts w:hint="eastAsia" w:ascii="仿宋_GB2312" w:hAnsi="仿宋_GB2312" w:eastAsia="仿宋_GB2312" w:cs="仿宋_GB2312"/>
          <w:sz w:val="32"/>
          <w:szCs w:val="32"/>
        </w:rPr>
        <w:t>扶持新建或改扩建存栏在10000羽以上规模养鸡场20个。</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5.屠宰加工冷链体系建设。</w:t>
      </w:r>
      <w:r>
        <w:rPr>
          <w:rFonts w:hint="eastAsia" w:ascii="仿宋_GB2312" w:hAnsi="仿宋_GB2312" w:eastAsia="仿宋_GB2312" w:cs="仿宋_GB2312"/>
          <w:sz w:val="32"/>
          <w:szCs w:val="32"/>
        </w:rPr>
        <w:t>扶持靖边县双方食品有限公司生猪肉品深加工企业改造升级；扶持靖边县惠民食品有限公司羊肉肉品企业改造升级；建设“靖边羊肉”销售门店2处。</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6.县动物疫病预防控制中心兽医实验室改造升级。</w:t>
      </w:r>
      <w:r>
        <w:rPr>
          <w:rFonts w:hint="eastAsia" w:ascii="仿宋_GB2312" w:hAnsi="仿宋_GB2312" w:eastAsia="仿宋_GB2312" w:cs="仿宋_GB2312"/>
          <w:sz w:val="32"/>
          <w:szCs w:val="32"/>
        </w:rPr>
        <w:t>新建兽医实验室676平方米，新配备柴油版冷藏车，新配备冷藏室18平方米，冷冻室18平方米，新购置实验室检测设备仪器等。</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7.全国畜牧养殖大县改建和扩建镇（街道、场）畜牧兽医站建设。</w:t>
      </w:r>
      <w:r>
        <w:rPr>
          <w:rFonts w:hint="eastAsia" w:ascii="仿宋_GB2312" w:hAnsi="仿宋_GB2312" w:eastAsia="仿宋_GB2312" w:cs="仿宋_GB2312"/>
          <w:sz w:val="32"/>
          <w:szCs w:val="32"/>
        </w:rPr>
        <w:t>配备办公设备、更换门窗、水电暖设施设备；新建办公场所；镇村两级的冷链建设。</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8.病死畜禽无害化处理场、收集点建设。</w:t>
      </w:r>
      <w:r>
        <w:rPr>
          <w:rFonts w:hint="eastAsia" w:ascii="仿宋_GB2312" w:hAnsi="仿宋_GB2312" w:eastAsia="仿宋_GB2312" w:cs="仿宋_GB2312"/>
          <w:sz w:val="32"/>
          <w:szCs w:val="32"/>
        </w:rPr>
        <w:t>在靖边县规模养殖集中区建设病死畜禽无害化处理场一座，处理能力达30吨/次；配备病死畜收集运输车辆12辆，每两个相邻的镇（街道、场）配备1辆；再扩建12个病死动物收集暂存点。</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9.畜牧产业人才队伍建设提升。</w:t>
      </w:r>
      <w:r>
        <w:rPr>
          <w:rFonts w:hint="eastAsia" w:ascii="仿宋_GB2312" w:hAnsi="仿宋_GB2312" w:eastAsia="仿宋_GB2312" w:cs="仿宋_GB2312"/>
          <w:sz w:val="32"/>
          <w:szCs w:val="32"/>
        </w:rPr>
        <w:t>建成畜牧产业领域有国内行业知名专家领衔的专家团队1-2个，打造培育一支高水平第三方畜牧业服务企业2-3个，建设涵盖畜牧业全产业链的百人技术推广服务团队，发展培训组建一支万名农村实用型技术人才大军。制订县、乡两级绒山羊标准化养殖技术规范和培训计划，采取“请进来，送出去”相结合的办法，聘请有关专家、技术人员讲授各方面科技知识，加强对养殖场（户）生产方面的相关技术知识培训力度，每年培训人员不少于1000人次。</w:t>
      </w:r>
    </w:p>
    <w:p>
      <w:pPr>
        <w:tabs>
          <w:tab w:val="left" w:pos="3308"/>
        </w:tabs>
        <w:spacing w:line="600" w:lineRule="exact"/>
        <w:ind w:firstLine="616" w:firstLineChars="200"/>
        <w:rPr>
          <w:rFonts w:ascii="楷体" w:hAnsi="楷体" w:eastAsia="楷体" w:cs="楷体"/>
          <w:b/>
          <w:bCs/>
          <w:sz w:val="32"/>
          <w:szCs w:val="32"/>
        </w:rPr>
      </w:pPr>
      <w:r>
        <w:rPr>
          <w:rFonts w:hint="eastAsia" w:ascii="楷体" w:hAnsi="楷体" w:eastAsia="楷体" w:cs="楷体"/>
          <w:b/>
          <w:bCs/>
          <w:sz w:val="32"/>
          <w:szCs w:val="32"/>
        </w:rPr>
        <w:t>（二）薯产业</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发挥靖边县马铃薯种植优势，加快良种繁育体系建设。北部重点发展夏马铃薯、专用薯，在“早熟”和“专用”上下功夫；中南部重点发展种薯和标准化秋马铃薯，在“精种”和“高产”上下功夫。</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（1）壮大马铃薯种植技术推广体系。</w:t>
      </w:r>
      <w:r>
        <w:rPr>
          <w:rFonts w:hint="eastAsia" w:ascii="仿宋_GB2312" w:hAnsi="仿宋_GB2312" w:eastAsia="仿宋_GB2312" w:cs="仿宋_GB2312"/>
          <w:sz w:val="32"/>
          <w:szCs w:val="32"/>
        </w:rPr>
        <w:t>一是积极引进马铃薯先进栽培技术、繁育技术、推广技术，结合靖边实际，探索出一套适合靖边高产、高效配套栽培技术体系，并大力示范推广，技术推广覆盖率达到100%；二是加强专业技术人才培养，打造一支专业技术人才队伍；三是建设高产示范基地，通过实地看、现场学、灵活用，提高农民理解应用新技术能力；四是组织成立专家服务团队，聘请农业专家深入田间地头指导农业实践，及时解决农民在生产中遇到的难题。</w:t>
      </w:r>
    </w:p>
    <w:p>
      <w:pPr>
        <w:tabs>
          <w:tab w:val="left" w:pos="3308"/>
        </w:tabs>
        <w:spacing w:line="600" w:lineRule="exact"/>
        <w:ind w:firstLine="616" w:firstLineChars="200"/>
        <w:rPr>
          <w:rFonts w:ascii="仿宋_GB2312" w:hAnsi="仿宋_GB2312" w:eastAsia="仿宋_GB2312" w:cs="仿宋_GB2312"/>
          <w:sz w:val="32"/>
          <w:szCs w:val="32"/>
        </w:rPr>
      </w:pPr>
      <w:bookmarkStart w:id="62" w:name="（二）夯实现代农业生产体系"/>
      <w:bookmarkEnd w:id="62"/>
      <w:bookmarkStart w:id="63" w:name="_bookmark30"/>
      <w:bookmarkEnd w:id="63"/>
      <w:r>
        <w:rPr>
          <w:rFonts w:hint="eastAsia" w:ascii="仿宋_GB2312" w:hAnsi="仿宋_GB2312" w:eastAsia="仿宋_GB2312" w:cs="仿宋_GB2312"/>
          <w:b/>
          <w:bCs/>
          <w:sz w:val="32"/>
          <w:szCs w:val="32"/>
        </w:rPr>
        <w:t>（2）健全马铃薯绿色防控体系。</w:t>
      </w:r>
      <w:r>
        <w:rPr>
          <w:rFonts w:hint="eastAsia" w:ascii="仿宋_GB2312" w:hAnsi="仿宋_GB2312" w:eastAsia="仿宋_GB2312" w:cs="仿宋_GB2312"/>
          <w:sz w:val="32"/>
          <w:szCs w:val="32"/>
        </w:rPr>
        <w:t>建设马铃薯病虫害监测点，对发现的马铃薯疫病及时监测、统计和上报。大力推广绿色防控技术，病虫害发生区防控处置率达到95%以上，绿色防控覆盖率达</w:t>
      </w:r>
      <w:r>
        <w:rPr>
          <w:rFonts w:hint="eastAsia" w:ascii="仿宋_GB2312" w:hAnsi="仿宋_GB2312" w:eastAsia="仿宋_GB2312" w:cs="仿宋_GB2312"/>
          <w:spacing w:val="-11"/>
          <w:sz w:val="32"/>
          <w:szCs w:val="32"/>
        </w:rPr>
        <w:t>到45%以上，总体防治效果达到85%以上，全面保障马铃薯安全生产。</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（3）构建马铃薯良种繁供体系。</w:t>
      </w:r>
      <w:r>
        <w:rPr>
          <w:rFonts w:hint="eastAsia" w:ascii="仿宋_GB2312" w:hAnsi="仿宋_GB2312" w:eastAsia="仿宋_GB2312" w:cs="仿宋_GB2312"/>
          <w:sz w:val="32"/>
          <w:szCs w:val="32"/>
        </w:rPr>
        <w:t>加强马铃薯脱毒种薯繁育中心和繁育基地建设，加大原原种、原种补贴力度，大力推广脱毒种薯，良种覆盖率达到85%以上。建立种薯繁供备案制度，加强种薯调运检疫和基地保护。大力发展马铃薯三级脱毒种薯生产，降低生产成本，提高生产效率，提高种薯质量。继续推进马铃薯良种繁供“一亩田”工程，强化种薯监管，形成布局合理、层级协调、功能健全的种薯繁育体系。</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（4）推进标准化马铃薯生产基地建设。</w:t>
      </w:r>
      <w:r>
        <w:rPr>
          <w:rFonts w:hint="eastAsia" w:ascii="仿宋_GB2312" w:hAnsi="仿宋_GB2312" w:eastAsia="仿宋_GB2312" w:cs="仿宋_GB2312"/>
          <w:sz w:val="32"/>
          <w:szCs w:val="32"/>
        </w:rPr>
        <w:t>建立健全马铃薯良种繁育体系和繁育基地，建设马铃薯千亩微型薯、万亩原种薯、十万亩一级薯繁育基地。利用高标准农田建设、旱作农业示范区等项目建设资金,以粮食生产功能区和重要农产品生产保护区为重点,大力推进标准化建设。旱地重点扶持农民专业合作社和小型家庭农场开展适度规模生产,大力推广脱毒种薯、地膜覆盖、集雨补灌等旱作节水技术,每年建设马铃薯旱作节水示范基地10万亩。水浇地重点支持龙头企业、种植大户开展标准化规模化马铃薯生产,大力推广水肥一体化、病虫害综合防控等高产高效技术,建设马铃薯绿色高质高效示范基地2万亩。推行“企业（合作社）+基地+农户”的订单繁育模式 ，把靖边县建设成为全市最大的脱毒原原种、原种供应生产基地，力争2025年原种扩繁面积达到1万亩，一级种薯扩繁面积稳定在0.8万亩。重点支持企业与农户建立利益联结机制,发展订单生产,鼓励托底收购。积极扶持马铃薯产销专业服务组织和龙头企业，形成马铃薯产供销良性循环产业链。加强区域规模化高效节水农业示范基地建设，积极推广地膜覆盖、滴灌水肥一体化、集雨补灌、抗旱抗逆等节水农业集成技术和机械化生产技术，严格控制农业用水总量，促进节约高效用水。落实好农机购置补贴政策，培育壮大农机大户、农机作业公司，促进农机农艺融合，加大新机具、新技术引进示范推广，提高马铃薯全程机械化作业水平。</w:t>
      </w:r>
      <w:bookmarkStart w:id="64" w:name="_bookmark34"/>
      <w:bookmarkEnd w:id="64"/>
      <w:bookmarkStart w:id="65" w:name="（三）健全现代农业经营体系"/>
      <w:bookmarkEnd w:id="65"/>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（5）发展壮大加工主体。</w:t>
      </w:r>
      <w:r>
        <w:rPr>
          <w:rFonts w:hint="eastAsia" w:ascii="仿宋_GB2312" w:hAnsi="仿宋_GB2312" w:eastAsia="仿宋_GB2312" w:cs="仿宋_GB2312"/>
          <w:sz w:val="32"/>
          <w:szCs w:val="32"/>
        </w:rPr>
        <w:t>围绕生产型和服务型，加快打造一支充满活力、富有效率的新型农业经营主体队伍。大力发展家庭农场，推动家庭化的规模经营扩容增量。通过招商引资，积极引进大型知名马铃薯深加工企业，鼓励地方中小型加工企业兼并重组，提档升级，重点支持加工龙头企业、合作社、家庭农场等开展全粉、变性淀粉薯条等高附加值产品加工。</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（6）延长马铃薯产业链。</w:t>
      </w:r>
      <w:r>
        <w:rPr>
          <w:rFonts w:hint="eastAsia" w:ascii="仿宋_GB2312" w:hAnsi="仿宋_GB2312" w:eastAsia="仿宋_GB2312" w:cs="仿宋_GB2312"/>
          <w:sz w:val="32"/>
          <w:szCs w:val="32"/>
        </w:rPr>
        <w:t>加强与科研单位、高等院校等的合作，加大科研开发力度，支持加工企业深入开发马铃薯主食产品、配方产品、营养配餐等，延长马铃薯产业链，打造适合不同区域不同人群的马铃薯特色产品与文化，拓展马铃薯产业发展空间，实现产业效益最大化。</w:t>
      </w:r>
    </w:p>
    <w:p>
      <w:pPr>
        <w:tabs>
          <w:tab w:val="left" w:pos="3308"/>
        </w:tabs>
        <w:spacing w:line="600" w:lineRule="exact"/>
        <w:ind w:firstLine="592" w:firstLineChars="200"/>
        <w:rPr>
          <w:rFonts w:ascii="仿宋_GB2312" w:hAnsi="仿宋_GB2312" w:eastAsia="仿宋_GB2312" w:cs="仿宋_GB2312"/>
          <w:sz w:val="32"/>
          <w:szCs w:val="32"/>
        </w:rPr>
      </w:pPr>
      <w:r>
        <w:rPr>
          <w:rFonts w:hint="eastAsia" w:ascii="仿宋_GB2312" w:hAnsi="仿宋_GB2312" w:eastAsia="仿宋_GB2312" w:cs="仿宋_GB2312"/>
          <w:b/>
          <w:bCs/>
          <w:spacing w:val="-6"/>
          <w:sz w:val="32"/>
          <w:szCs w:val="32"/>
        </w:rPr>
        <w:t>（7）打造马铃薯特色品牌。</w:t>
      </w:r>
      <w:r>
        <w:rPr>
          <w:rFonts w:hint="eastAsia" w:ascii="仿宋_GB2312" w:hAnsi="仿宋_GB2312" w:eastAsia="仿宋_GB2312" w:cs="仿宋_GB2312"/>
          <w:spacing w:val="-6"/>
          <w:sz w:val="32"/>
          <w:szCs w:val="32"/>
        </w:rPr>
        <w:t>充分利用展销会、洽谈会、推介会等展示平台,发挥新闻融媒体的广告宣传作用,全力打造靖边马铃薯品牌，提升靖边县马铃薯产品的知名度。按照绿色发展理念，树立品牌引领意识，引导种薯企业加快注册种薯商标，打造“沙漠绿色土豆”区域公共品牌，加快形成“沙漠绿色土豆”品牌体系</w:t>
      </w:r>
      <w:r>
        <w:rPr>
          <w:rFonts w:hint="eastAsia" w:ascii="仿宋_GB2312" w:hAnsi="仿宋_GB2312" w:eastAsia="仿宋_GB2312" w:cs="仿宋_GB2312"/>
          <w:sz w:val="32"/>
          <w:szCs w:val="32"/>
        </w:rPr>
        <w:t>。</w:t>
      </w:r>
    </w:p>
    <w:p>
      <w:pPr>
        <w:tabs>
          <w:tab w:val="left" w:pos="3308"/>
        </w:tabs>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（8）加强营销设施建设。</w:t>
      </w:r>
      <w:r>
        <w:rPr>
          <w:rFonts w:hint="eastAsia" w:ascii="仿宋_GB2312" w:hAnsi="仿宋_GB2312" w:eastAsia="仿宋_GB2312" w:cs="仿宋_GB2312"/>
          <w:sz w:val="32"/>
          <w:szCs w:val="32"/>
        </w:rPr>
        <w:t>依托乡村振兴衔接补助资金项目等，建设适度规模的贮藏冷库，延长鲜薯销售期。建设完善的区域性生产地批发市场，促进鲜薯的市场流通。到2025年全县马铃薯鲜薯贮藏能力达到万30万吨，贮藏损耗率减少5%以上。</w:t>
      </w:r>
    </w:p>
    <w:p>
      <w:pPr>
        <w:pStyle w:val="2"/>
      </w:pPr>
    </w:p>
    <w:tbl>
      <w:tblPr>
        <w:tblStyle w:val="20"/>
        <w:tblW w:w="857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8578" w:type="dxa"/>
          </w:tcPr>
          <w:p>
            <w:pPr>
              <w:pStyle w:val="2"/>
              <w:spacing w:line="0" w:lineRule="atLeast"/>
              <w:jc w:val="center"/>
            </w:pPr>
          </w:p>
          <w:p>
            <w:pPr>
              <w:pStyle w:val="2"/>
              <w:spacing w:line="0" w:lineRule="atLeast"/>
              <w:jc w:val="center"/>
            </w:pPr>
            <w:r>
              <w:rPr>
                <w:rFonts w:hint="eastAsia" w:ascii="黑体" w:hAnsi="黑体" w:eastAsia="黑体" w:cs="黑体"/>
                <w:sz w:val="28"/>
                <w:szCs w:val="28"/>
              </w:rPr>
              <w:t>专栏4 靖边县马铃薯产业布局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1" w:hRule="atLeast"/>
        </w:trPr>
        <w:tc>
          <w:tcPr>
            <w:tcW w:w="8578" w:type="dxa"/>
          </w:tcPr>
          <w:p>
            <w:pPr>
              <w:tabs>
                <w:tab w:val="left" w:pos="3308"/>
              </w:tabs>
              <w:spacing w:line="500" w:lineRule="exact"/>
              <w:ind w:firstLine="536"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1.北部风沙滩水区：</w:t>
            </w:r>
            <w:r>
              <w:rPr>
                <w:rFonts w:hint="eastAsia" w:ascii="仿宋_GB2312" w:hAnsi="仿宋_GB2312" w:eastAsia="仿宋_GB2312" w:cs="仿宋_GB2312"/>
                <w:sz w:val="28"/>
                <w:szCs w:val="28"/>
              </w:rPr>
              <w:t>以宁条梁、东坑、张家畔、杨桥畔、红墩界、黄蒿界、海则滩、镇靖等镇为重点，推广节水灌溉、水肥一体化和绿色防控技术以及优良品种，重点发展优质菜用薯，兼顾专用加工薯，建立马铃薯商品薯生产基地，到2025年马铃薯种薯繁育基地发展到1万亩，马铃薯标准化生产示范基地种植面积达到7万亩。</w:t>
            </w:r>
          </w:p>
          <w:p>
            <w:pPr>
              <w:tabs>
                <w:tab w:val="left" w:pos="3308"/>
              </w:tabs>
              <w:spacing w:line="500" w:lineRule="exact"/>
              <w:ind w:firstLine="536"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2.中部梁峁涧地区：</w:t>
            </w:r>
            <w:r>
              <w:rPr>
                <w:rFonts w:hint="eastAsia" w:ascii="仿宋_GB2312" w:hAnsi="仿宋_GB2312" w:eastAsia="仿宋_GB2312" w:cs="仿宋_GB2312"/>
                <w:sz w:val="28"/>
                <w:szCs w:val="28"/>
              </w:rPr>
              <w:t>以席麻湾、王渠则、中山涧、杨米涧等镇为重点，重点推广节水灌溉技术以及优良品种，重点发展鲜食薯，在规模化、标准化、品牌化、生态化、市场化上寻求突破，到2025年马铃薯标准化生产示范基地建设种植面积达到3万亩。</w:t>
            </w:r>
          </w:p>
          <w:p>
            <w:pPr>
              <w:tabs>
                <w:tab w:val="left" w:pos="3308"/>
              </w:tabs>
              <w:spacing w:line="500" w:lineRule="exact"/>
              <w:ind w:firstLine="536"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3.南部丘陵沟壑区：</w:t>
            </w:r>
            <w:r>
              <w:rPr>
                <w:rFonts w:hint="eastAsia" w:ascii="仿宋_GB2312" w:hAnsi="仿宋_GB2312" w:eastAsia="仿宋_GB2312" w:cs="仿宋_GB2312"/>
                <w:sz w:val="28"/>
                <w:szCs w:val="28"/>
              </w:rPr>
              <w:t>以青阳岔、龙洲、小河、天赐湾、五里湾、大路沟、周河、新城等镇（便民服务中心）为重点，重点推广旱作集雨技术以及优良品种，重点发展优质菜用薯，兼顾淀粉薯，到2025年马铃薯膜侧栽培种植面积发展到2万亩。</w:t>
            </w:r>
          </w:p>
        </w:tc>
      </w:tr>
    </w:tbl>
    <w:p>
      <w:pPr>
        <w:tabs>
          <w:tab w:val="left" w:pos="3308"/>
        </w:tabs>
        <w:ind w:firstLine="616" w:firstLineChars="200"/>
        <w:rPr>
          <w:rFonts w:ascii="楷体" w:hAnsi="楷体" w:eastAsia="楷体" w:cs="楷体"/>
          <w:b/>
          <w:bCs/>
          <w:sz w:val="32"/>
          <w:szCs w:val="32"/>
        </w:rPr>
      </w:pPr>
      <w:r>
        <w:rPr>
          <w:rFonts w:hint="eastAsia" w:ascii="楷体" w:hAnsi="楷体" w:eastAsia="楷体" w:cs="楷体"/>
          <w:b/>
          <w:bCs/>
          <w:sz w:val="32"/>
          <w:szCs w:val="32"/>
        </w:rPr>
        <w:t>（三）蔬菜产业</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推广节水灌溉措施，调选节水品种，重点在东坑、宁条梁、杨桥畔、红墩界等蔬菜集中种植地区，发展日光温室育苗、塑料拱棚设施蔬菜和大田蔬菜，让蔬菜成为农民增收的重要增长点。到2025年各类瓜菜种植面积达16万亩，其中设施蔬菜4.8万亩，露地面积11.2万亩。实现以辣椒和胡萝卜为代表的高山冷凉蔬菜主产区亩均收入可达7200元以上。累计引进推广蔬菜新技术12项，蔬菜良种覆盖率达到 90%以上，提质增效技术覆盖率达到70%，其中秸秆生物反应堆技术示范8000亩，精准水肥一体化技术示范3.3万亩，极大的改善了蔬菜栽培土壤，提高了水肥的利用率。提质增效技术推广普及率达85%以上，机械化装备水平达50%以上；全县蔬菜产品农残监测平均合格率达到98%以上，60%蔬菜产品实现质量安全可追溯，蔬菜商品化处理率达到50%；建立覆盖城乡、布局合理、竞争有序、损耗较低的现代蔬菜流通体系；加快无公害、绿色农产品和地理标志认证，打造“靖原康”公用品牌，做精做靓“靖边胡萝卜”“靖边辣椒”“靖边西甜瓜”等区域品牌,全面提升蔬菜产业整体效益，产值达到15亿元以上，全县农民人均蔬菜纯收入1700元以上。</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（1）高标准蔬菜生产基地建设。</w:t>
      </w:r>
      <w:r>
        <w:rPr>
          <w:rFonts w:hint="eastAsia" w:ascii="仿宋_GB2312" w:hAnsi="仿宋_GB2312" w:eastAsia="仿宋_GB2312" w:cs="仿宋_GB2312"/>
          <w:sz w:val="32"/>
          <w:szCs w:val="32"/>
        </w:rPr>
        <w:t>一是鼓励各地继续扩大高标准规模化蔬菜生产设施建设。以现有基地为基础，日光温室坚持科学规划、科学设计、统一标准、严格施工，推广应用全钢架结构，全部达到现代化日光温室建造标准，拱棚采用全钢架结构。二是选择基础条件好、设施建造标准高、生产技术先进的基地，打造高标准永久性蔬菜生产基地。配套卷帘机、保温被、温室环境自动控制等设施设备，配套滴灌、绿色防控等物化技术。三是开展有机肥替代化肥行动，在设施蔬菜集中产区推广“有机肥+配方肥”“菜—沼—畜”“有机肥+水肥一体化”“秸秆生物反应堆”4种技术模式。</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（2）蔬菜重大技术示范推广。</w:t>
      </w:r>
      <w:r>
        <w:rPr>
          <w:rFonts w:hint="eastAsia" w:ascii="仿宋_GB2312" w:hAnsi="仿宋_GB2312" w:eastAsia="仿宋_GB2312" w:cs="仿宋_GB2312"/>
          <w:sz w:val="32"/>
          <w:szCs w:val="32"/>
        </w:rPr>
        <w:t>重点示范推广优良品种和一批轻简增效、农药化肥双减技术，加快推广秸秆生物反应堆、滴灌水肥一体化等现代农业技术。以茄果类、瓜类、叶类蔬菜为主，研究不同蔬菜作物的养分需求特性和病虫草害发生规律、科学施肥和施药技术，筛选高效肥料、农药新产品以及蔬菜全程施肥施药新装备和水肥药一体化设备，重点推广沼渣沼液、生物有机肥、专用肥、水溶性肥料和生物农药等，集成创新化肥农药减施技术。每年推广滴灌水肥一体化技术5000亩以上，推广精准水肥一体化设备20套、建设20个水肥一体化示范基地。</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（3）集约化育苗中心建设。</w:t>
      </w:r>
      <w:r>
        <w:rPr>
          <w:rFonts w:hint="eastAsia" w:ascii="仿宋_GB2312" w:hAnsi="仿宋_GB2312" w:eastAsia="仿宋_GB2312" w:cs="仿宋_GB2312"/>
          <w:sz w:val="32"/>
          <w:szCs w:val="32"/>
        </w:rPr>
        <w:t>在蔬菜生产优势镇（街道、场），建设大型蔬菜集约化育苗中心，每个育苗中心占地面积100亩以上，年育苗能力达1000万株以上。育苗设施以日光温室为主，智能温室为辅，适度发展现代连栋温室，完善水电路等基础设施；配套增温保温、通风换气、遮阳降温、育苗床架、喷灌、催芽室、播种机、种苗运输等设施设备和培训、检测室；建成集育苗、新品种展示、新技术培训为一体的高标准综合育苗中心。每年建设1个，到2025年共建设5个。</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（4）设施农业物联网技术研发推广。</w:t>
      </w:r>
      <w:r>
        <w:rPr>
          <w:rFonts w:hint="eastAsia" w:ascii="仿宋_GB2312" w:hAnsi="仿宋_GB2312" w:eastAsia="仿宋_GB2312" w:cs="仿宋_GB2312"/>
          <w:sz w:val="32"/>
          <w:szCs w:val="32"/>
        </w:rPr>
        <w:t>每年建设2个农业物联网示范基地，每个基地面积100亩以上，配置温室环境自动采集和控制、外部环境监控、产品质量安全追溯装备。在基地（或园区）建设中心控制室，装配各类蔬菜种植管理软件，汇集、分析、储存环境监测数据；实时发布生产指令信息，自动控制设备运行；实时发布信息到手机、电脑及管理者，及时掌控信息；全方位展示园区实时现况；实现对温室内温度、湿度、光照、二氧化碳浓度等环境因子精确管理，智能化灌溉，自动化控制。</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（5）冷链体系建设。</w:t>
      </w:r>
      <w:r>
        <w:rPr>
          <w:rFonts w:hint="eastAsia" w:ascii="仿宋_GB2312" w:hAnsi="仿宋_GB2312" w:eastAsia="仿宋_GB2312" w:cs="仿宋_GB2312"/>
          <w:sz w:val="32"/>
          <w:szCs w:val="32"/>
        </w:rPr>
        <w:t>鼓励生产基地、大型农产品批发市场、连锁超市、蔬菜流通企业购置预冷、低温分拣加工、冷藏保鲜、冷藏运输等冷链设施设备，加大制冰、冷库等冷链物流基础设施建设力度，培育具有一定规模的专业化蔬菜冷链物流服务企业。“十四五”期间，每年建设占地面积1000平方米以上、分拣加工车间200 平方米以上，贮藏保鲜库容300立方米，储藏能力达到100吨/次的采后处理示范中心6个。</w:t>
      </w:r>
    </w:p>
    <w:p>
      <w:pPr>
        <w:tabs>
          <w:tab w:val="left" w:pos="3308"/>
        </w:tabs>
        <w:ind w:firstLine="616" w:firstLineChars="200"/>
        <w:rPr>
          <w:rFonts w:ascii="楷体" w:hAnsi="楷体" w:eastAsia="楷体" w:cs="楷体"/>
          <w:b/>
          <w:bCs/>
          <w:sz w:val="32"/>
          <w:szCs w:val="32"/>
        </w:rPr>
      </w:pPr>
      <w:r>
        <w:rPr>
          <w:rFonts w:hint="eastAsia" w:ascii="楷体" w:hAnsi="楷体" w:eastAsia="楷体" w:cs="楷体"/>
          <w:b/>
          <w:bCs/>
          <w:sz w:val="32"/>
          <w:szCs w:val="32"/>
        </w:rPr>
        <w:t>（四）林果、小杂粮、中药材、水产业</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靖边县是发展林果产业优生区，有条件地区重点发展山地苹果、核桃、文冠果等林果业和林下经济，积极试验推广种植樱桃、小白杏、山楂等新型经济林。小杂粮以荞麦、谷子、豆类为主，中药材以甘草、黄芪等为主。水面上重点发展小龙虾、大闸蟹等特色水产养殖。到2025年，将靖边县建成具有“果品优、果农富、生态美”明显特征的“陕西省优质山地苹果基地示范县”和“陕西省生态苹果输出县”。</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（1）老果园改造。</w:t>
      </w:r>
      <w:r>
        <w:rPr>
          <w:rFonts w:hint="eastAsia" w:ascii="仿宋_GB2312" w:hAnsi="仿宋_GB2312" w:eastAsia="仿宋_GB2312" w:cs="仿宋_GB2312"/>
          <w:sz w:val="32"/>
          <w:szCs w:val="32"/>
        </w:rPr>
        <w:t>放弃分布比较偏远、零星的老果园，主要改造规模较大，集中连片的镇靖、龙洲、东坑、宁条梁等镇的老果园5.5万亩。对衰老、残败且丧失效益价值的老果园彻底挖改，确保果园常优常新，主要实施果园密度调整、品种调整、树形改造、多元免耕覆盖（果园生草和有机物覆盖等）、水肥一体化设施、病虫害防治、防灾减灾装备等改造项目。</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（2）示范基地建设。</w:t>
      </w:r>
      <w:r>
        <w:rPr>
          <w:rFonts w:hint="eastAsia" w:ascii="仿宋_GB2312" w:hAnsi="仿宋_GB2312" w:eastAsia="仿宋_GB2312" w:cs="仿宋_GB2312"/>
          <w:sz w:val="32"/>
          <w:szCs w:val="32"/>
        </w:rPr>
        <w:t>加强镇级苹果核心示范基地的建设，制定出台相关政策，对100亩以上规模的示范基地在苗木、建材给予配套补贴。充分发挥山地苹果的生态优势，示范基地建设以绿色果品为主，适度发展有机果品，无公害、绿色和有机的比例为1：4：2。在中山涧、王渠则、杨米涧、天赐湾、龙洲、青阳岔、周河共7个镇，建设绿色苹果示范基地1.2万亩，有机苹果生产示范基地0.6万亩。</w:t>
      </w:r>
    </w:p>
    <w:p>
      <w:pPr>
        <w:pStyle w:val="23"/>
        <w:widowControl w:val="0"/>
        <w:spacing w:after="0" w:line="240" w:lineRule="auto"/>
      </w:pPr>
    </w:p>
    <w:tbl>
      <w:tblPr>
        <w:tblStyle w:val="2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240" w:type="dxa"/>
            <w:vAlign w:val="center"/>
          </w:tcPr>
          <w:p>
            <w:pPr>
              <w:pStyle w:val="23"/>
              <w:widowControl w:val="0"/>
              <w:spacing w:after="0" w:line="240" w:lineRule="auto"/>
              <w:jc w:val="center"/>
            </w:pPr>
            <w:r>
              <w:rPr>
                <w:rFonts w:hint="eastAsia" w:ascii="黑体" w:hAnsi="黑体" w:eastAsia="黑体" w:cs="黑体"/>
                <w:sz w:val="24"/>
              </w:rPr>
              <w:t>专栏5    靖边县山地苹果产业标准化生产园建设项目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9240" w:type="dxa"/>
            <w:vAlign w:val="center"/>
          </w:tcPr>
          <w:p>
            <w:pPr>
              <w:tabs>
                <w:tab w:val="left" w:pos="3308"/>
              </w:tabs>
              <w:spacing w:line="400" w:lineRule="exact"/>
              <w:ind w:firstLine="456" w:firstLineChars="200"/>
              <w:rPr>
                <w:rFonts w:ascii="仿宋_GB2312" w:hAnsi="仿宋_GB2312" w:eastAsia="仿宋_GB2312" w:cs="仿宋_GB2312"/>
                <w:sz w:val="24"/>
              </w:rPr>
            </w:pPr>
            <w:r>
              <w:rPr>
                <w:rFonts w:hint="eastAsia" w:ascii="仿宋_GB2312" w:hAnsi="仿宋_GB2312" w:eastAsia="仿宋_GB2312" w:cs="仿宋_GB2312"/>
                <w:b/>
                <w:bCs/>
                <w:sz w:val="24"/>
              </w:rPr>
              <w:t>1.北部早中熟苹果产业带：</w:t>
            </w:r>
            <w:r>
              <w:rPr>
                <w:rFonts w:hint="eastAsia" w:ascii="仿宋_GB2312" w:hAnsi="仿宋_GB2312" w:eastAsia="仿宋_GB2312" w:cs="仿宋_GB2312"/>
                <w:sz w:val="24"/>
              </w:rPr>
              <w:t>以海则滩镇为中心的“北部早中熟苹果产业带”，辐射带动红墩界、黄蒿界、张家畔、杨桥畔、宁条梁、东坑等镇。其中早熟品种1万亩，重点发展鲁丽、华硕、锦秀红、藤牧1号、秦阳等；中熟品种2万亩，主推玉华早富、蜜脆、红盖露、烟富优系、嘎啦优系等，早中熟苹果总面积3万亩，其中标准化果园面积为2.4万亩。</w:t>
            </w:r>
          </w:p>
          <w:p>
            <w:pPr>
              <w:tabs>
                <w:tab w:val="left" w:pos="3308"/>
              </w:tabs>
              <w:spacing w:line="400" w:lineRule="exact"/>
              <w:ind w:firstLine="456" w:firstLineChars="200"/>
            </w:pPr>
            <w:r>
              <w:rPr>
                <w:rFonts w:hint="eastAsia" w:ascii="仿宋_GB2312" w:hAnsi="仿宋_GB2312" w:eastAsia="仿宋_GB2312" w:cs="仿宋_GB2312"/>
                <w:b/>
                <w:bCs/>
                <w:sz w:val="24"/>
              </w:rPr>
              <w:t>2.东南部中晚熟苹果产业带：</w:t>
            </w:r>
            <w:r>
              <w:rPr>
                <w:rFonts w:hint="eastAsia" w:ascii="仿宋_GB2312" w:hAnsi="仿宋_GB2312" w:eastAsia="仿宋_GB2312" w:cs="仿宋_GB2312"/>
                <w:sz w:val="24"/>
              </w:rPr>
              <w:t>以中山涧、杨米涧、王渠则、天赐湾等镇为中轴线的“东南部中晚熟苹果产业带”，辐射带动青阳岔、小河、高家沟、龙洲、大路沟、镇靖、席麻湾、周河等镇及便民服务中心。中晚熟主推烟富8、烟富10、维纳斯黄金、土堤、瑞雪、瑞香红、爱妃、礼泉短富、粉红女士、中秋王等，晚熟品种除富士优系（礼泉短富、烟富6号）外，主推粉红女士、华红、英伟等，中晚熟苹果总面积12万亩，其中标准化果园面积为9.6万亩。</w:t>
            </w:r>
          </w:p>
        </w:tc>
      </w:tr>
    </w:tbl>
    <w:p>
      <w:pPr>
        <w:tabs>
          <w:tab w:val="left" w:pos="3308"/>
        </w:tabs>
        <w:ind w:firstLine="616" w:firstLineChars="200"/>
        <w:rPr>
          <w:rFonts w:ascii="楷体" w:hAnsi="楷体" w:eastAsia="楷体" w:cs="楷体"/>
          <w:b/>
          <w:bCs/>
          <w:sz w:val="32"/>
          <w:szCs w:val="32"/>
        </w:rPr>
      </w:pPr>
      <w:r>
        <w:rPr>
          <w:rFonts w:hint="eastAsia" w:ascii="楷体" w:hAnsi="楷体" w:eastAsia="楷体" w:cs="楷体"/>
          <w:b/>
          <w:bCs/>
          <w:sz w:val="32"/>
          <w:szCs w:val="32"/>
        </w:rPr>
        <w:t>（五）一镇一园</w:t>
      </w:r>
    </w:p>
    <w:p>
      <w:pPr>
        <w:tabs>
          <w:tab w:val="left" w:pos="3308"/>
        </w:tabs>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一镇一园”建设实现产业板块化布局，形成一批主导产业突出、区域特色优势明显、市场前景好、组织化程度高、农民增收效果显著的专业村镇，促进地方特色产业由资源变产品、产品变商品、商品变名品，带动产业开发、产业发展。重点扶持10个镇村发展特色产业，建设26个联村共建示范项目，优化“一镇（村）一品”结构，重点建设千亩（头、只）特色种养产业、一、二、三产业融合、仓储物流、田园综合体等项目，搭载（带动、扶持）低收入产业户增收，到2025年形成26个特色农业专业镇（街），实现镇（街道、场）全覆盖。</w:t>
      </w:r>
    </w:p>
    <w:p>
      <w:pPr>
        <w:pStyle w:val="2"/>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1" w:type="dxa"/>
          </w:tcPr>
          <w:p>
            <w:pPr>
              <w:tabs>
                <w:tab w:val="left" w:pos="3308"/>
              </w:tabs>
              <w:jc w:val="center"/>
              <w:rPr>
                <w:rFonts w:ascii="仿宋_GB2312" w:hAnsi="仿宋_GB2312" w:eastAsia="仿宋_GB2312" w:cs="仿宋_GB2312"/>
                <w:b/>
                <w:bCs/>
                <w:sz w:val="32"/>
                <w:szCs w:val="32"/>
              </w:rPr>
            </w:pPr>
            <w:r>
              <w:rPr>
                <w:rFonts w:hint="eastAsia" w:ascii="黑体" w:hAnsi="黑体" w:eastAsia="黑体" w:cs="黑体"/>
                <w:sz w:val="28"/>
                <w:szCs w:val="28"/>
              </w:rPr>
              <w:t>专栏6  靖边县“一镇一园”特色产业项目布局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tcPr>
          <w:p>
            <w:pPr>
              <w:tabs>
                <w:tab w:val="left" w:pos="3308"/>
              </w:tabs>
              <w:ind w:firstLine="528" w:firstLineChars="19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(2022年实施项目）:镇靖镇四季果蔬现代农业产业园、东坑镇现代农业融合产业园、席麻湾镇肉牛养殖产业示范园、三岔渠旱作农业产业园、中山涧镇肉牛养殖产业示范园、新城湖羊养殖产业园、周河镇千亩核桃产业园、红墩界镇杜波肉羊养殖产业园、龙洲镇农旅融合小米产业园、青阳岔镇特色鲜桃种植产业园等10个镇特色产业项目。</w:t>
            </w:r>
          </w:p>
          <w:p>
            <w:pPr>
              <w:tabs>
                <w:tab w:val="left" w:pos="3308"/>
              </w:tabs>
              <w:ind w:firstLine="528" w:firstLineChars="19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(2023年实施项目）：宁条梁镇农产品加工产业园、王渠则镇高山冷凉蔬菜产业园、黄蒿界镇陕北特细白绒山羊养殖产业园、海则滩镇生猪养殖产业园、杨桥畔镇农产品商贸物流产业园、天赐湾镇羊绒加工产业园、小河镇农旅融合产业园、杨米涧镇文冠果产业园等8个镇特色产业项目。</w:t>
            </w:r>
          </w:p>
          <w:p>
            <w:pPr>
              <w:tabs>
                <w:tab w:val="left" w:pos="3308"/>
              </w:tabs>
              <w:ind w:firstLine="528" w:firstLineChars="197"/>
            </w:pPr>
            <w:r>
              <w:rPr>
                <w:rFonts w:hint="eastAsia" w:ascii="仿宋_GB2312" w:hAnsi="仿宋_GB2312" w:eastAsia="仿宋_GB2312" w:cs="仿宋_GB2312"/>
                <w:sz w:val="28"/>
                <w:szCs w:val="28"/>
              </w:rPr>
              <w:t>C(2024年实施项目）：主要实施张家畔街道、新桥农场和8个便民服务中心小杂粮种植等项目。</w:t>
            </w:r>
          </w:p>
        </w:tc>
      </w:tr>
    </w:tbl>
    <w:p>
      <w:pPr>
        <w:tabs>
          <w:tab w:val="left" w:pos="3308"/>
        </w:tabs>
        <w:ind w:firstLine="616" w:firstLineChars="200"/>
        <w:rPr>
          <w:rFonts w:ascii="楷体" w:hAnsi="楷体" w:eastAsia="楷体" w:cs="楷体"/>
          <w:b/>
          <w:bCs/>
          <w:sz w:val="32"/>
          <w:szCs w:val="32"/>
        </w:rPr>
      </w:pPr>
      <w:r>
        <w:rPr>
          <w:rFonts w:hint="eastAsia" w:ascii="楷体" w:hAnsi="楷体" w:eastAsia="楷体" w:cs="楷体"/>
          <w:b/>
          <w:bCs/>
          <w:sz w:val="32"/>
          <w:szCs w:val="32"/>
        </w:rPr>
        <w:t>（六）“三变”改革</w:t>
      </w:r>
    </w:p>
    <w:p>
      <w:pPr>
        <w:spacing w:line="360" w:lineRule="auto"/>
        <w:ind w:firstLine="616"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继续深化农村土地改革，推进土地集中流转，推广靖边马季沟模式，促进小块田变大块田，推动多种形式适度规模经营，提高土地产出率和劳动生产率。一是持续壮大村集体经济，消除空壳村，提升薄弱村，壮大一般村，做强富裕村。尝试壮大镇集体经济。二是积极培育家庭农场、种养大户、农民合作社等新型农业经营主体，把农民和人才镶嵌在产业链上。三是盘活闲置资产，清产核资，股权量化，占股分红，推动股权交易。</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三、促进良种良法推广运用</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推广新品种。</w:t>
      </w:r>
      <w:r>
        <w:rPr>
          <w:rFonts w:hint="eastAsia" w:ascii="仿宋_GB2312" w:hAnsi="仿宋_GB2312" w:eastAsia="仿宋_GB2312" w:cs="仿宋_GB2312"/>
          <w:sz w:val="32"/>
          <w:szCs w:val="32"/>
        </w:rPr>
        <w:t>以市场为导向，积极试验示范种植适销对路、产量高、品质好的新品种。积极推广冀张、V7等马铃薯新品种和红金川胡萝卜等蔬菜新品种及西农9976、晋谷21等小杂粮新品种，积极试验示范种植生姜、花椒等。</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推广新技术。</w:t>
      </w:r>
      <w:r>
        <w:rPr>
          <w:rFonts w:hint="eastAsia" w:ascii="仿宋_GB2312" w:hAnsi="仿宋_GB2312" w:eastAsia="仿宋_GB2312" w:cs="仿宋_GB2312"/>
          <w:sz w:val="32"/>
          <w:szCs w:val="32"/>
        </w:rPr>
        <w:t>加大与农业专业院校合作，促进涉农科技的转化和运用。积极推广测土配方高效施肥和单项渗水地膜等农业技术，加大玉米增密度种植、全膜双垄沟播，马铃薯水肥一体化、膜侧栽培和蔬菜膜下滴灌技术运用。</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推广新方式。</w:t>
      </w:r>
      <w:r>
        <w:rPr>
          <w:rFonts w:hint="eastAsia" w:ascii="仿宋_GB2312" w:hAnsi="仿宋_GB2312" w:eastAsia="仿宋_GB2312" w:cs="仿宋_GB2312"/>
          <w:sz w:val="32"/>
          <w:szCs w:val="32"/>
        </w:rPr>
        <w:t>加大耕地资源保护和农田残膜回收，推广高效低毒低残留农药兽药、高效植保机械和可降解地膜使用，推进畜禽养殖废弃物综合利用，有效减少农业面源污染。</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四、加快培育新型农业经营主体</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培养和发展种（养）植大户、职业农民，积极扶持家庭农场，加大合作社清理整顿促进规范化发展。支持龙头企业，鼓励组建以龙头企业为引领、家庭农场为基础、农民合作社为纽带的农业产业化联合体，促进新型经营主体与农户之间的有效融合发展。借鉴榆阳、横山等地经验，研究出台土地流转政策，按亩给予补贴或配套项目，加快土地流转进度。通过租种代种、以地入股、托管服务等多种流转形式，发展适度规模经营，逐步解决土地撂荒和谁来种地问题，促进农户由分散种植向规模化种植、标准化生产转变，实现土地高效集约节约利用，加快规模化、机械化和标准化的现代农业建设步伐。  </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五、发挥农业园区示范带动作用</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理顺体制机制，充实人员力量，积极化解不良债务，加大园区僵尸企业的清理整治和现有闲置资源的盘活运营。充分挖掘园区智能化育苗、马铃薯种薯繁育等优势资源，将园区建设为种苗繁育基地，促进农业生产良种化。立足园区土地、区位等资源优势，发挥要素聚集、平台孵化作用，积极引进优质涉农企业，加快农产品加工储藏、冷链物流、包装销售等产业集群化发展，将园区建设成为辐射定靖、榆横、延安、内蒙等区域农产品交易集散中心，充分发挥园区示范带动作用。</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六、市场化引领农业高效发展</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1.提升品质品牌。</w:t>
      </w:r>
      <w:r>
        <w:rPr>
          <w:rFonts w:hint="eastAsia" w:ascii="仿宋_GB2312" w:hAnsi="仿宋_GB2312" w:eastAsia="仿宋_GB2312" w:cs="仿宋_GB2312"/>
          <w:sz w:val="32"/>
          <w:szCs w:val="32"/>
        </w:rPr>
        <w:t>建立农药残留监测系统和农产品可追溯体系，农产品质量不达标坚决不能进入市场流通。制定农业标准化生产技术指标及规程，以品质求生存，倒逼蔬菜、马铃薯等种植户减肥控药，有效增加氮磷钾配方复合肥和农家肥的使用，绝不能一味的为追求高产量、高收益而降低农产品品质，绝不能让农药化肥砸了靖边农业的牌子。研究出台品牌管理制度，整合现有农产品品牌，加快绿色、有机食品产地认定和产品认证步伐，促进靖边农产品品牌知名度和竞争力提升。</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2.推进规模量产。</w:t>
      </w:r>
      <w:r>
        <w:rPr>
          <w:rFonts w:hint="eastAsia" w:ascii="仿宋_GB2312" w:hAnsi="仿宋_GB2312" w:eastAsia="仿宋_GB2312" w:cs="仿宋_GB2312"/>
          <w:sz w:val="32"/>
          <w:szCs w:val="32"/>
        </w:rPr>
        <w:t>大力培育特色农业、生态农业、休闲农业和外向型农业，打造农业产业化的新亮点。建设一批连片的优质蔬菜、土豆等生产基地，万头以上的猪场等畜禽水产养殖基地，打造一批有规模、有特色、有市场、有效益的农业优势产业和产业集群。镇村要培育一批生产大户、种养能手、经营能人，充分发挥示范带头作用，带领广大农民走产业化发展道路。</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3.扩大加工销售。</w:t>
      </w:r>
      <w:r>
        <w:rPr>
          <w:rFonts w:hint="eastAsia" w:ascii="仿宋_GB2312" w:hAnsi="仿宋_GB2312" w:eastAsia="仿宋_GB2312" w:cs="仿宋_GB2312"/>
          <w:sz w:val="32"/>
          <w:szCs w:val="32"/>
        </w:rPr>
        <w:t>以效益为导向，倒逼农业上规模、上品质。发挥农产品生产加工企业和合作社作用，加大对羊肉、蔬菜、果品等农业原产品进行深加工，延伸产业链、提高附加值。健全农产品营销体系。加大优质农产品宣介活动，在靖边县重点旅游景区建设优质农产品展示点、销售点，推动文旅融合。抱团东进南下，与城市“菜篮子”、社区、超市对接，建立长期供应合作关系，与全国农产品交易批发市场牵线搭桥、签订订单。加快农产品物流通道和智慧农业平台建设，邀请大型专业营销团队合作销售、建立电子网络营销平台，形成“线上线下”两个销售市场。</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七、推广节水农业集成技术，逐步将大水漫灌全部改为节水灌溉</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倡导以水定产，根据作物年灌水量调整种植结构，扩大玉米、马铃薯作物种植面积，缩减高耗水叶菜类蔬菜作物种植面积。在保障粮食产量稳定的前提下，因地制宜推广谷子、高粱等耐旱、高产、高附加值的杂粮作物。在地下水资源超采区实行水旱轮作或休耕、覆膜抱墒、发展低耗水农作物种植和发展畜牧养殖业等方式，压减农业灌溉地下水使用量。</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八、加快农业社会化服务体系建设</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县乡两级政府为农服务水平。加大农产品检验检疫设备、交易市场、马铃薯储存库和果蔬气调库等社会化服务配套设施建设。强化监管，优化服务，充分发挥农口专业部门，农技服务公司、合作社和“土专家”“田秀才”“经纪人”等广大社会化服务组织及个人作用，逐步建立健全从种子选育、代耕代种、统防统治、收割储藏、加工包装、代购代销等产前、产中、产后，全产业链配套完善的的社会化服务体系。</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九、加大财政资金有效投入</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财政资金“四两拨千斤”的撬动作用。瞄准产业，给予扶持，做到扶持资金真正用在产业发展上，财政资金都花在刀刃上。采取贴息、担保、基金、债券等多种手段，吸引金融资本和社会投资主体投向农牧业领域，积极做好向上争资和招商引资工作，拓宽融资渠道，建立多元化投融资机制。优化涉农贷款服务，简化设施农用地报批手续，及时兑付涉农补贴资金，用足用活各类涉农政策。</w:t>
      </w:r>
    </w:p>
    <w:p>
      <w:pPr>
        <w:pStyle w:val="23"/>
        <w:widowControl w:val="0"/>
        <w:spacing w:after="0" w:line="240" w:lineRule="auto"/>
        <w:ind w:firstLine="616" w:firstLineChars="200"/>
        <w:rPr>
          <w:rFonts w:ascii="黑体" w:hAnsi="黑体" w:eastAsia="黑体" w:cs="黑体"/>
          <w:sz w:val="32"/>
          <w:szCs w:val="32"/>
        </w:rPr>
      </w:pPr>
      <w:r>
        <w:rPr>
          <w:rFonts w:hint="eastAsia" w:ascii="黑体" w:hAnsi="黑体" w:eastAsia="黑体" w:cs="黑体"/>
          <w:sz w:val="32"/>
          <w:szCs w:val="32"/>
        </w:rPr>
        <w:t>十、持续扶持壮大村集体经济</w:t>
      </w:r>
    </w:p>
    <w:p>
      <w:pPr>
        <w:spacing w:line="360" w:lineRule="auto"/>
        <w:ind w:firstLine="616" w:firstLineChars="200"/>
        <w:outlineLvl w:val="1"/>
        <w:rPr>
          <w:rFonts w:ascii="仿宋_GB2312" w:hAnsi="仿宋_GB2312" w:eastAsia="仿宋_GB2312" w:cs="仿宋_GB2312"/>
          <w:sz w:val="32"/>
          <w:szCs w:val="32"/>
        </w:rPr>
      </w:pPr>
      <w:bookmarkStart w:id="66" w:name="_Toc5678"/>
      <w:bookmarkStart w:id="67" w:name="_Toc4895"/>
      <w:r>
        <w:rPr>
          <w:rFonts w:hint="eastAsia" w:ascii="仿宋_GB2312" w:hAnsi="仿宋_GB2312" w:eastAsia="仿宋_GB2312" w:cs="仿宋_GB2312"/>
          <w:sz w:val="32"/>
          <w:szCs w:val="32"/>
        </w:rPr>
        <w:t>加强集体经济发展和加快农村集体产权制度改革，突出产业兴旺核心要义，结合镇村资源禀赋，因地制宜，因村施策，找准产业发展方向，形成适合本镇本村发展的特色产业，推动三产融合协调发展，不断壮大集体经济，加快乡村振兴步伐。一是做精特色产业。紧紧围绕做大做强“畜、薯、菜”主导产业，做优做精小杂粮、苹果、核桃、桃子、文冠果、山楂、中药材、鸡、羊子、肉牛、驴等特色产业。各镇村要因地制宜，科学规划，选择适合自身发展、符合市场需求的特色优势产业，充分发挥资源优势、传统优势和区位优势，通过专业化、规模化、市场化和品牌化建设，培育壮大1-3个具有本地特色的主导产业。二是推广绿色生态技术。推行标准化生产，示范推广轻简高效种养技术模式，建设一批绿色高效生产示范基地；示范推广优质、特色、高效品种，示范推广节水灌溉、肥药减量控害、秸秆综合利用、绿色防控等绿色生态环保技术。三是打造知名品牌。开展绿色食品、有机食品认证，鼓励具有鲜明地域特色的产品申报国家地理标志保护产品等认证，加强特色农产品区域公用品牌建设，打造一批“乡字号”“土字号”农产品品牌。四是推动产业融合。围绕主导产业，建设一批储藏、保鲜、烘干、清洗、分组、包装等初加工设备设施，开发一批特色精深加工产品，拓展运销服务等相关产业，挖掘农业增收潜力。在发展特色产业基础上，与乡村建设、镇村治理等相结合，拓展休闲观光、文化传承、生态保护等农业多种功能，推进农业与文化、康养等产业深度融合，实现产业提档升级。五是推广农业机械化和电子商务。支持先进适用的农机装备与机械化技术推广，鼓励农机农艺融合。支持发展电子商务营销，探索推广“一镇一园一店”模式。六是加快土地流转。以实施“一镇一园”为载体，鼓励依法采取转包、出租、互换、转让及入股等方式流转承包地，解决承包地细碎化问题，提升我县农业规模化、组织化、专业化水平。</w:t>
      </w:r>
    </w:p>
    <w:p>
      <w:pPr>
        <w:pStyle w:val="2"/>
      </w:pPr>
    </w:p>
    <w:p>
      <w:pPr>
        <w:jc w:val="center"/>
        <w:outlineLvl w:val="1"/>
        <w:rPr>
          <w:rFonts w:ascii="黑体" w:hAnsi="黑体" w:eastAsia="黑体" w:cs="黑体"/>
          <w:sz w:val="32"/>
          <w:szCs w:val="32"/>
        </w:rPr>
      </w:pPr>
      <w:r>
        <w:rPr>
          <w:rFonts w:hint="eastAsia" w:ascii="黑体" w:hAnsi="黑体" w:eastAsia="黑体" w:cs="黑体"/>
          <w:sz w:val="32"/>
          <w:szCs w:val="32"/>
        </w:rPr>
        <w:t>第二节 人才振兴</w:t>
      </w:r>
    </w:p>
    <w:p>
      <w:pPr>
        <w:ind w:firstLine="616" w:firstLineChars="200"/>
        <w:rPr>
          <w:rFonts w:ascii="仿宋_GB2312" w:hAnsi="仿宋_GB2312" w:eastAsia="仿宋_GB2312" w:cs="仿宋_GB2312"/>
          <w:sz w:val="32"/>
          <w:szCs w:val="32"/>
        </w:rPr>
      </w:pPr>
    </w:p>
    <w:p>
      <w:pPr>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人才是发展的关键因素，必须坚持“人才为先，以用为本”的理念，挖掘、培养、吸引人才，筑巢引凤，切实为靖边高质量发展注入新的活力。</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——千方百计集聚乡土人才。</w:t>
      </w:r>
      <w:r>
        <w:rPr>
          <w:rFonts w:hint="eastAsia" w:ascii="仿宋_GB2312" w:hAnsi="仿宋_GB2312" w:eastAsia="仿宋_GB2312" w:cs="仿宋_GB2312"/>
          <w:sz w:val="32"/>
          <w:szCs w:val="32"/>
        </w:rPr>
        <w:t>乡村振兴，人才是关键，乡土人才在乡村振兴中起着关键作用。要高度重视现有的乡土人才，着力挖掘潜在的乡土人才，积极扶持成长的乡土人才，培养造就一大批乡土人才，让乡土人才在乡村振兴中破土飘香，把乡村建设得更富裕、更美丽、更和谐。</w:t>
      </w:r>
      <w:r>
        <w:rPr>
          <w:rFonts w:hint="eastAsia" w:ascii="仿宋_GB2312" w:hAnsi="仿宋_GB2312" w:eastAsia="仿宋_GB2312" w:cs="仿宋_GB2312"/>
          <w:b/>
          <w:bCs/>
          <w:sz w:val="32"/>
          <w:szCs w:val="32"/>
        </w:rPr>
        <w:t>一要挖掘乡土人才。</w:t>
      </w:r>
      <w:r>
        <w:rPr>
          <w:rFonts w:hint="eastAsia" w:ascii="仿宋_GB2312" w:hAnsi="仿宋_GB2312" w:eastAsia="仿宋_GB2312" w:cs="仿宋_GB2312"/>
          <w:sz w:val="32"/>
          <w:szCs w:val="32"/>
        </w:rPr>
        <w:t>更新人才观念，通过摸底调研、村镇举荐等形式，动态掌握各行各业的乡土人才。将种养能手、能工巧匠、民间艺人、经营能人等各类“土专家、田秀才”作为选才对象，按照不同类型，分门别类进行登记造册，建立完善乡土人才库。通过政策扶持、乡情感召等措施，回引在外优秀乡土人才，让有真才实干的乡土人才加入乡村振兴的“大浪潮”。</w:t>
      </w:r>
      <w:r>
        <w:rPr>
          <w:rFonts w:hint="eastAsia" w:ascii="仿宋_GB2312" w:hAnsi="仿宋_GB2312" w:eastAsia="仿宋_GB2312" w:cs="仿宋_GB2312"/>
          <w:b/>
          <w:bCs/>
          <w:sz w:val="32"/>
          <w:szCs w:val="32"/>
        </w:rPr>
        <w:t>二要用活乡土人才。</w:t>
      </w:r>
      <w:r>
        <w:rPr>
          <w:rFonts w:hint="eastAsia" w:ascii="仿宋_GB2312" w:hAnsi="仿宋_GB2312" w:eastAsia="仿宋_GB2312" w:cs="仿宋_GB2312"/>
          <w:sz w:val="32"/>
          <w:szCs w:val="32"/>
        </w:rPr>
        <w:t>坚持培养为先，采取“走出去、请进来”相结合的教育培训方式，积极选派致富带头人，种植养殖大户等外出培训，让乡村乡土人才走出去“充电蓄能”，提升技能水平；通过“请进来”的方式，邀请相关领域专家到基层一线授课，通过课堂与田间地头结合、培训内容与群众需求结合的模式，举办形式多样的实用技能培训，培育一批能够带动特色产业发展的“技能型”乡土人才。</w:t>
      </w:r>
      <w:r>
        <w:rPr>
          <w:rFonts w:hint="eastAsia" w:ascii="仿宋_GB2312" w:hAnsi="仿宋_GB2312" w:eastAsia="仿宋_GB2312" w:cs="仿宋_GB2312"/>
          <w:b/>
          <w:bCs/>
          <w:sz w:val="32"/>
          <w:szCs w:val="32"/>
        </w:rPr>
        <w:t>三要留住乡土人才。</w:t>
      </w:r>
      <w:r>
        <w:rPr>
          <w:rFonts w:hint="eastAsia" w:ascii="仿宋_GB2312" w:hAnsi="仿宋_GB2312" w:eastAsia="仿宋_GB2312" w:cs="仿宋_GB2312"/>
          <w:sz w:val="32"/>
          <w:szCs w:val="32"/>
        </w:rPr>
        <w:t>创造有利于乡土人才成长和发挥作用的良好环境，建立健全乡土人才培育、评价、激励、服务等长效机制，大力培养农村乡土人才，引导本乡土人才与外出人才结对，激活人才振兴的“一池春风”。</w:t>
      </w:r>
    </w:p>
    <w:p>
      <w:pPr>
        <w:pStyle w:val="2"/>
        <w:spacing w:line="36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——多措并举培育职业农民。</w:t>
      </w:r>
      <w:r>
        <w:rPr>
          <w:rFonts w:hint="eastAsia" w:ascii="仿宋_GB2312" w:hAnsi="仿宋_GB2312" w:eastAsia="仿宋_GB2312" w:cs="仿宋_GB2312"/>
          <w:sz w:val="32"/>
          <w:szCs w:val="32"/>
        </w:rPr>
        <w:t>新型职业农民是振兴乡村、发展现代农业的重要主体。就地培养更多爱农业、有知识、懂技术、会经营的新型职业农民，是实现乡村振兴的必然要求。十四五期间要重视乡村振兴人才资源，大力开展政策扶持，注重培育新型职业农民，打造乡村振兴的中坚力量。</w:t>
      </w:r>
      <w:r>
        <w:rPr>
          <w:rFonts w:hint="eastAsia" w:ascii="仿宋_GB2312" w:hAnsi="仿宋_GB2312" w:eastAsia="仿宋_GB2312" w:cs="仿宋_GB2312"/>
          <w:b/>
          <w:bCs/>
          <w:sz w:val="32"/>
          <w:szCs w:val="32"/>
        </w:rPr>
        <w:t>一是优化新型职业农民培育架构，开启高质量发展新局面。</w:t>
      </w:r>
      <w:r>
        <w:rPr>
          <w:rFonts w:hint="eastAsia" w:ascii="仿宋_GB2312" w:hAnsi="仿宋_GB2312" w:eastAsia="仿宋_GB2312" w:cs="仿宋_GB2312"/>
          <w:sz w:val="32"/>
          <w:szCs w:val="32"/>
        </w:rPr>
        <w:t>重点要科学布局新型职业农民培育的规格、梯次和结构，形成“内外协同、纵横交错”的新型职业农民培育体系。加强农民工职业技能培训。</w:t>
      </w:r>
      <w:r>
        <w:rPr>
          <w:rFonts w:hint="eastAsia" w:ascii="仿宋_GB2312" w:hAnsi="仿宋_GB2312" w:eastAsia="仿宋_GB2312" w:cs="仿宋_GB2312"/>
          <w:b/>
          <w:bCs/>
          <w:sz w:val="32"/>
          <w:szCs w:val="32"/>
        </w:rPr>
        <w:t>二是丰富新型职业农民基本内涵，科学遴选培育对象。</w:t>
      </w:r>
      <w:r>
        <w:rPr>
          <w:rFonts w:hint="eastAsia" w:ascii="仿宋_GB2312" w:hAnsi="仿宋_GB2312" w:eastAsia="仿宋_GB2312" w:cs="仿宋_GB2312"/>
          <w:sz w:val="32"/>
          <w:szCs w:val="32"/>
        </w:rPr>
        <w:t>矫正对农民的传统认知，跳出“农圈”选育人才，拓展培育对象；根据职业类型的分化、职业水平的高低、从事产业的类别等细分培育对象；完善新型职业农民培育数字档案，建立数据整合机制、共享机制、动态管理机制。</w:t>
      </w:r>
      <w:r>
        <w:rPr>
          <w:rFonts w:hint="eastAsia" w:ascii="仿宋_GB2312" w:hAnsi="仿宋_GB2312" w:eastAsia="仿宋_GB2312" w:cs="仿宋_GB2312"/>
          <w:b/>
          <w:bCs/>
          <w:sz w:val="32"/>
          <w:szCs w:val="32"/>
        </w:rPr>
        <w:t>三是培育新型职业农民“三农”情怀，彰显育人价值。</w:t>
      </w:r>
      <w:r>
        <w:rPr>
          <w:rFonts w:hint="eastAsia" w:ascii="仿宋_GB2312" w:hAnsi="仿宋_GB2312" w:eastAsia="仿宋_GB2312" w:cs="仿宋_GB2312"/>
          <w:sz w:val="32"/>
          <w:szCs w:val="32"/>
        </w:rPr>
        <w:t>帮助农民充分理解“三农战略”之于粮食安全、生态环保、文化振兴等的“压舱石”和“稳定器”价值；鼓励他们发扬自力更生，艰苦奋斗等精神，主动融入农村、献身农业，增强其职业归属感；发挥新型职业农民的示范、引领作用，破除农村“等靠要”等落后思想，带头创新创业、致富农民。</w:t>
      </w:r>
      <w:r>
        <w:rPr>
          <w:rFonts w:hint="eastAsia" w:ascii="仿宋_GB2312" w:hAnsi="仿宋_GB2312" w:eastAsia="仿宋_GB2312" w:cs="仿宋_GB2312"/>
          <w:b/>
          <w:bCs/>
          <w:sz w:val="32"/>
          <w:szCs w:val="32"/>
        </w:rPr>
        <w:t>四是完善新型职业农民培育机制，提高育人效率。</w:t>
      </w:r>
      <w:r>
        <w:rPr>
          <w:rFonts w:hint="eastAsia" w:ascii="仿宋_GB2312" w:hAnsi="仿宋_GB2312" w:eastAsia="仿宋_GB2312" w:cs="仿宋_GB2312"/>
          <w:sz w:val="32"/>
          <w:szCs w:val="32"/>
        </w:rPr>
        <w:t>发挥政府政策激励、财政投入、监督规范等作用，引领新型职业农民培育；发挥市场竞争作用，鼓励多元培训主体带动资金、技术、人才等要素流向农村；发挥社会公益资源的救助、补偿和服务等作用，助力新型职业农民培育。</w:t>
      </w:r>
    </w:p>
    <w:p>
      <w:pPr>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——支持吸纳返乡青年和大学生。</w:t>
      </w:r>
      <w:r>
        <w:rPr>
          <w:rFonts w:hint="eastAsia" w:ascii="仿宋_GB2312" w:hAnsi="仿宋_GB2312" w:eastAsia="仿宋_GB2312" w:cs="仿宋_GB2312"/>
          <w:sz w:val="32"/>
          <w:szCs w:val="32"/>
        </w:rPr>
        <w:t>要深入贯彻落实党中央、国务院决策部署和全国两会精神，做好返乡入乡青年、农民工、大学生、退役军人和农村妇女等创业就业重点工作，确保“十四五”返乡入乡创业就业开好局、起好步。</w:t>
      </w:r>
      <w:r>
        <w:rPr>
          <w:rFonts w:hint="eastAsia" w:ascii="仿宋_GB2312" w:hAnsi="仿宋_GB2312" w:eastAsia="仿宋_GB2312" w:cs="仿宋_GB2312"/>
          <w:b/>
          <w:bCs/>
          <w:sz w:val="32"/>
          <w:szCs w:val="32"/>
        </w:rPr>
        <w:t>一是强产业，</w:t>
      </w:r>
      <w:r>
        <w:rPr>
          <w:rFonts w:hint="eastAsia" w:ascii="仿宋_GB2312" w:hAnsi="仿宋_GB2312" w:eastAsia="仿宋_GB2312" w:cs="仿宋_GB2312"/>
          <w:sz w:val="32"/>
          <w:szCs w:val="32"/>
        </w:rPr>
        <w:t>大力发展乡村产业，培育一批农业产业化龙头企业，建设一批农业产业强镇、现代农业产业园、优势特色产业集群，创造更多的就业岗位。</w:t>
      </w:r>
      <w:r>
        <w:rPr>
          <w:rFonts w:hint="eastAsia" w:ascii="仿宋_GB2312" w:hAnsi="仿宋_GB2312" w:eastAsia="仿宋_GB2312" w:cs="仿宋_GB2312"/>
          <w:b/>
          <w:bCs/>
          <w:sz w:val="32"/>
          <w:szCs w:val="32"/>
        </w:rPr>
        <w:t>二是育主体，</w:t>
      </w:r>
      <w:r>
        <w:rPr>
          <w:rFonts w:hint="eastAsia" w:ascii="仿宋_GB2312" w:hAnsi="仿宋_GB2312" w:eastAsia="仿宋_GB2312" w:cs="仿宋_GB2312"/>
          <w:sz w:val="32"/>
          <w:szCs w:val="32"/>
        </w:rPr>
        <w:t>培育一批农村创业创新带头人和农村创业导师。</w:t>
      </w:r>
      <w:r>
        <w:rPr>
          <w:rFonts w:hint="eastAsia" w:ascii="仿宋_GB2312" w:hAnsi="仿宋_GB2312" w:eastAsia="仿宋_GB2312" w:cs="仿宋_GB2312"/>
          <w:b/>
          <w:bCs/>
          <w:sz w:val="32"/>
          <w:szCs w:val="32"/>
        </w:rPr>
        <w:t>三是固脱贫，</w:t>
      </w:r>
      <w:r>
        <w:rPr>
          <w:rFonts w:hint="eastAsia" w:ascii="仿宋_GB2312" w:hAnsi="仿宋_GB2312" w:eastAsia="仿宋_GB2312" w:cs="仿宋_GB2312"/>
          <w:sz w:val="32"/>
          <w:szCs w:val="32"/>
        </w:rPr>
        <w:t>做强脱贫产业，提高培训精准度，在乡村建设中吸纳就业。</w:t>
      </w:r>
      <w:r>
        <w:rPr>
          <w:rFonts w:hint="eastAsia" w:ascii="仿宋_GB2312" w:hAnsi="仿宋_GB2312" w:eastAsia="仿宋_GB2312" w:cs="仿宋_GB2312"/>
          <w:b/>
          <w:bCs/>
          <w:sz w:val="32"/>
          <w:szCs w:val="32"/>
        </w:rPr>
        <w:t>四是搭平台，</w:t>
      </w:r>
      <w:r>
        <w:rPr>
          <w:rFonts w:hint="eastAsia" w:ascii="仿宋_GB2312" w:hAnsi="仿宋_GB2312" w:eastAsia="仿宋_GB2312" w:cs="仿宋_GB2312"/>
          <w:sz w:val="32"/>
          <w:szCs w:val="32"/>
        </w:rPr>
        <w:t>建设一批返乡入乡创业园和农村创业创新孵化实训基地。</w:t>
      </w:r>
      <w:r>
        <w:rPr>
          <w:rFonts w:hint="eastAsia" w:ascii="仿宋_GB2312" w:hAnsi="仿宋_GB2312" w:eastAsia="仿宋_GB2312" w:cs="仿宋_GB2312"/>
          <w:b/>
          <w:bCs/>
          <w:sz w:val="32"/>
          <w:szCs w:val="32"/>
        </w:rPr>
        <w:t>五是优服务，</w:t>
      </w:r>
      <w:r>
        <w:rPr>
          <w:rFonts w:hint="eastAsia" w:ascii="仿宋_GB2312" w:hAnsi="仿宋_GB2312" w:eastAsia="仿宋_GB2312" w:cs="仿宋_GB2312"/>
          <w:sz w:val="32"/>
          <w:szCs w:val="32"/>
        </w:rPr>
        <w:t>组织县、乡、村干部“进村入户、把握服务”，送信息、送技能、送岗位、送服务、送政策。</w:t>
      </w:r>
      <w:r>
        <w:rPr>
          <w:rFonts w:hint="eastAsia" w:ascii="仿宋_GB2312" w:hAnsi="仿宋_GB2312" w:eastAsia="仿宋_GB2312" w:cs="仿宋_GB2312"/>
          <w:b/>
          <w:bCs/>
          <w:sz w:val="32"/>
          <w:szCs w:val="32"/>
        </w:rPr>
        <w:t>六是落政策，</w:t>
      </w:r>
      <w:r>
        <w:rPr>
          <w:rFonts w:hint="eastAsia" w:ascii="仿宋_GB2312" w:hAnsi="仿宋_GB2312" w:eastAsia="仿宋_GB2312" w:cs="仿宋_GB2312"/>
          <w:sz w:val="32"/>
          <w:szCs w:val="32"/>
        </w:rPr>
        <w:t>落实财政补助、金融信贷、税收优惠、用地用电、科技人才等政策。</w:t>
      </w:r>
    </w:p>
    <w:p>
      <w:pPr>
        <w:pStyle w:val="2"/>
        <w:ind w:firstLine="616" w:firstLineChars="200"/>
      </w:pPr>
      <w:r>
        <w:rPr>
          <w:rFonts w:hint="eastAsia" w:ascii="楷体_GB2312" w:hAnsi="楷体_GB2312" w:eastAsia="楷体_GB2312" w:cs="楷体_GB2312"/>
          <w:b/>
          <w:bCs/>
          <w:sz w:val="32"/>
          <w:szCs w:val="32"/>
        </w:rPr>
        <w:t>——加大高层次人才引进培养力度。</w:t>
      </w:r>
      <w:r>
        <w:rPr>
          <w:rFonts w:hint="eastAsia" w:ascii="仿宋_GB2312" w:hAnsi="仿宋_GB2312" w:eastAsia="仿宋_GB2312" w:cs="仿宋_GB2312"/>
          <w:sz w:val="32"/>
          <w:szCs w:val="32"/>
        </w:rPr>
        <w:t>制定《靖边县紧缺人才引进五年规划》和《靖边县人才管理培养办法》，不断优化人才工作政策，加大人才工作专项经费投入，制定引进人才的优惠政策和配套措施，积极引进招商引资、城乡规划、园区管理、名医名教等紧缺人才。</w:t>
      </w:r>
    </w:p>
    <w:p>
      <w:pPr>
        <w:pStyle w:val="23"/>
        <w:widowControl w:val="0"/>
        <w:spacing w:after="0" w:line="240" w:lineRule="auto"/>
        <w:outlineLvl w:val="1"/>
        <w:rPr>
          <w:rFonts w:ascii="黑体" w:hAnsi="黑体" w:eastAsia="黑体" w:cs="黑体"/>
          <w:sz w:val="32"/>
          <w:szCs w:val="32"/>
        </w:rPr>
      </w:pPr>
    </w:p>
    <w:p>
      <w:pPr>
        <w:pStyle w:val="23"/>
        <w:widowControl w:val="0"/>
        <w:spacing w:after="0" w:line="240" w:lineRule="auto"/>
        <w:jc w:val="center"/>
        <w:rPr>
          <w:rFonts w:ascii="黑体" w:hAnsi="黑体" w:eastAsia="黑体" w:cs="黑体"/>
          <w:sz w:val="32"/>
          <w:szCs w:val="32"/>
        </w:rPr>
      </w:pPr>
      <w:r>
        <w:rPr>
          <w:rFonts w:hint="eastAsia" w:ascii="黑体" w:hAnsi="黑体" w:eastAsia="黑体" w:cs="黑体"/>
          <w:sz w:val="32"/>
          <w:szCs w:val="32"/>
        </w:rPr>
        <w:t>第三节 文化振兴</w:t>
      </w:r>
      <w:bookmarkEnd w:id="66"/>
      <w:bookmarkEnd w:id="67"/>
    </w:p>
    <w:p>
      <w:pPr>
        <w:spacing w:line="360" w:lineRule="auto"/>
        <w:ind w:firstLine="616" w:firstLineChars="200"/>
        <w:rPr>
          <w:rFonts w:ascii="仿宋_GB2312" w:hAnsi="仿宋_GB2312" w:eastAsia="仿宋_GB2312" w:cs="仿宋_GB2312"/>
          <w:sz w:val="32"/>
          <w:szCs w:val="32"/>
        </w:rPr>
      </w:pP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突出文化振兴，加强农村道德建设、文化生活、移风易俗和农文旅融合，努力实现乡风文明。</w:t>
      </w:r>
    </w:p>
    <w:p>
      <w:pPr>
        <w:spacing w:line="36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（一）加强农村道德建设</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农村广泛宣传宣讲习近平新时代中国特色社会主义思想；践行社会主义核心价值观，大力开展文明乡风道德讲堂进镇村、社区活动，组织开展文明乡风进农家和“好家风我评议”活动；设置善行义举榜，对“道德模范”“身边好人”“十星级文明户”“十大孝子”“五好文明家庭”“好婆婆好媳妇”等进行宣传褒奖，选树新时代农民典型。</w:t>
      </w:r>
    </w:p>
    <w:p>
      <w:pPr>
        <w:pStyle w:val="23"/>
        <w:widowControl w:val="0"/>
        <w:spacing w:after="0" w:line="240" w:lineRule="auto"/>
        <w:ind w:firstLine="616" w:firstLineChars="200"/>
        <w:rPr>
          <w:rFonts w:ascii="仿宋_GB2312" w:hAnsi="仿宋_GB2312" w:eastAsia="仿宋_GB2312" w:cs="仿宋_GB2312"/>
          <w:spacing w:val="-11"/>
          <w:sz w:val="32"/>
          <w:szCs w:val="32"/>
        </w:rPr>
      </w:pPr>
      <w:r>
        <w:rPr>
          <w:rFonts w:hint="eastAsia" w:ascii="仿宋_GB2312" w:hAnsi="仿宋_GB2312" w:eastAsia="仿宋_GB2312" w:cs="仿宋_GB2312"/>
          <w:b/>
          <w:bCs/>
          <w:sz w:val="32"/>
          <w:szCs w:val="32"/>
        </w:rPr>
        <w:t>1.深入开展理论武装工作。</w:t>
      </w:r>
      <w:r>
        <w:rPr>
          <w:rFonts w:hint="eastAsia" w:ascii="仿宋_GB2312" w:hAnsi="仿宋_GB2312" w:eastAsia="仿宋_GB2312" w:cs="仿宋_GB2312"/>
          <w:sz w:val="32"/>
          <w:szCs w:val="32"/>
        </w:rPr>
        <w:t>着力推进习近平新时代中国特色社会主义思想深入人心，制定学习宣讲计划，全面安排部署，推动习近平新时代中国特色社会主义思想在农村广泛宣传宣讲。持续开展党的十九届六中全会精神学习教育、宣传宣讲，要突出“两个确立”的决定性意义。巩固拓展党史学习教育成果，推动党史学习教育长效化、常态化开展，持续开展群众性“四史”学习宣传教育活动，推动“四史”学习教育深入群众、深入基层、深入人心。充分做好党的二十大精神学习宣传宣讲贯彻落实工作，认</w:t>
      </w:r>
      <w:r>
        <w:rPr>
          <w:rFonts w:hint="eastAsia" w:ascii="仿宋_GB2312" w:hAnsi="仿宋_GB2312" w:eastAsia="仿宋_GB2312" w:cs="仿宋_GB2312"/>
          <w:spacing w:val="-11"/>
          <w:sz w:val="32"/>
          <w:szCs w:val="32"/>
        </w:rPr>
        <w:t>真组织准备开展各类宣传教育活动，推动党的二十大精神深入人心。</w:t>
      </w:r>
    </w:p>
    <w:p>
      <w:pPr>
        <w:pStyle w:val="23"/>
        <w:widowControl w:val="0"/>
        <w:spacing w:after="0" w:line="240" w:lineRule="auto"/>
        <w:ind w:firstLine="616" w:firstLineChars="200"/>
        <w:rPr>
          <w:rFonts w:ascii="仿宋_GB2312" w:hAnsi="仿宋_GB2312" w:eastAsia="仿宋_GB2312" w:cs="仿宋_GB2312"/>
          <w:spacing w:val="-11"/>
          <w:sz w:val="32"/>
          <w:szCs w:val="32"/>
        </w:rPr>
      </w:pPr>
      <w:r>
        <w:rPr>
          <w:rFonts w:hint="eastAsia" w:ascii="仿宋_GB2312" w:hAnsi="仿宋_GB2312" w:eastAsia="仿宋_GB2312" w:cs="仿宋_GB2312"/>
          <w:b/>
          <w:bCs/>
          <w:sz w:val="32"/>
          <w:szCs w:val="32"/>
        </w:rPr>
        <w:t>2.深入开展文明乡风建设。</w:t>
      </w:r>
      <w:r>
        <w:rPr>
          <w:rFonts w:hint="eastAsia" w:ascii="仿宋_GB2312" w:hAnsi="仿宋_GB2312" w:eastAsia="仿宋_GB2312" w:cs="仿宋_GB2312"/>
          <w:sz w:val="32"/>
          <w:szCs w:val="32"/>
        </w:rPr>
        <w:t>开展文明乡风建设，以“诚、孝、俭、勤、和”为重点，大力开展文明乡风“道德讲堂”进镇村、社区活动，把“道德讲堂”办到农村、办进农民家中。镇村两级要自行组织开展道德讲堂宣讲活动，每年开展活动不少于4次。围绕文明乡风建设，开展“家风、家训”进校园、进家庭活动，将“家风、家训”等教育元素融入全县中小学经典诵读活动。组织开展“家风评议”、讲述文明家庭故事、传播文明家庭理念、评说优良家风家训，深化文明家庭、十星级文明户、十星级文明户标兵、十大孝子创建，以好家风支撑起好的社会风气。深化“我们的节日”主题活动，充分利用春节、元宵、清明、端午、中秋、重阳等传统节日开展家风文</w:t>
      </w:r>
      <w:r>
        <w:rPr>
          <w:rFonts w:hint="eastAsia" w:ascii="仿宋_GB2312" w:hAnsi="仿宋_GB2312" w:eastAsia="仿宋_GB2312" w:cs="仿宋_GB2312"/>
          <w:spacing w:val="-11"/>
          <w:sz w:val="32"/>
          <w:szCs w:val="32"/>
        </w:rPr>
        <w:t>化宣传教育活动，引导广大家庭成员加强家庭教育，培育优良家风。</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3.深入开展道德评议活动。</w:t>
      </w:r>
      <w:r>
        <w:rPr>
          <w:rFonts w:hint="eastAsia" w:ascii="仿宋_GB2312" w:hAnsi="仿宋_GB2312" w:eastAsia="仿宋_GB2312" w:cs="仿宋_GB2312"/>
          <w:sz w:val="32"/>
          <w:szCs w:val="32"/>
        </w:rPr>
        <w:t>依托新时代文明实践所（站）开展道德评议活动，大胆探索，勇于创新，深入开展道德评议。坚持每半年开展一次道德评议，围绕婚丧喜庆事宜大操大办、打牌赌博、封建迷信及忠孝礼义廉耻等方面的不良风气开展广泛评议。坚持褒扬和惩戒并举，设置善行义举榜和后进榜，宣传褒扬移风易俗先进典型, 曝光后进典型，并及时对后进典型进行帮教转化。广泛发动群众积极参与道德评议活动，不断提高群众参与度，通过道德评议实现群众自我教育、自我管理、自我服务、自我监督，引导群众摒弃陈规陋习，崇善扬德向上。</w:t>
      </w:r>
    </w:p>
    <w:p>
      <w:pPr>
        <w:spacing w:line="36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(二）丰富农村文化生活</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公共文化服务体系，丰富农村文化生活，打造农村公共文化设施网络“十里地服务圈”，实现综合文化服务中心、文化活动室、农家书屋、文化娱乐室、多功能厅、文化体育广场等文化设施全覆盖。不断增加农村文化服务总量，扎实推进“三下乡”“书香靖边”“送电影进村”、全民阅读等活动。拓展文化惠民项目，开展群众喜闻乐见的读书竞赛、民歌舞蹈、书画摄影及各类民间文化活动。深入实施文化精品创作工程，坚持以社会主义核心价值观为引导，形成一批弘扬传统文化、挖掘地方文化、聚焦时代主题、具有高度艺术水准的文艺作品，继续打造提升《统万风》《蒙汉游击队》《惠中权》等大型地方特色精品剧目，打造独具靖边特色的文艺作品和文化品牌。</w:t>
      </w:r>
    </w:p>
    <w:p>
      <w:pPr>
        <w:spacing w:line="36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（三）开展移风易俗活动</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移风易俗活动，引导形成勤俭节约、反对浪费的社会认知和浓厚氛围。大力推行“五提倡、五反对”，坚决抵制不良风气；弘扬勤劳致富、勤俭持家传统美德；健全移风易俗落实机制，把移风易俗相关约定纳入村规民约，党员干部带头严格遵守纪律规定，为当地群众树立标杆，让勤劳的人有地位，让务实的人有尊严。</w:t>
      </w:r>
    </w:p>
    <w:p>
      <w:pPr>
        <w:spacing w:line="36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（四）构建农文旅融合模式</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得天独厚的资源禀赋，构建靖边“农业+文化+旅游”融合发展模式，推进产业“近城、靠景、依产、沿路”合规布局，建设主题鲜明、功能完毕、内涵丰富的乡村休闲旅游重点区。以文化为引领、旅游为牵引、产业为主导，进一步优化体制规划，形成政策支持、资金保障、社会参与的多元化发展格局。</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1.完善机制和规划，加快全域旅游发展步伐。</w:t>
      </w:r>
      <w:r>
        <w:rPr>
          <w:rFonts w:hint="eastAsia" w:ascii="仿宋_GB2312" w:hAnsi="仿宋_GB2312" w:eastAsia="仿宋_GB2312" w:cs="仿宋_GB2312"/>
          <w:sz w:val="32"/>
          <w:szCs w:val="32"/>
        </w:rPr>
        <w:t>进一步修订完善《靖边县全域旅游发展总体规划》和相应专项规划，不断完善公共服务、乡村旅游、宣传营销等专项规划，形成完整科学的规划体系，强化规、建、管一体化推进，确保规划落地实施。要把旅游发展纳入经济社会发展规划，实现其与经济社会发展规划、国土空间规划、生态环境保护规划、乡村振兴规划、城乡建设规划、基础设施建设规划等多项规划的有机衔接。按照《国家全域旅游示范区验收标准》及省市的创建验收细则，及时制订实施方案和考核细则，逐一明确包抓县级领导、责任单位和完成时限，并实行目标考核，全力以赴推进各项创建工作。全力推进龙洲波浪谷和统万城两个4A级景区创建工作，结合景区实际情况和发展需要，不断完善景区基础设施，着力提升景区管理服务水平，并以此为契机，拉升靖边全域旅游整体服务品牌体系建设。</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2.强化要素保障，提升全域旅游服务水平。</w:t>
      </w:r>
      <w:r>
        <w:rPr>
          <w:rFonts w:hint="eastAsia" w:ascii="仿宋_GB2312" w:hAnsi="仿宋_GB2312" w:eastAsia="仿宋_GB2312" w:cs="仿宋_GB2312"/>
          <w:sz w:val="32"/>
          <w:szCs w:val="32"/>
        </w:rPr>
        <w:t>通过在“吃住行游购娱”上做文章，实现旅游供给要素齐全，旅游业态丰富，旅游产业结构合理，旅游功能布局科学。建设特色美食街区，创建地方特色小吃品牌，大力发展有机、绿色、无公害、生态食品系列，深入挖掘、整理、推出特色地方小吃。鼓励评定星级饭店，文化旅游主题酒店和星级民宿，发展一批青年旅游和连锁酒店。规划建设精品旅游交通线路，提升改造老旧旅游道路，改善公路通达条件，推进干线公路与重要景区连接。加大城市客运对旅游交通的服务保障，加快开设统万城景区专线公交，加快推进龙洲丹霞旅游专线建设。大力发展东坑高效农业产业示范园区农业景观和经济开发区工业景观游、西草滩沙漠湿地和五台森林公园生态休闲游。鼓励发展一批文创中心和旅游商品研发企业，开发具有自主IP的旅游商品，强化旅游商品推广营销，加快提高旅游购物消费水平。提升文化旅游演艺标准，打造更多体现靖边文化底蕴的精品旅游演艺节目，推进非遗、文化演出等与旅游发展深度融合，增加游客参与度高的项目，增强游客的体验感，延长逗留时间，促进旅游消费。</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3.彰显县域特色，打造靖边文化旅游名片。</w:t>
      </w:r>
      <w:r>
        <w:rPr>
          <w:rFonts w:hint="eastAsia" w:ascii="仿宋_GB2312" w:hAnsi="仿宋_GB2312" w:eastAsia="仿宋_GB2312" w:cs="仿宋_GB2312"/>
          <w:sz w:val="32"/>
          <w:szCs w:val="32"/>
        </w:rPr>
        <w:t>以“三城一水一片霞”五大文化旅游名片为重点，做好统万城国家考古遗址公园的开馆运营以及统万城的进一步保护展示和考古研究。做好长城保护工作，力争将县域内的长城遗址全部纳入长城国家文化公园建设范围，深度发掘长城的时代价值，进一步提升长城文化内涵。加大阳周故城考古发掘力度，坚持“保护为主、抢救第一、合理利用、加强管理”的方针，加大考古力度，不断发掘阳周丰富的历史文化资源，用考古的丰硕成果来彰显靖边丰厚的历史文化底蕴；加大黄帝原冢地和清坪堡考古研究，充分挖掘靖边的历史文化内涵。做好芦河的治理美化以及芦靖湖旅游目的地的发掘。对芦靖湖整体进行河道治理，改造乡村路网，配套建设乡村民俗度假村，与三边文化园形成功能互补，将其打造为靖边的乡野休闲度假目的地。加快推进龙洲丹霞景区建设，完成陆上丹霞建设的同时启动水上丹霞建设项目，深度展示丹霞美轮美奂的自然生态地貌。以榆林市打造红色旅游带为契机，将靖边县“小青天”红色资源提档升级，突出毛主席和中央机关转战陕北这一重大革命历史主题，加速打造红色旅游目的地，努力成为继延安之后红色旅游新一极。加快延安干部学院研学基地建设，进一步推动红色革命精神的传承与弘扬。围绕“乡村振兴”及“一村一品”推进美丽乡村建设，以村村皆景、四季可游的全域化乡村旅游聚集区为抓手，突出农耕文明、农村田园风光和自然景观，开发个性化、特色化、差异化的旅游产品。以龙洲、红墩界、东坑、王渠则、镇靖、杨桥畔、黄蒿界、天赐湾为重点，发展旅游特色小镇、乡村旅游示范村和特色民宿，引导农民群众在旅游服务供给上增收致富，让全域旅游成果更好更多惠及农村。以创建“中国信天游之乡”“中国剪纸之乡”“中国（书法）民间文化艺术之乡”为抓手，加大申报国家级、省级非遗项目力度，提升信天游、跑驴、霸王鞭、剪纸等知名度。通过举办研讨会、编排音乐剧、开展民歌大赛、书画写生等活动扩大靖边传统文化影响力。</w:t>
      </w:r>
    </w:p>
    <w:p>
      <w:pPr>
        <w:pStyle w:val="23"/>
        <w:widowControl w:val="0"/>
        <w:spacing w:after="0" w:line="24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4.强化基础保障，推动全域旅游提质增效。</w:t>
      </w:r>
      <w:r>
        <w:rPr>
          <w:rFonts w:hint="eastAsia" w:ascii="仿宋_GB2312" w:hAnsi="仿宋_GB2312" w:eastAsia="仿宋_GB2312" w:cs="仿宋_GB2312"/>
          <w:sz w:val="32"/>
          <w:szCs w:val="32"/>
        </w:rPr>
        <w:t>鼓励通过设立旅游发展基金，研究制定旅游发展专项资金使用管理办法，运用财政补助、贷款担保、财政贴息、奖励等多种方式，引导更多的社会资本参与全域旅游建设。制定出台扶持文旅发展政策，特别是在产业发展、旅游用地、交通保障、“厕所革命”、人才培养等方面加大扶持力度，切实发挥政策引领优势。完善以全域旅游图和全县导览图为重点的全域标识体系，规范设置内容完整、准确清晰、符合国际化要求的标识标牌。启动实施游客集散中心项目，向游客提供旅游咨询、旅游换乘、餐饮住宿、应急救助、自助旅游、定制旅游、智慧旅游、特色旅游商品供给服务点等综合性服务。在全域环境整治上，在主要旅游区、旅游廊道、旅游村镇周边实现净化绿化美化，在重点旅游村镇实行“三改一整理”（改厨、改厕、改客房、整理院落）专项活动。深入推进“厕所革命”，把旅游厕所建设纳入各级基础设施建设规划，各景区、旅游公路沿线、旅游餐馆、旅游娱乐场所、旅游村镇要实现旅游厕所全覆盖。以开放的理念建立多层次的人才引进、培养和旅游培训机制，通过公务员招考、事业单位招聘、特殊人才引进、公益岗开发等方式，建成一支专业化、高素质的旅游人才队伍；积极培育壮大靖边县旅游文化企业，充分利用优惠政策，激发企业参与、经营、发展文旅产业的积极性；吸引国内省内知名的旅游企业投资靖边县文化旅游产业，引进一批理念先进、管理科学、适应市场的企业家，不断壮大企业规模和专业文旅人才队伍。</w:t>
      </w:r>
    </w:p>
    <w:p>
      <w:pPr>
        <w:pStyle w:val="23"/>
        <w:widowControl w:val="0"/>
        <w:spacing w:after="0" w:line="240" w:lineRule="auto"/>
        <w:jc w:val="center"/>
        <w:outlineLvl w:val="1"/>
        <w:rPr>
          <w:rFonts w:ascii="黑体" w:hAnsi="黑体" w:eastAsia="黑体" w:cs="黑体"/>
          <w:sz w:val="32"/>
          <w:szCs w:val="32"/>
        </w:rPr>
      </w:pPr>
      <w:bookmarkStart w:id="68" w:name="_Toc8243"/>
      <w:bookmarkStart w:id="69" w:name="_Toc24593"/>
    </w:p>
    <w:p>
      <w:pPr>
        <w:pStyle w:val="23"/>
        <w:widowControl w:val="0"/>
        <w:spacing w:after="0" w:line="240" w:lineRule="auto"/>
        <w:jc w:val="center"/>
        <w:outlineLvl w:val="1"/>
        <w:rPr>
          <w:rFonts w:ascii="楷体" w:hAnsi="楷体" w:eastAsia="楷体" w:cs="楷体"/>
          <w:b/>
          <w:bCs/>
          <w:sz w:val="32"/>
          <w:szCs w:val="32"/>
        </w:rPr>
      </w:pPr>
      <w:r>
        <w:rPr>
          <w:rFonts w:hint="eastAsia" w:ascii="黑体" w:hAnsi="黑体" w:eastAsia="黑体" w:cs="黑体"/>
          <w:sz w:val="32"/>
          <w:szCs w:val="32"/>
        </w:rPr>
        <w:t>第四节 生态振兴</w:t>
      </w:r>
      <w:bookmarkEnd w:id="68"/>
      <w:bookmarkEnd w:id="69"/>
    </w:p>
    <w:p>
      <w:pPr>
        <w:pStyle w:val="23"/>
        <w:widowControl w:val="0"/>
        <w:spacing w:after="0" w:line="240" w:lineRule="auto"/>
        <w:jc w:val="center"/>
        <w:rPr>
          <w:rFonts w:ascii="楷体" w:hAnsi="楷体" w:eastAsia="楷体" w:cs="楷体"/>
          <w:b/>
          <w:bCs/>
          <w:sz w:val="32"/>
          <w:szCs w:val="32"/>
        </w:rPr>
      </w:pPr>
    </w:p>
    <w:p>
      <w:pPr>
        <w:spacing w:line="600" w:lineRule="exact"/>
        <w:ind w:firstLine="616" w:firstLineChars="200"/>
        <w:rPr>
          <w:rFonts w:ascii="仿宋_GB2312" w:eastAsia="仿宋_GB2312"/>
          <w:bCs/>
          <w:spacing w:val="-6"/>
          <w:sz w:val="32"/>
          <w:szCs w:val="32"/>
        </w:rPr>
      </w:pPr>
      <w:r>
        <w:rPr>
          <w:rFonts w:hint="eastAsia" w:ascii="仿宋_GB2312" w:hAnsi="仿宋_GB2312" w:eastAsia="仿宋_GB2312" w:cs="仿宋_GB2312"/>
          <w:sz w:val="32"/>
          <w:szCs w:val="32"/>
        </w:rPr>
        <w:t>生态文明建设关系到中国特色社会主义建设事业的成败，与人民的幸福息息相关。靖边县作为黄土高原生态文明建设的先行区、国家重要能源基地承载区和现代农业强县，面临着干旱缺水、风沙肆虐、水土流失等诸多环境问题和产业结构单一、自然资源要素利用率低、生产能耗高等生产要素浪费的问题，一定程度上制约着靖边县域经济高质量发展的进程，解决这些问题就要</w:t>
      </w:r>
      <w:r>
        <w:rPr>
          <w:rFonts w:hint="eastAsia" w:ascii="仿宋_GB2312" w:hAnsi="仿宋" w:eastAsia="仿宋_GB2312"/>
          <w:spacing w:val="-6"/>
          <w:sz w:val="32"/>
          <w:szCs w:val="32"/>
        </w:rPr>
        <w:t>坚持以绿色发展理念为引领，全面改善生态环境质量为核心，深入践行“两山”理念，坚持节约优先、保护优先、自然恢复为主，健全生态文明制度体系，推动生态保护系统化，环境治理精细化、生产方式绿色化；要坚持保护生态环境就是保护生产力、改善生态环境就是发展生产力，</w:t>
      </w:r>
      <w:r>
        <w:rPr>
          <w:rFonts w:hint="eastAsia" w:ascii="仿宋_GB2312" w:hAnsi="仿宋_GB2312" w:eastAsia="仿宋_GB2312" w:cs="仿宋_GB2312"/>
          <w:color w:val="333333"/>
          <w:spacing w:val="-6"/>
          <w:sz w:val="32"/>
          <w:szCs w:val="32"/>
          <w:shd w:val="clear" w:color="auto" w:fill="FFFFFF"/>
        </w:rPr>
        <w:t>加快供给侧改革，</w:t>
      </w:r>
      <w:r>
        <w:rPr>
          <w:rFonts w:hint="eastAsia" w:ascii="仿宋_GB2312" w:hAnsi="仿宋" w:eastAsia="仿宋_GB2312"/>
          <w:spacing w:val="-6"/>
          <w:sz w:val="32"/>
          <w:szCs w:val="32"/>
        </w:rPr>
        <w:t>加大生态产品开发经营，建立健全生态经济体系，培育经济高质量发展新动力，拓展生态产品价值实现通道，塑造城乡区域协调发展新格局，走产业生态化、生态产业化协同的绿色发展之路。确保到2025年，全县生态环境质量总体改善，环境突出问题有效解决，生态系统稳定性持续增强，生态资本和自然资本稳步扩大，高能耗式经济增长方式明显改善，低耗高效的产业结构基本健全，争取将我县</w:t>
      </w:r>
      <w:r>
        <w:rPr>
          <w:rFonts w:hint="eastAsia" w:ascii="仿宋_GB2312" w:hAnsi="仿宋_GB2312" w:eastAsia="仿宋_GB2312" w:cs="仿宋_GB2312"/>
          <w:bCs/>
          <w:color w:val="000000"/>
          <w:spacing w:val="-6"/>
          <w:sz w:val="32"/>
          <w:szCs w:val="32"/>
        </w:rPr>
        <w:t>建设成为生态美、生活美、生产美的绿色美丽新靖边。</w:t>
      </w:r>
    </w:p>
    <w:p>
      <w:pPr>
        <w:pStyle w:val="23"/>
        <w:widowControl w:val="0"/>
        <w:spacing w:after="0" w:line="360" w:lineRule="auto"/>
        <w:ind w:firstLine="616" w:firstLineChars="200"/>
        <w:rPr>
          <w:rFonts w:ascii="楷体" w:hAnsi="楷体" w:eastAsia="楷体" w:cs="楷体"/>
          <w:b/>
          <w:bCs/>
          <w:sz w:val="32"/>
          <w:szCs w:val="32"/>
        </w:rPr>
      </w:pPr>
      <w:r>
        <w:rPr>
          <w:rFonts w:hint="eastAsia" w:ascii="楷体" w:hAnsi="楷体" w:eastAsia="楷体" w:cs="楷体"/>
          <w:b/>
          <w:bCs/>
          <w:sz w:val="32"/>
          <w:szCs w:val="32"/>
        </w:rPr>
        <w:t>（一）扎实推进生态产业协调发展</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1.保护、开发、治理多措并举。</w:t>
      </w:r>
      <w:r>
        <w:rPr>
          <w:rFonts w:hint="eastAsia" w:ascii="仿宋_GB2312" w:hAnsi="仿宋_GB2312" w:eastAsia="仿宋_GB2312" w:cs="仿宋_GB2312"/>
          <w:sz w:val="32"/>
          <w:szCs w:val="32"/>
        </w:rPr>
        <w:t>建立健全相应的空间规划体系和有序协调的国土开发保护格局，严守生态保护红线，坚持对生态资源进行整体保护、系统修复、区域统筹、综合治理。充分挖掘各镇生态资源优势，协同推进经济高质量发展和生态环境高水平保护，协同发挥政府主导作用和企业主体作用，引导开发和培育山地苹果、葡萄、油用牡丹、樱桃、枸杞等特色生态林果产业。倡导清洁开发、及时治污、简约适度、绿色低碳的生产和生活方式，反对过度开发、先污染后治理、铺张浪费的生产和消费方式。</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2.政府、企业、个体协同推进。</w:t>
      </w:r>
      <w:r>
        <w:rPr>
          <w:rFonts w:hint="eastAsia" w:ascii="仿宋_GB2312" w:hAnsi="仿宋_GB2312" w:eastAsia="仿宋_GB2312" w:cs="仿宋_GB2312"/>
          <w:sz w:val="32"/>
          <w:szCs w:val="32"/>
        </w:rPr>
        <w:t>充分发挥政府引导作用、企业的市场主体作用和个体的生产作用，以现有生态资源和人文资源为基础，共同推动生态资源市场化和实现价值增值，充分将资源优势转化为经济优势。全面保护好野生动物和湿地资源、古树名木，促进森林生态系统多样性，增强森林生态承载能力。在无定河等河流沿岸实施防护景观带建设工程，在龙洲水上丹霞等景区加强美化绿化，实现水体林带化。加强经济林基地建设，实现林果产业化。力争到2025年末，全县60%以上的防风固沙生态林得到有效更新，以灌木为主的森林覆盖率达到40%，稳步提升碳汇量。</w:t>
      </w:r>
    </w:p>
    <w:p>
      <w:pPr>
        <w:pStyle w:val="23"/>
        <w:widowControl w:val="0"/>
        <w:spacing w:after="0" w:line="360" w:lineRule="auto"/>
        <w:ind w:firstLine="616" w:firstLineChars="200"/>
        <w:rPr>
          <w:rFonts w:ascii="楷体_GB2312" w:hAnsi="楷体_GB2312" w:eastAsia="楷体_GB2312" w:cs="楷体_GB2312"/>
          <w:b/>
          <w:bCs/>
          <w:sz w:val="32"/>
          <w:szCs w:val="32"/>
        </w:rPr>
      </w:pPr>
      <w:r>
        <w:rPr>
          <w:rFonts w:hint="eastAsia" w:ascii="仿宋_GB2312" w:hAnsi="仿宋_GB2312" w:eastAsia="仿宋_GB2312" w:cs="仿宋_GB2312"/>
          <w:b/>
          <w:bCs/>
          <w:sz w:val="32"/>
          <w:szCs w:val="32"/>
        </w:rPr>
        <w:t>3.生态、人文、产业融合发展。</w:t>
      </w:r>
      <w:r>
        <w:rPr>
          <w:rFonts w:hint="eastAsia" w:ascii="仿宋_GB2312" w:hAnsi="仿宋_GB2312" w:eastAsia="仿宋_GB2312" w:cs="仿宋_GB2312"/>
          <w:sz w:val="32"/>
          <w:szCs w:val="32"/>
        </w:rPr>
        <w:t>生态产业化不仅要重视对山水林田湖草沙等资源的产业化发展，还应结合各镇文化特色，传承和弘扬民俗文化，打造“自然—人文”特色产业，还应立足当前已有产业基础，开发多元化生态产业发展模式，实现融合发展。要按照“三区六化”总体格局，加快北部风沙区大绿化、中部涧地区林网化、南部山区生态化进程，足额落实造林地块，积极发展碳汇林业，确保形成全覆盖、立体式、多网络的绿化大格局。要因地制宜、因势利导选择适宜的发展方式。例如，山地资源丰富区域可走“人口下山—产业上山—产品出山—制度护山”的发展道路；水资源丰富区域，可走“一水多用、主副结合、多业并举”的水生态资源开发利用发展道路。</w:t>
      </w:r>
    </w:p>
    <w:p>
      <w:pPr>
        <w:pStyle w:val="23"/>
        <w:widowControl w:val="0"/>
        <w:spacing w:after="0" w:line="360" w:lineRule="auto"/>
        <w:ind w:firstLine="616" w:firstLineChars="200"/>
        <w:rPr>
          <w:rFonts w:ascii="楷体" w:hAnsi="楷体" w:eastAsia="楷体" w:cs="楷体"/>
          <w:sz w:val="32"/>
          <w:szCs w:val="32"/>
        </w:rPr>
      </w:pPr>
      <w:r>
        <w:rPr>
          <w:rFonts w:hint="eastAsia" w:ascii="楷体" w:hAnsi="楷体" w:eastAsia="楷体" w:cs="楷体"/>
          <w:sz w:val="32"/>
          <w:szCs w:val="32"/>
        </w:rPr>
        <w:t>（二）着力构建生态产业发展体系</w:t>
      </w:r>
    </w:p>
    <w:p>
      <w:pPr>
        <w:pStyle w:val="23"/>
        <w:widowControl w:val="0"/>
        <w:spacing w:after="0" w:line="360" w:lineRule="auto"/>
        <w:ind w:firstLine="616"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靖边县将围绕“一心两线三点多面+三区三带”的林草建设总布局，构建北部风沙区深绿化、中部涧地林网化、南部山区生态化的林业生态新空间。按照“国土增绿、农民增收、林草增效”的产业建设总方针，创建生态调节成效好、文化旅游功能强、物质生产能力高的林草经济新模式。按照“严管林草资源、慎用林地草地、促进经济发展”的总要求，建立森林资源安全、野动保护强化、病虫防治及时、防火禁牧到位的林草保护新体系。</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1.建立生态保护长效机制。</w:t>
      </w:r>
      <w:r>
        <w:rPr>
          <w:rFonts w:hint="eastAsia" w:ascii="仿宋_GB2312" w:hAnsi="仿宋_GB2312" w:eastAsia="仿宋_GB2312" w:cs="仿宋_GB2312"/>
          <w:sz w:val="32"/>
          <w:szCs w:val="32"/>
        </w:rPr>
        <w:t>加快全县自然资源资产数据采集和信息管理平台建设，推进自然资源管理体制改革。加强自然资源用途管制，实现能源、水资源按质量分级、梯级利用。落实最严格耕地保护和节约用地制度，加强土地用途转用许可管理。完善资产资源规划制度，强化矿产开发准入管理。建立古树名木保护长效机制。完善生态保护补偿制度体系和耕地保护补偿制度。严格执行环境影响评价、污染物排放许可、污染物总量控制制度。充分发挥环保社会监督，补齐行政监管的短板，形成行政主导、社会参与的环保监管监督新格局。</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2.发展生态观光旅游。</w:t>
      </w:r>
      <w:r>
        <w:rPr>
          <w:rFonts w:hint="eastAsia" w:ascii="仿宋_GB2312" w:hAnsi="仿宋_GB2312" w:eastAsia="仿宋_GB2312" w:cs="仿宋_GB2312"/>
          <w:sz w:val="32"/>
          <w:szCs w:val="32"/>
        </w:rPr>
        <w:t>坚持因地制宜、因势利导的原则，将大农业与二、三产业相结合，打造具有旅游价值、区域文化价值的衍生产品，最大程度的延伸生态价值。以靖边县红色旅游为动力，规划和推荐生态旅游示范路线，加大旅游景区周边绿化，以生态建设规模化带动生态旅游发展。例如，通过对五台森林公园林分结构进行调整，引进元宝枫等景观树种，对公园东进行景观提升改造。按照统筹山水林田湖草沙一体化保护和修复的思路，以打造“高西沟”式生态振兴示范村为契机，实施龙洲丹霞地貌地址公园周边绿化，以绿衬美。</w:t>
      </w:r>
    </w:p>
    <w:p>
      <w:pPr>
        <w:pStyle w:val="23"/>
        <w:widowControl w:val="0"/>
        <w:spacing w:after="0" w:line="360" w:lineRule="auto"/>
        <w:ind w:firstLine="616" w:firstLineChars="200"/>
        <w:rPr>
          <w:rFonts w:ascii="楷体_GB2312" w:hAnsi="楷体_GB2312" w:eastAsia="楷体_GB2312" w:cs="楷体_GB2312"/>
          <w:b/>
          <w:bCs/>
          <w:sz w:val="32"/>
          <w:szCs w:val="32"/>
        </w:rPr>
      </w:pPr>
      <w:r>
        <w:rPr>
          <w:rFonts w:hint="eastAsia" w:ascii="仿宋_GB2312" w:hAnsi="仿宋_GB2312" w:eastAsia="仿宋_GB2312" w:cs="仿宋_GB2312"/>
          <w:b/>
          <w:bCs/>
          <w:sz w:val="32"/>
          <w:szCs w:val="32"/>
        </w:rPr>
        <w:t>3.构筑水生态文明体系。</w:t>
      </w:r>
      <w:r>
        <w:rPr>
          <w:rFonts w:hint="eastAsia" w:ascii="仿宋_GB2312" w:hAnsi="仿宋_GB2312" w:eastAsia="仿宋_GB2312" w:cs="仿宋_GB2312"/>
          <w:sz w:val="32"/>
          <w:szCs w:val="32"/>
        </w:rPr>
        <w:t>牢固树立和践行绿水青山就是金山银山的理念，坚持生态优先、绿色发展，以水而定、量水而行，因地制宜、分类施策，上下游、干支流、左右岸统筹谋划，共同抓好大保护，协同推进大治理。实施好国家水土保持治理、坡耕地水土保持综合治理、京津风沙源治理、病险淤地坝除险加固、黄河粗泥沙和省级水利发展资金水土保持综合治理等重点水保项目，逐步提升水生态系统稳定性和生态服务功能，力争“十四五”期间，全县治理水土流失面积达300平方公里以上，新建拦沙工程311座，除险加固淤地坝91座，新修梯田4.2万亩。</w:t>
      </w:r>
    </w:p>
    <w:p>
      <w:pPr>
        <w:pStyle w:val="23"/>
        <w:widowControl w:val="0"/>
        <w:spacing w:after="0" w:line="36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（三）持续推进美丽乡村生态环境建设</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1.实施绿化造林工程。</w:t>
      </w:r>
      <w:r>
        <w:rPr>
          <w:rFonts w:hint="eastAsia" w:ascii="仿宋_GB2312" w:hAnsi="仿宋_GB2312" w:eastAsia="仿宋_GB2312" w:cs="仿宋_GB2312"/>
          <w:sz w:val="32"/>
          <w:szCs w:val="32"/>
        </w:rPr>
        <w:t>以榆林市防止二次沙化及国土绿化五年行动为契机，按照“北提升、南治理、中改造”的建设方针，科学规划，积极争取中省市项目，重点实施白于山区百万亩绿色生态屏障建设、黄土高原水土流失综合治理荒漠化治理、退化草原修复、天然林保护与营造林等工程，统筹抓好“三林”提升改造、重点区域绿化、生态廊道建设、林草产业建设、美丽乡村等项目，持续扩大绿色生态空间比重，形成全覆盖、立体式、多网络的绿化大格局。鼓励通过招商引资引进大型国企，以国家储备林建设为抓手，进行整体生态策划和综合开发，建设高标准储备林示范基地、森林乡村、田园综合体和森林公园等精品产品。统筹抓好天然林保护（二期）工程、京津风沙源治理（二期）工程、千里绿色长廊、樟子松基地和“百万亩绿色碳库”等工程项目，持续扩大绿色生态空间比重。深入开展封山禁牧工作，全面保护好野生动物和湿地资源、古树名木，促进森林生态系统多样性，增强森林生态承载能力。</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2.探索森林碳汇产业发展。</w:t>
      </w:r>
      <w:r>
        <w:rPr>
          <w:rFonts w:hint="eastAsia" w:ascii="仿宋_GB2312" w:hAnsi="仿宋_GB2312" w:eastAsia="仿宋_GB2312" w:cs="仿宋_GB2312"/>
          <w:sz w:val="32"/>
          <w:szCs w:val="32"/>
        </w:rPr>
        <w:t>加快生态建设步伐，打造高质量“碳汇林”，通过生态治理固碳增汇，持续提升森林碳汇能力。</w:t>
      </w:r>
    </w:p>
    <w:p>
      <w:pPr>
        <w:pStyle w:val="23"/>
        <w:widowControl w:val="0"/>
        <w:spacing w:after="0"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3.大力发展林业经济。</w:t>
      </w:r>
      <w:r>
        <w:rPr>
          <w:rFonts w:hint="eastAsia" w:ascii="仿宋_GB2312" w:hAnsi="仿宋_GB2312" w:eastAsia="仿宋_GB2312" w:cs="仿宋_GB2312"/>
          <w:sz w:val="32"/>
          <w:szCs w:val="32"/>
        </w:rPr>
        <w:t>一是加强经济林基地建设，探索发展山地苹果、葡萄、油用牡丹、樱桃、枸杞等特色经济林，实现林果产业化，持续建设以杨米涧为主的3万亩木本油料树种文冠果基地，积极筹措各级资金，加强文冠果后续产业建设。同时以点带面、示范引领，建设白于山区万亩山桃基地和周河镇万亩核桃基地。二是要把林下经济发展与森林资源培育、天然林保护、重点防护林体系建设、退耕还林、防沙治沙、野生动植物保护等生态建设工程紧密结合，根据南部、北部和中部地区不同的立地条件，引导农民、引进企业发展“林禽、林畜、林草、林菜、林菌、林药、林油、林粮”等八大林下经济模式。三是加强新型苗木花卉培育。结合当前苗木花卉市场前景，科学规划，在柳桂湾林场打造西北首家造型油松基地。</w:t>
      </w:r>
    </w:p>
    <w:p/>
    <w:p>
      <w:pPr>
        <w:pStyle w:val="2"/>
      </w:pPr>
    </w:p>
    <w:p/>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20" w:type="dxa"/>
            <w:vAlign w:val="center"/>
          </w:tcPr>
          <w:p>
            <w:pPr>
              <w:pStyle w:val="23"/>
              <w:widowControl w:val="0"/>
              <w:spacing w:after="0" w:line="240" w:lineRule="auto"/>
              <w:jc w:val="center"/>
              <w:rPr>
                <w:rFonts w:ascii="黑体" w:hAnsi="黑体" w:eastAsia="黑体" w:cs="黑体"/>
                <w:b/>
                <w:bCs/>
                <w:sz w:val="24"/>
              </w:rPr>
            </w:pPr>
            <w:r>
              <w:rPr>
                <w:rFonts w:hint="eastAsia" w:ascii="黑体" w:hAnsi="黑体" w:eastAsia="黑体" w:cs="黑体"/>
                <w:sz w:val="24"/>
              </w:rPr>
              <w:t>专栏7  生态环境质量改善重点工程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8820" w:type="dxa"/>
            <w:vAlign w:val="center"/>
          </w:tcPr>
          <w:p>
            <w:pPr>
              <w:spacing w:line="500" w:lineRule="exact"/>
              <w:ind w:firstLine="456" w:firstLineChars="200"/>
              <w:rPr>
                <w:rFonts w:ascii="仿宋_GB2312" w:hAnsi="仿宋_GB2312" w:eastAsia="仿宋_GB2312" w:cs="仿宋_GB2312"/>
                <w:sz w:val="24"/>
              </w:rPr>
            </w:pPr>
            <w:r>
              <w:rPr>
                <w:rFonts w:hint="eastAsia" w:ascii="仿宋_GB2312" w:hAnsi="仿宋_GB2312" w:eastAsia="仿宋_GB2312" w:cs="仿宋_GB2312"/>
                <w:b/>
                <w:bCs/>
                <w:sz w:val="24"/>
              </w:rPr>
              <w:t>1.森林生态修复与提升。</w:t>
            </w:r>
            <w:r>
              <w:rPr>
                <w:rFonts w:hint="eastAsia" w:ascii="仿宋_GB2312" w:hAnsi="仿宋_GB2312" w:eastAsia="仿宋_GB2312" w:cs="仿宋_GB2312"/>
                <w:sz w:val="24"/>
              </w:rPr>
              <w:t>规划总面积10万亩，其中：林草质量提升每年规划</w:t>
            </w:r>
            <w:r>
              <w:rPr>
                <w:rFonts w:hint="eastAsia" w:ascii="仿宋_GB2312" w:hAnsi="仿宋_GB2312" w:eastAsia="仿宋_GB2312" w:cs="仿宋_GB2312"/>
                <w:spacing w:val="-11"/>
                <w:sz w:val="24"/>
              </w:rPr>
              <w:t>1.5万亩，五年内完成7.5万亩；森林抚育每年规划0.5万亩，五年内完成2.5万亩。</w:t>
            </w:r>
          </w:p>
          <w:p>
            <w:pPr>
              <w:spacing w:line="500" w:lineRule="exact"/>
              <w:ind w:firstLine="456" w:firstLineChars="200"/>
              <w:rPr>
                <w:rFonts w:ascii="仿宋_GB2312" w:hAnsi="仿宋_GB2312" w:eastAsia="仿宋_GB2312" w:cs="仿宋_GB2312"/>
                <w:sz w:val="24"/>
              </w:rPr>
            </w:pPr>
            <w:r>
              <w:rPr>
                <w:rFonts w:hint="eastAsia" w:ascii="仿宋_GB2312" w:hAnsi="仿宋_GB2312" w:eastAsia="仿宋_GB2312" w:cs="仿宋_GB2312"/>
                <w:b/>
                <w:bCs/>
                <w:sz w:val="24"/>
              </w:rPr>
              <w:t>2.退耕还林工程方面。</w:t>
            </w:r>
            <w:r>
              <w:rPr>
                <w:rFonts w:hint="eastAsia" w:ascii="仿宋_GB2312" w:hAnsi="仿宋_GB2312" w:eastAsia="仿宋_GB2312" w:cs="仿宋_GB2312"/>
                <w:sz w:val="24"/>
              </w:rPr>
              <w:t>严格按照国家的政策兑现标准，完成上一轮退耕还林政策兑现资金、新一轮退耕还林种苗费和政策兑现资金。</w:t>
            </w:r>
          </w:p>
          <w:p>
            <w:pPr>
              <w:spacing w:line="500" w:lineRule="exact"/>
              <w:ind w:firstLine="456" w:firstLineChars="200"/>
              <w:rPr>
                <w:rFonts w:ascii="仿宋_GB2312" w:hAnsi="仿宋_GB2312" w:eastAsia="仿宋_GB2312" w:cs="仿宋_GB2312"/>
                <w:sz w:val="24"/>
              </w:rPr>
            </w:pPr>
            <w:r>
              <w:rPr>
                <w:rFonts w:hint="eastAsia" w:ascii="仿宋_GB2312" w:hAnsi="仿宋_GB2312" w:eastAsia="仿宋_GB2312" w:cs="仿宋_GB2312"/>
                <w:b/>
                <w:bCs/>
                <w:sz w:val="24"/>
              </w:rPr>
              <w:t>3.美丽乡村建设。</w:t>
            </w:r>
            <w:r>
              <w:rPr>
                <w:rFonts w:hint="eastAsia" w:ascii="仿宋_GB2312" w:hAnsi="仿宋_GB2312" w:eastAsia="仿宋_GB2312" w:cs="仿宋_GB2312"/>
                <w:sz w:val="24"/>
              </w:rPr>
              <w:t>总规划40个，其中：美丽乡村建设每年规划8个，分别对村委、政府驻地、乡村道路等进行绿化，五年内完成40个。</w:t>
            </w:r>
          </w:p>
          <w:p>
            <w:pPr>
              <w:spacing w:line="500" w:lineRule="exact"/>
              <w:ind w:firstLine="456" w:firstLineChars="200"/>
              <w:rPr>
                <w:rFonts w:ascii="楷体" w:hAnsi="楷体" w:eastAsia="楷体" w:cs="楷体"/>
                <w:b/>
                <w:bCs/>
                <w:sz w:val="32"/>
                <w:szCs w:val="32"/>
              </w:rPr>
            </w:pPr>
            <w:r>
              <w:rPr>
                <w:rFonts w:hint="eastAsia" w:ascii="仿宋_GB2312" w:hAnsi="仿宋_GB2312" w:eastAsia="仿宋_GB2312" w:cs="仿宋_GB2312"/>
                <w:b/>
                <w:bCs/>
                <w:sz w:val="24"/>
              </w:rPr>
              <w:t>4.生态效益补偿。</w:t>
            </w:r>
            <w:r>
              <w:rPr>
                <w:rFonts w:hint="eastAsia" w:ascii="仿宋_GB2312" w:hAnsi="仿宋_GB2312" w:eastAsia="仿宋_GB2312" w:cs="仿宋_GB2312"/>
                <w:sz w:val="24"/>
              </w:rPr>
              <w:t>每年完成98.6万亩。</w:t>
            </w:r>
          </w:p>
        </w:tc>
      </w:tr>
    </w:tbl>
    <w:p>
      <w:pPr>
        <w:jc w:val="center"/>
        <w:outlineLvl w:val="1"/>
        <w:rPr>
          <w:rFonts w:ascii="黑体" w:hAnsi="黑体" w:eastAsia="黑体" w:cs="黑体"/>
          <w:sz w:val="32"/>
          <w:szCs w:val="32"/>
        </w:rPr>
      </w:pPr>
      <w:bookmarkStart w:id="70" w:name="_Toc3010"/>
      <w:bookmarkStart w:id="71" w:name="_Toc13645"/>
    </w:p>
    <w:p>
      <w:pPr>
        <w:pStyle w:val="2"/>
      </w:pPr>
    </w:p>
    <w:p>
      <w:pPr>
        <w:jc w:val="center"/>
        <w:outlineLvl w:val="1"/>
        <w:rPr>
          <w:rFonts w:ascii="黑体" w:hAnsi="黑体" w:eastAsia="黑体" w:cs="黑体"/>
          <w:sz w:val="32"/>
          <w:szCs w:val="32"/>
        </w:rPr>
      </w:pPr>
      <w:r>
        <w:rPr>
          <w:rFonts w:hint="eastAsia" w:ascii="黑体" w:hAnsi="黑体" w:eastAsia="黑体" w:cs="黑体"/>
          <w:sz w:val="32"/>
          <w:szCs w:val="32"/>
        </w:rPr>
        <w:t>第五节 组织振兴</w:t>
      </w:r>
      <w:bookmarkEnd w:id="70"/>
      <w:bookmarkEnd w:id="71"/>
    </w:p>
    <w:p>
      <w:pPr>
        <w:spacing w:line="360" w:lineRule="auto"/>
        <w:ind w:firstLine="616" w:firstLineChars="200"/>
        <w:rPr>
          <w:rFonts w:ascii="仿宋_GB2312" w:hAnsi="仿宋_GB2312" w:eastAsia="仿宋_GB2312" w:cs="仿宋_GB2312"/>
          <w:sz w:val="32"/>
          <w:szCs w:val="32"/>
        </w:rPr>
      </w:pPr>
    </w:p>
    <w:p>
      <w:pPr>
        <w:spacing w:line="360" w:lineRule="auto"/>
        <w:ind w:firstLine="592" w:firstLineChars="200"/>
        <w:rPr>
          <w:rFonts w:ascii="仿宋_GB2312" w:hAnsi="仿宋_GB2312" w:eastAsia="仿宋_GB2312" w:cs="仿宋_GB2312"/>
          <w:spacing w:val="-6"/>
          <w:sz w:val="32"/>
          <w:szCs w:val="32"/>
        </w:rPr>
      </w:pPr>
      <w:bookmarkStart w:id="72" w:name="_Toc23790"/>
      <w:bookmarkStart w:id="73" w:name="_Toc971"/>
      <w:r>
        <w:rPr>
          <w:rFonts w:hint="eastAsia" w:ascii="仿宋_GB2312" w:hAnsi="仿宋_GB2312" w:eastAsia="仿宋_GB2312" w:cs="仿宋_GB2312"/>
          <w:spacing w:val="-6"/>
          <w:sz w:val="32"/>
          <w:szCs w:val="32"/>
        </w:rPr>
        <w:t>深入学习贯彻习近平总书记来陕考察重要讲话重要指示，认真落实全国全省全市脱贫攻坚与乡村振兴有效衔接工作要求，践行“办好靖边的事情，关键在基层党组织、关键在党员干部、关键在人才”的理念主旨，解放思想、改革创新，实干奋进、狠抓落实，深入实施“三大工程”，培塑“四类品牌”，强化“三项机制”，全面推进全县脱贫攻坚与乡村振兴有效衔接工作高质量完成。</w:t>
      </w:r>
    </w:p>
    <w:p>
      <w:pPr>
        <w:spacing w:line="360" w:lineRule="auto"/>
        <w:ind w:firstLine="616" w:firstLineChars="200"/>
        <w:rPr>
          <w:rFonts w:ascii="楷体" w:hAnsi="楷体" w:eastAsia="楷体" w:cs="楷体"/>
          <w:b/>
          <w:bCs/>
          <w:sz w:val="32"/>
          <w:szCs w:val="32"/>
        </w:rPr>
      </w:pPr>
      <w:r>
        <w:rPr>
          <w:rFonts w:hint="eastAsia" w:ascii="楷体" w:hAnsi="楷体" w:eastAsia="楷体" w:cs="楷体"/>
          <w:b/>
          <w:bCs/>
          <w:sz w:val="32"/>
          <w:szCs w:val="32"/>
        </w:rPr>
        <w:t>（一）实施“三大工程”</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1.党建引领工程。</w:t>
      </w:r>
      <w:r>
        <w:rPr>
          <w:rFonts w:hint="eastAsia" w:ascii="仿宋_GB2312" w:hAnsi="仿宋_GB2312" w:eastAsia="仿宋_GB2312" w:cs="仿宋_GB2312"/>
          <w:sz w:val="32"/>
          <w:szCs w:val="32"/>
        </w:rPr>
        <w:t>落实“建好党支部、选好带头人，把基层党组织战斗堡垒作用充分发挥出来”重要指示，深化“三规范三强化”，即规范党员管理、规范组织生活、规范民主管理，强化班子建设、强化基础保障、强化责任体系。建设组织力强、引领力强、凝聚力强的基层党组织，打造一支作风优良的党员队伍。</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2.高素质干部薪火工程。</w:t>
      </w:r>
      <w:r>
        <w:rPr>
          <w:rFonts w:ascii="仿宋_GB2312" w:hAnsi="仿宋_GB2312" w:eastAsia="仿宋_GB2312" w:cs="仿宋_GB2312"/>
          <w:sz w:val="32"/>
          <w:szCs w:val="32"/>
        </w:rPr>
        <w:t>聚焦年轻干部培养滞后，干部作风不严不实，干部教育培训不精准，紧缺人才匮乏等突出问题，坚持事业发展与干部成长、个体优选与组合优化、调整结构与增强功能相统一，建立健全选育管用全链条，规范高效科学的选贤任能制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锻造一支政治过硬、本领过硬、作风过硬、堪当时代重任的骨干队伍。</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3.引才育才聚力工程。</w:t>
      </w:r>
      <w:r>
        <w:rPr>
          <w:rFonts w:hint="eastAsia" w:ascii="仿宋_GB2312" w:hAnsi="仿宋_GB2312" w:eastAsia="仿宋_GB2312" w:cs="仿宋_GB2312"/>
          <w:sz w:val="32"/>
          <w:szCs w:val="32"/>
        </w:rPr>
        <w:t>立</w:t>
      </w:r>
      <w:r>
        <w:rPr>
          <w:rFonts w:ascii="仿宋_GB2312" w:hAnsi="仿宋_GB2312" w:eastAsia="仿宋_GB2312" w:cs="仿宋_GB2312"/>
          <w:sz w:val="32"/>
          <w:szCs w:val="32"/>
        </w:rPr>
        <w:t>足产业优势，围绕破解靖边人才短缺的瓶颈，主动融入秦创原创新驱动平台，抓紧编制靖边人才地图，健全人才体制机制，优化人才工作环境，刚柔并济引进人才，提高引才质量，盘活人才存量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着力集聚更具创新创造创业活力的优秀人才，着力破解转型发展与人才匮乏的结构性矛盾。</w:t>
      </w:r>
    </w:p>
    <w:p>
      <w:pPr>
        <w:spacing w:line="360" w:lineRule="auto"/>
        <w:ind w:firstLine="616" w:firstLineChars="200"/>
        <w:rPr>
          <w:rFonts w:ascii="楷体" w:hAnsi="楷体" w:eastAsia="楷体" w:cs="楷体"/>
          <w:b/>
          <w:bCs/>
          <w:sz w:val="32"/>
          <w:szCs w:val="32"/>
        </w:rPr>
      </w:pPr>
      <w:r>
        <w:rPr>
          <w:rFonts w:hint="eastAsia" w:ascii="楷体" w:hAnsi="楷体" w:eastAsia="楷体" w:cs="楷体"/>
          <w:b/>
          <w:bCs/>
          <w:sz w:val="32"/>
          <w:szCs w:val="32"/>
        </w:rPr>
        <w:t>（二）培塑“四类品牌”</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抓党建促乡村振兴，促社会治理，促服务提升，以307国道、G65沿线为轴线，在全县各领域基层党组织中，建立健全党建工作组织体系、责任体系、网络体系、制度体系，打造一批标准化、特色化、高质量的农村、机关、城市和两新组织红旗集群党支部试点，力争在全市做示范、全省树品牌、全国出经验。</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1.打造红旗点，全域争创红旗集群。</w:t>
      </w:r>
      <w:r>
        <w:rPr>
          <w:rFonts w:hint="eastAsia" w:ascii="仿宋_GB2312" w:hAnsi="仿宋_GB2312" w:eastAsia="仿宋_GB2312" w:cs="仿宋_GB2312"/>
          <w:sz w:val="32"/>
          <w:szCs w:val="32"/>
        </w:rPr>
        <w:t>按照“由点到线、由线到面，以北带南、辐射全域”的工作思路， 沿307国道打造一批标准化、特色化、高质量的农村、机关、城市和两新党组织行业红旗集群。</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2.选派红管家，深化四个双百工程。</w:t>
      </w:r>
      <w:r>
        <w:rPr>
          <w:rFonts w:hint="eastAsia" w:ascii="仿宋_GB2312" w:hAnsi="仿宋_GB2312" w:eastAsia="仿宋_GB2312" w:cs="仿宋_GB2312"/>
          <w:sz w:val="32"/>
          <w:szCs w:val="32"/>
        </w:rPr>
        <w:t>推行“四个双百红管家传帮带”工程，选派党员干部进企业、落实领导干部联系制度、培育特色党建品牌、帮扶带动示范引领、助力抓党建促乡村振兴等。</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3.共筑同心联，激发区域发展活力。</w:t>
      </w:r>
      <w:r>
        <w:rPr>
          <w:rFonts w:hint="eastAsia" w:ascii="仿宋_GB2312" w:hAnsi="仿宋_GB2312" w:eastAsia="仿宋_GB2312" w:cs="仿宋_GB2312"/>
          <w:sz w:val="32"/>
          <w:szCs w:val="32"/>
        </w:rPr>
        <w:t>按照村村联合、村社联合、村企联合的组建模式，建立区域联合党委，有效统筹资源，盘活土地，构建镇域内共建共治共享平台。</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4.携手搭桥盟，推动行业蓄势聚能。</w:t>
      </w:r>
      <w:r>
        <w:rPr>
          <w:rFonts w:hint="eastAsia" w:ascii="仿宋_GB2312" w:hAnsi="仿宋_GB2312" w:eastAsia="仿宋_GB2312" w:cs="仿宋_GB2312"/>
          <w:sz w:val="32"/>
          <w:szCs w:val="32"/>
        </w:rPr>
        <w:t>聚焦经济林果、畜牧养殖、旅游和油气钻井业等重点产业，以党组织为纽带，建立行业党建联盟，深化产业发展全链条服务。</w:t>
      </w:r>
    </w:p>
    <w:p>
      <w:pPr>
        <w:spacing w:line="360" w:lineRule="auto"/>
        <w:ind w:firstLine="616" w:firstLineChars="200"/>
        <w:rPr>
          <w:rFonts w:ascii="楷体" w:hAnsi="楷体" w:eastAsia="楷体" w:cs="楷体"/>
          <w:b/>
          <w:bCs/>
          <w:sz w:val="32"/>
          <w:szCs w:val="32"/>
        </w:rPr>
      </w:pPr>
      <w:r>
        <w:rPr>
          <w:rFonts w:hint="eastAsia" w:ascii="楷体" w:hAnsi="楷体" w:eastAsia="楷体" w:cs="楷体"/>
          <w:b/>
          <w:bCs/>
          <w:sz w:val="32"/>
          <w:szCs w:val="32"/>
        </w:rPr>
        <w:t>（三）强化“三项机制”</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1.管理机制。一是</w:t>
      </w:r>
      <w:r>
        <w:rPr>
          <w:rFonts w:ascii="仿宋_GB2312" w:hAnsi="仿宋_GB2312" w:eastAsia="仿宋_GB2312" w:cs="仿宋_GB2312"/>
          <w:sz w:val="32"/>
          <w:szCs w:val="32"/>
        </w:rPr>
        <w:t>出台新一轮驻村第一书记和工作队选派管理系列文件。制定出台《关于持续选派驻村第一书记和工作队员的意见》《关于扎实做好驻村第一书记和工作队员“传帮带”交接工作的通知》《靖边县驻村工作队及驻村第一书记管理办法》《靖边县第一书记和驻村工作队员工作职责及管理办法》《靖边县第一书和驻村工作队召回管理办法（试行）》《靖边县第一书记和驻村工作队“红黑榜”管理办法（试行）》等</w:t>
      </w:r>
      <w:r>
        <w:rPr>
          <w:rFonts w:hint="eastAsia" w:ascii="仿宋_GB2312" w:hAnsi="仿宋_GB2312" w:eastAsia="仿宋_GB2312" w:cs="仿宋_GB2312"/>
          <w:sz w:val="32"/>
          <w:szCs w:val="32"/>
        </w:rPr>
        <w:t>配套</w:t>
      </w:r>
      <w:r>
        <w:rPr>
          <w:rFonts w:ascii="仿宋_GB2312" w:hAnsi="仿宋_GB2312" w:eastAsia="仿宋_GB2312" w:cs="仿宋_GB2312"/>
          <w:sz w:val="32"/>
          <w:szCs w:val="32"/>
        </w:rPr>
        <w:t>文件。</w:t>
      </w:r>
      <w:r>
        <w:rPr>
          <w:rFonts w:hint="eastAsia" w:ascii="仿宋_GB2312" w:hAnsi="仿宋_GB2312" w:eastAsia="仿宋_GB2312" w:cs="仿宋_GB2312"/>
          <w:b/>
          <w:bCs/>
          <w:sz w:val="32"/>
          <w:szCs w:val="32"/>
        </w:rPr>
        <w:t>二是</w:t>
      </w:r>
      <w:r>
        <w:rPr>
          <w:rFonts w:ascii="仿宋_GB2312" w:hAnsi="仿宋_GB2312" w:eastAsia="仿宋_GB2312" w:cs="仿宋_GB2312"/>
          <w:sz w:val="32"/>
          <w:szCs w:val="32"/>
        </w:rPr>
        <w:t>“五类村”选派全覆盖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坚持硬标准，硬选人、选硬人原则，向70个脱贫村、5个异地搬迁安置点、1个乡村振兴任务重的村、5个软弱涣散村、1个红色美丽村庄试点建设村选派第一书记</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驻村工作队员。每村选派第一书记（兼任工作队长）1名和工作队员2名，任期不少于2年，到期轮换、压茬交接。</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2.人才机制。</w:t>
      </w:r>
      <w:r>
        <w:rPr>
          <w:rFonts w:hint="eastAsia" w:ascii="仿宋_GB2312" w:hAnsi="仿宋_GB2312" w:eastAsia="仿宋_GB2312" w:cs="仿宋_GB2312"/>
          <w:sz w:val="32"/>
          <w:szCs w:val="32"/>
        </w:rPr>
        <w:t>人才政策衔接方面主要是健全常态化驻村帮扶机制。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选派驻村第一书记和工作队员，对脱贫村、易地扶贫搬迁安置村（社区）、乡村振兴任务重的村、党组织软弱涣散村、红色美丽村统筹协调选派力量，因村精准派人，科学合理组队。以两年为一任期，到期轮换、压茬交接。坚持有序衔接、平稳过渡，保持结对关系和帮扶力量总体稳定，推动30天“传帮带”工作落实有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落实管理政策，完善工作保障机制。压实第一书记和工作队员的驻村职责，强化日常管理，严格考核奖惩，落实召回制度，定期公布驻村工作“红黑榜”，开展丰富多样的比试比拼活动，增强服务意识，提升工作动力。协同财政局做好工作经费、各类补贴费用等资金保障工作，加强关心爱护。开展乡村振兴主题培训，在思想建设、政策法规、工作能力、技术应用等方面深入拓展，采用多样化培训方式，保证每年度驻村第一书记和工作队员至少轮训一次。</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3.治理机制。一是</w:t>
      </w:r>
      <w:r>
        <w:rPr>
          <w:rFonts w:hint="eastAsia" w:ascii="仿宋_GB2312" w:hAnsi="仿宋_GB2312" w:eastAsia="仿宋_GB2312" w:cs="仿宋_GB2312"/>
          <w:sz w:val="32"/>
          <w:szCs w:val="32"/>
        </w:rPr>
        <w:t>强化镇村党组织领导，完善乡村治理体系。全面落实镇村书记抓乡村振兴工作责任，健全抓党建促乡村振兴工作机制，巩固提高村党组织书记和村委会主任“一肩挑”成果和质量。加强村“两委”班子成员管理监督，严格规范“小微权力”。抓好党建引领乡村治理，高标准打造乡村振兴样本村。探索推行村干部收入和村集体经济挂钩机制，提升村干部创业积极性，促进村集体产业经济发展壮大。实施村干部学历提升计划，开展乡村振兴主题培训，提升村干部治理能力。常态化推进村级党组织标准化建设和软弱涣散村党组织整顿，实施动态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增强村民自治组织能力。落实“四议两公开”工作法，健全村级“三重一大”民主决策制度。常态化推进“三务公开”，保障村民知情权、参与权和监督权。推行新时代“枫桥经验”，防范化解矛盾纠纷。</w:t>
      </w:r>
    </w:p>
    <w:p>
      <w:pPr>
        <w:spacing w:line="360" w:lineRule="auto"/>
        <w:ind w:firstLine="616"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（四）保障机制</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1.夯实三级责任体系。一是</w:t>
      </w:r>
      <w:r>
        <w:rPr>
          <w:rFonts w:ascii="仿宋_GB2312" w:hAnsi="仿宋_GB2312" w:eastAsia="仿宋_GB2312" w:cs="仿宋_GB2312"/>
          <w:sz w:val="32"/>
          <w:szCs w:val="32"/>
        </w:rPr>
        <w:t>县委常委班子责任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统揽全县党建工作大局，全面规划、统筹协调、决策部署。班子成员带头抓好分管领域党建工作，经常深入基层调查研究，指导好各自联系点的党建工作。</w:t>
      </w:r>
      <w:r>
        <w:rPr>
          <w:rFonts w:hint="eastAsia" w:ascii="仿宋_GB2312" w:hAnsi="仿宋_GB2312" w:eastAsia="仿宋_GB2312" w:cs="仿宋_GB2312"/>
          <w:b/>
          <w:bCs/>
          <w:sz w:val="32"/>
          <w:szCs w:val="32"/>
        </w:rPr>
        <w:t>二是</w:t>
      </w:r>
      <w:r>
        <w:rPr>
          <w:rFonts w:ascii="仿宋_GB2312" w:hAnsi="仿宋_GB2312" w:eastAsia="仿宋_GB2312" w:cs="仿宋_GB2312"/>
          <w:sz w:val="32"/>
          <w:szCs w:val="32"/>
        </w:rPr>
        <w:t>基层党（工）委责任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层党（工）委严格落实党建主体责任，以党建引领全盘工作，结合实际谋划制定党建工作总体思路和方法措施，建立与县委相应的责任体系，切实抓好各项党建任务落实。党（工）委书记履行第一责任人职责，确保各项基层党建工作任务落细、落小、落实。</w:t>
      </w:r>
      <w:r>
        <w:rPr>
          <w:rFonts w:hint="eastAsia" w:ascii="仿宋_GB2312" w:hAnsi="仿宋_GB2312" w:eastAsia="仿宋_GB2312" w:cs="仿宋_GB2312"/>
          <w:b/>
          <w:bCs/>
          <w:sz w:val="32"/>
          <w:szCs w:val="32"/>
        </w:rPr>
        <w:t>三是</w:t>
      </w:r>
      <w:r>
        <w:rPr>
          <w:rFonts w:ascii="仿宋_GB2312" w:hAnsi="仿宋_GB2312" w:eastAsia="仿宋_GB2312" w:cs="仿宋_GB2312"/>
          <w:sz w:val="32"/>
          <w:szCs w:val="32"/>
        </w:rPr>
        <w:t>基层党支部责任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履行兜底管理责任，认真落实上级党组织的安排部署，规范党内组织生活，加强党员教育管理，抓好支部各项工作；把党建工作与基层治理、服务群众紧密结合，切实发挥基层党组织的战斗堡垒作用和党员的模范带头作用。</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2.落实三项保障机制。一是</w:t>
      </w:r>
      <w:r>
        <w:rPr>
          <w:rFonts w:hint="eastAsia" w:ascii="仿宋_GB2312" w:hAnsi="仿宋_GB2312" w:eastAsia="仿宋_GB2312" w:cs="仿宋_GB2312"/>
          <w:sz w:val="32"/>
          <w:szCs w:val="32"/>
        </w:rPr>
        <w:t>阵地保障机制。县委大力整合党建、政务服务、便民服务等平台资源，加大村、社区阵地建设投入，在农村，按照“五室一中心一广场”功能设置，阵地原则不得低于120平方米；在社区实行“五站两室一部”功能模式，服务用房原则上不低于300平方米，新建社区应不低于500平方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经费保障机制。按照“党建经费项目化、党建服务品牌化、创建模式特色化”的思路，有序推进、重点突破，县财政每年预算不低于350万元专项经费用于党建项目支出。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人才保障机制。抓好村（社区）党组织书记建设，持续开展教育培训，全面推行“一肩挑”“红管家传帮带”机制，多渠道抓好村（社区）后备干部培养储备，为党建引领高质量发展提供可靠人才支持。</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3.实行专班督办制度。</w:t>
      </w:r>
      <w:r>
        <w:rPr>
          <w:rFonts w:hint="eastAsia" w:ascii="仿宋_GB2312" w:hAnsi="仿宋_GB2312" w:eastAsia="仿宋_GB2312" w:cs="仿宋_GB2312"/>
          <w:sz w:val="32"/>
          <w:szCs w:val="32"/>
        </w:rPr>
        <w:t>县委组织部成立工作专班，各科室（下属单位）负责人为各项组织工作的执行负责人，要严格落实“日报告、周计划、月调度、季点评、年考核”制度，以钉钉子精神，推动各项工作落地落实。</w:t>
      </w:r>
    </w:p>
    <w:p>
      <w:pPr>
        <w:spacing w:line="360" w:lineRule="auto"/>
        <w:ind w:firstLine="616" w:firstLineChars="200"/>
        <w:rPr>
          <w:rFonts w:ascii="楷体" w:hAnsi="楷体" w:eastAsia="楷体" w:cs="楷体"/>
          <w:sz w:val="32"/>
          <w:szCs w:val="32"/>
        </w:rPr>
      </w:pPr>
      <w:r>
        <w:rPr>
          <w:rFonts w:hint="eastAsia" w:ascii="楷体" w:hAnsi="楷体" w:eastAsia="楷体" w:cs="楷体"/>
          <w:sz w:val="32"/>
          <w:szCs w:val="32"/>
        </w:rPr>
        <w:t>（五）村民政治、自治、法治、德治、智治</w:t>
      </w:r>
    </w:p>
    <w:p>
      <w:pPr>
        <w:spacing w:line="360" w:lineRule="auto"/>
        <w:ind w:firstLine="61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和创新靖边县基层社会治理，要以人民为中心，共建共享，形成共治聚合力、自治强基础、法治作保障、德治来引领、智治共支撑的“五治”基层治理新格局。补短板强弱项，利用网格化和大数据，实现管理和服务相结合，达到有温度的治理，促进基层社会既充满发展活力又安定团结有序。</w:t>
      </w:r>
    </w:p>
    <w:p>
      <w:pPr>
        <w:pStyle w:val="2"/>
        <w:spacing w:line="36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——强化政治理念，提升基层协同治理能力。</w:t>
      </w:r>
      <w:r>
        <w:rPr>
          <w:rFonts w:hint="eastAsia" w:ascii="仿宋_GB2312" w:hAnsi="仿宋_GB2312" w:eastAsia="仿宋_GB2312" w:cs="仿宋_GB2312"/>
          <w:sz w:val="32"/>
          <w:szCs w:val="32"/>
        </w:rPr>
        <w:t>在重大事务决策中、日常治理和民主监督中，要充分发挥党总揽全局、协调各方的作用，不断增强党组织的组织覆盖力、群众凝聚力和社会号召力。</w:t>
      </w:r>
    </w:p>
    <w:p>
      <w:pPr>
        <w:spacing w:line="36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——强化自治基础，提升基层社会自治能力。</w:t>
      </w:r>
      <w:r>
        <w:rPr>
          <w:rFonts w:hint="eastAsia" w:ascii="仿宋_GB2312" w:hAnsi="仿宋_GB2312" w:eastAsia="仿宋_GB2312" w:cs="仿宋_GB2312"/>
          <w:sz w:val="32"/>
          <w:szCs w:val="32"/>
        </w:rPr>
        <w:t>要拓展社会组织发展空间，构建社会组织多元供给制度，保障激发社会组织参与社会治理的活力，促使其主动作为，力争有为。要创建以农村、社区党组织为主导，以辖区居民为主体，各类社会组织、群众团体、法人单位、行业协会等经济组织共同参与的工作联动机制，构建“党、政、居、社、群”协同参与的共治新格局，形成人人有责、人人尽责、人人享有的社会治理共同体。要规范自治组织建设，丰富自治平台，创新自治方式，引导城乡基层组织制定完善乡规民约、村规民约、居民公约、行业规章等各类规则，不断提升自治能力和水平。</w:t>
      </w:r>
    </w:p>
    <w:p>
      <w:pPr>
        <w:pStyle w:val="2"/>
        <w:spacing w:line="36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——坚持法治原则，提升基层依法治理能力。</w:t>
      </w:r>
      <w:r>
        <w:rPr>
          <w:rFonts w:hint="eastAsia" w:ascii="仿宋_GB2312" w:hAnsi="仿宋_GB2312" w:eastAsia="仿宋_GB2312" w:cs="仿宋_GB2312"/>
          <w:sz w:val="32"/>
          <w:szCs w:val="32"/>
        </w:rPr>
        <w:t>振兴乡村、法治先行。要把法律知识教育与法治实践结合起来，不断提高基层党员干部的法治思维水平和依法行政、依法深化改革、依法破解难题、依法化解矛盾、依法推动发展、依法维护稳定、依法应对风险的能力和水平。教育引导群众增强法治观念，依法规范言行，养成办事依法、遇事找法、解决问题靠法的行为自觉。整合基层司法、公安、律师等法律资源，加强基层法律服务中心建设，推进法律服务体系下沉，为群众提供优质便捷的法律援助服务。</w:t>
      </w:r>
    </w:p>
    <w:p>
      <w:pPr>
        <w:spacing w:line="360" w:lineRule="auto"/>
        <w:ind w:firstLine="616"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——发扬德治传统，提升基层治理的文化引领能力。</w:t>
      </w:r>
      <w:r>
        <w:rPr>
          <w:rFonts w:hint="eastAsia" w:ascii="仿宋_GB2312" w:hAnsi="仿宋_GB2312" w:eastAsia="仿宋_GB2312" w:cs="仿宋_GB2312"/>
          <w:sz w:val="32"/>
          <w:szCs w:val="32"/>
        </w:rPr>
        <w:t>在社会主义核心价值观引领下，发扬德治传统文化的教化作用，促进良好社会风尚形成。大力弘扬社会主义核心价值观，传承中华优秀传统文化，以道德来引领和加强社会公德、职业道德、家庭美德、个人品德建设。通过创新载体，推树道德模范、凡人善举等来形成崇德向善、见贤思齐的良好社会氛围，弘扬正气、凝聚社会正能量。</w:t>
      </w:r>
    </w:p>
    <w:p>
      <w:pPr>
        <w:pStyle w:val="2"/>
        <w:spacing w:line="360" w:lineRule="auto"/>
        <w:ind w:firstLine="616" w:firstLineChars="200"/>
      </w:pPr>
      <w:r>
        <w:rPr>
          <w:rFonts w:hint="eastAsia" w:ascii="楷体_GB2312" w:hAnsi="楷体_GB2312" w:eastAsia="楷体_GB2312" w:cs="楷体_GB2312"/>
          <w:b/>
          <w:bCs/>
          <w:sz w:val="32"/>
          <w:szCs w:val="32"/>
        </w:rPr>
        <w:t>——强化智治思维，提升基层治理的科技支撑能力。</w:t>
      </w:r>
      <w:r>
        <w:rPr>
          <w:rFonts w:hint="eastAsia" w:ascii="仿宋_GB2312" w:hAnsi="仿宋_GB2312" w:eastAsia="仿宋_GB2312" w:cs="仿宋_GB2312"/>
          <w:sz w:val="32"/>
          <w:szCs w:val="32"/>
        </w:rPr>
        <w:t>科技是完善社会治理体系，推进治理能力现代化的重要因素。要加强现代信息网络技术应用，推进社会治理智能化、管理服务智能化，让科技为社会治理赋能，助推治理效能快速提升，打造智慧化社区。</w:t>
      </w:r>
    </w:p>
    <w:p>
      <w:pPr>
        <w:jc w:val="center"/>
        <w:outlineLvl w:val="1"/>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bookmarkEnd w:id="72"/>
    <w:bookmarkEnd w:id="73"/>
    <w:p>
      <w:pPr>
        <w:tabs>
          <w:tab w:val="left" w:pos="3308"/>
        </w:tabs>
        <w:ind w:firstLine="616" w:firstLineChars="200"/>
        <w:jc w:val="center"/>
        <w:outlineLvl w:val="0"/>
        <w:rPr>
          <w:rFonts w:ascii="方正小标宋简体" w:hAnsi="方正小标宋简体" w:eastAsia="方正小标宋简体" w:cs="方正小标宋简体"/>
          <w:kern w:val="0"/>
          <w:sz w:val="32"/>
          <w:szCs w:val="32"/>
        </w:rPr>
      </w:pPr>
      <w:bookmarkStart w:id="74" w:name="_Toc7538"/>
      <w:bookmarkStart w:id="75" w:name="_Toc9421"/>
    </w:p>
    <w:p>
      <w:pPr>
        <w:tabs>
          <w:tab w:val="left" w:pos="3308"/>
        </w:tabs>
        <w:ind w:firstLine="616" w:firstLineChars="200"/>
        <w:jc w:val="center"/>
        <w:outlineLvl w:val="0"/>
        <w:rPr>
          <w:rFonts w:ascii="黑体" w:hAnsi="黑体" w:eastAsia="黑体" w:cs="黑体"/>
          <w:sz w:val="32"/>
          <w:szCs w:val="32"/>
        </w:rPr>
      </w:pPr>
      <w:r>
        <w:rPr>
          <w:rFonts w:hint="eastAsia" w:ascii="方正小标宋简体" w:hAnsi="方正小标宋简体" w:eastAsia="方正小标宋简体" w:cs="方正小标宋简体"/>
          <w:kern w:val="0"/>
          <w:sz w:val="32"/>
          <w:szCs w:val="32"/>
        </w:rPr>
        <w:t>第六章 强化规划实施保障措施</w:t>
      </w:r>
      <w:bookmarkEnd w:id="74"/>
      <w:bookmarkEnd w:id="75"/>
    </w:p>
    <w:p>
      <w:pPr>
        <w:pStyle w:val="23"/>
        <w:widowControl w:val="0"/>
        <w:spacing w:after="0" w:line="0" w:lineRule="atLeast"/>
        <w:jc w:val="center"/>
        <w:rPr>
          <w:rFonts w:ascii="楷体" w:hAnsi="楷体" w:eastAsia="楷体" w:cs="楷体"/>
          <w:b/>
          <w:bCs/>
          <w:sz w:val="24"/>
        </w:rPr>
      </w:pPr>
    </w:p>
    <w:p>
      <w:pPr>
        <w:pStyle w:val="23"/>
        <w:widowControl w:val="0"/>
        <w:spacing w:after="0" w:line="240" w:lineRule="auto"/>
        <w:jc w:val="center"/>
        <w:outlineLvl w:val="1"/>
        <w:rPr>
          <w:rFonts w:ascii="黑体" w:hAnsi="黑体" w:eastAsia="黑体" w:cs="黑体"/>
          <w:sz w:val="32"/>
          <w:szCs w:val="32"/>
        </w:rPr>
      </w:pPr>
      <w:bookmarkStart w:id="76" w:name="_Toc12572"/>
      <w:bookmarkStart w:id="77" w:name="_Toc30499"/>
      <w:r>
        <w:rPr>
          <w:rFonts w:hint="eastAsia" w:ascii="黑体" w:hAnsi="黑体" w:eastAsia="黑体" w:cs="黑体"/>
          <w:sz w:val="32"/>
          <w:szCs w:val="32"/>
        </w:rPr>
        <w:t>第一节 加强组织领导</w:t>
      </w:r>
      <w:bookmarkEnd w:id="76"/>
      <w:bookmarkEnd w:id="77"/>
    </w:p>
    <w:p>
      <w:pPr>
        <w:spacing w:line="0" w:lineRule="atLeast"/>
        <w:rPr>
          <w:sz w:val="24"/>
        </w:rPr>
      </w:pPr>
    </w:p>
    <w:p>
      <w:pPr>
        <w:pStyle w:val="28"/>
        <w:overflowPunct w:val="0"/>
        <w:spacing w:line="240" w:lineRule="auto"/>
        <w:ind w:firstLine="616"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zh-CN" w:eastAsia="zh-CN"/>
        </w:rPr>
        <w:t>“中央</w:t>
      </w:r>
      <w:r>
        <w:rPr>
          <w:rFonts w:hint="eastAsia" w:ascii="仿宋_GB2312" w:hAnsi="仿宋_GB2312" w:eastAsia="仿宋_GB2312" w:cs="仿宋_GB2312"/>
          <w:sz w:val="32"/>
          <w:szCs w:val="32"/>
          <w:lang w:val="en-US" w:eastAsia="zh-CN"/>
        </w:rPr>
        <w:t>统筹、省负总责、市县抓落实”的领导体制，全面实行巩固拓展脱贫攻坚成果和乡村振兴县乡村党委（支部）书记一起抓，县级党委和政府主要负责县域内分类推进、资金使用、项目落地、人力调配、推进实施、跟踪问效等工作，持续发挥县委书记</w:t>
      </w:r>
      <w:r>
        <w:rPr>
          <w:rFonts w:hint="eastAsia" w:ascii="仿宋_GB2312" w:hAnsi="仿宋_GB2312" w:eastAsia="仿宋_GB2312" w:cs="仿宋_GB2312"/>
          <w:sz w:val="32"/>
          <w:szCs w:val="32"/>
          <w:lang w:val="zh-CN" w:eastAsia="zh-CN"/>
        </w:rPr>
        <w:t>“一线</w:t>
      </w:r>
      <w:r>
        <w:rPr>
          <w:rFonts w:hint="eastAsia" w:ascii="仿宋_GB2312" w:hAnsi="仿宋_GB2312" w:eastAsia="仿宋_GB2312" w:cs="仿宋_GB2312"/>
          <w:sz w:val="32"/>
          <w:szCs w:val="32"/>
          <w:lang w:val="en-US" w:eastAsia="zh-CN"/>
        </w:rPr>
        <w:t>总指挥</w:t>
      </w:r>
      <w:r>
        <w:rPr>
          <w:rFonts w:hint="eastAsia" w:ascii="仿宋_GB2312" w:hAnsi="仿宋_GB2312" w:eastAsia="仿宋_GB2312" w:cs="仿宋_GB2312"/>
          <w:sz w:val="32"/>
          <w:szCs w:val="32"/>
          <w:lang w:val="zh-CN" w:eastAsia="zh-CN"/>
        </w:rPr>
        <w:t>”作</w:t>
      </w:r>
      <w:r>
        <w:rPr>
          <w:rFonts w:hint="eastAsia" w:ascii="仿宋_GB2312" w:hAnsi="仿宋_GB2312" w:eastAsia="仿宋_GB2312" w:cs="仿宋_GB2312"/>
          <w:sz w:val="32"/>
          <w:szCs w:val="32"/>
          <w:lang w:val="en-US" w:eastAsia="zh-CN"/>
        </w:rPr>
        <w:t>用；镇（街道、场）党委和政府承担本行政区域内巩固拓展脱贫攻坚成果、全面推进乡村振兴的直接责任；强化村</w:t>
      </w:r>
      <w:r>
        <w:rPr>
          <w:rFonts w:hint="eastAsia" w:ascii="仿宋_GB2312" w:hAnsi="仿宋_GB2312" w:eastAsia="仿宋_GB2312" w:cs="仿宋_GB2312"/>
          <w:sz w:val="32"/>
          <w:szCs w:val="32"/>
          <w:lang w:val="zh-CN" w:eastAsia="zh-CN"/>
        </w:rPr>
        <w:t>“两</w:t>
      </w:r>
      <w:r>
        <w:rPr>
          <w:rFonts w:hint="eastAsia" w:ascii="仿宋_GB2312" w:hAnsi="仿宋_GB2312" w:eastAsia="仿宋_GB2312" w:cs="仿宋_GB2312"/>
          <w:sz w:val="32"/>
          <w:szCs w:val="32"/>
          <w:lang w:val="en-US" w:eastAsia="zh-CN"/>
        </w:rPr>
        <w:t>委”、驻村第一书记和工作队具体落实责任，共同做好发动群众、村庄规划、资金使用、项目监管、政策落地等工作。完善抓基层党建促进乡村振兴工作机制，选优配强村</w:t>
      </w:r>
      <w:r>
        <w:rPr>
          <w:rFonts w:hint="eastAsia" w:ascii="仿宋_GB2312" w:hAnsi="仿宋_GB2312" w:eastAsia="仿宋_GB2312" w:cs="仿宋_GB2312"/>
          <w:sz w:val="32"/>
          <w:szCs w:val="32"/>
          <w:lang w:val="zh-CN" w:eastAsia="zh-CN"/>
        </w:rPr>
        <w:t>“两</w:t>
      </w:r>
      <w:r>
        <w:rPr>
          <w:rFonts w:hint="eastAsia" w:ascii="仿宋_GB2312" w:hAnsi="仿宋_GB2312" w:eastAsia="仿宋_GB2312" w:cs="仿宋_GB2312"/>
          <w:sz w:val="32"/>
          <w:szCs w:val="32"/>
          <w:lang w:val="en-US" w:eastAsia="zh-CN"/>
        </w:rPr>
        <w:t>委”班子成员，选好用好管好乡村振兴带头人。坚持和完善驻村工作制度，对巩固拓展脱贫攻坚成果和乡村振兴任务重的村，选派驻村第一书记和工作队，健全常态化驻村工作机制。县委农村工作领导小组负责</w:t>
      </w:r>
      <w:r>
        <w:rPr>
          <w:rFonts w:hint="eastAsia" w:ascii="仿宋_GB2312" w:hAnsi="仿宋_GB2312" w:eastAsia="仿宋_GB2312" w:cs="仿宋_GB2312"/>
          <w:sz w:val="32"/>
          <w:szCs w:val="32"/>
          <w:lang w:val="zh-CN" w:eastAsia="zh-CN"/>
        </w:rPr>
        <w:t>“三农”工</w:t>
      </w:r>
      <w:r>
        <w:rPr>
          <w:rFonts w:hint="eastAsia" w:ascii="仿宋_GB2312" w:hAnsi="仿宋_GB2312" w:eastAsia="仿宋_GB2312" w:cs="仿宋_GB2312"/>
          <w:sz w:val="32"/>
          <w:szCs w:val="32"/>
          <w:lang w:val="en-US" w:eastAsia="zh-CN"/>
        </w:rPr>
        <w:t>作牵头抓总、统筹协调，一体承担巩固拓展脱贫攻坚成果、全面推进乡村振兴议事协调职责，制定年度任务清单和工作台账，明确任务分工，统筹研究解决规划实施过程中的重要问题，推进重大建设项目，跟踪督促规划各项任务落实。</w:t>
      </w:r>
    </w:p>
    <w:p>
      <w:pPr>
        <w:pStyle w:val="28"/>
        <w:overflowPunct w:val="0"/>
        <w:spacing w:line="240" w:lineRule="auto"/>
        <w:ind w:firstLine="616" w:firstLineChars="200"/>
        <w:rPr>
          <w:rFonts w:ascii="仿宋_GB2312" w:hAnsi="仿宋_GB2312" w:eastAsia="仿宋_GB2312" w:cs="仿宋_GB2312"/>
          <w:sz w:val="32"/>
          <w:szCs w:val="32"/>
          <w:lang w:val="en-US" w:eastAsia="zh-CN"/>
        </w:rPr>
      </w:pPr>
    </w:p>
    <w:p>
      <w:pPr>
        <w:pStyle w:val="23"/>
        <w:widowControl w:val="0"/>
        <w:spacing w:after="0" w:line="240" w:lineRule="auto"/>
        <w:jc w:val="center"/>
        <w:outlineLvl w:val="1"/>
        <w:rPr>
          <w:rFonts w:ascii="黑体" w:hAnsi="黑体" w:eastAsia="黑体" w:cs="黑体"/>
          <w:sz w:val="32"/>
          <w:szCs w:val="32"/>
        </w:rPr>
      </w:pPr>
      <w:bookmarkStart w:id="78" w:name="_Toc11778"/>
      <w:bookmarkStart w:id="79" w:name="_Toc17448"/>
      <w:r>
        <w:rPr>
          <w:rFonts w:hint="eastAsia" w:ascii="黑体" w:hAnsi="黑体" w:eastAsia="黑体" w:cs="黑体"/>
          <w:sz w:val="32"/>
          <w:szCs w:val="32"/>
        </w:rPr>
        <w:t>第二节 加大财政投入</w:t>
      </w:r>
      <w:bookmarkEnd w:id="78"/>
      <w:bookmarkEnd w:id="79"/>
    </w:p>
    <w:p>
      <w:pPr>
        <w:pStyle w:val="28"/>
        <w:spacing w:line="240" w:lineRule="auto"/>
        <w:rPr>
          <w:rFonts w:ascii="仿宋_GB2312" w:hAnsi="仿宋_GB2312" w:eastAsia="仿宋_GB2312" w:cs="仿宋_GB2312"/>
          <w:sz w:val="32"/>
          <w:szCs w:val="32"/>
          <w:lang w:val="en-US" w:eastAsia="zh-CN"/>
        </w:rPr>
      </w:pPr>
    </w:p>
    <w:p>
      <w:pPr>
        <w:pStyle w:val="28"/>
        <w:spacing w:line="240" w:lineRule="auto"/>
        <w:ind w:firstLine="616" w:firstLineChars="200"/>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——持续加大财政投入。</w:t>
      </w:r>
      <w:r>
        <w:rPr>
          <w:rFonts w:hint="eastAsia" w:ascii="仿宋_GB2312" w:hAnsi="仿宋_GB2312" w:eastAsia="仿宋_GB2312" w:cs="仿宋_GB2312"/>
          <w:sz w:val="32"/>
          <w:szCs w:val="32"/>
          <w:lang w:val="en-US" w:eastAsia="zh-CN"/>
        </w:rPr>
        <w:t>坚持把巩固拓展脱贫成果、夯实乡村振兴基础作为财政投入的优先保障领域，积极争取中央、省级、市级财政资金支持，稳定县级财政资金投入力度，保持总体稳定前提下合理安排财政投入规模，优化支出结构，调整支持重点。坚持农业农村优先发展，优化调整原财政专项扶贫资金为财政衔接推进乡村振兴补助资金，资金适当向乡村振兴重点帮扶镇、村倾斜，提高产业就业项目财政资金投入比例。过渡期内延续脱贫攻坚相关税收优惠等政策。对农村低收入人口的救助帮扶，通过现有资金支出渠道支持。确保以工代赈中央预算内投资落实到项目，及时足额发放劳务报酬。鼓励各镇（街道、场）按照国家和省相关规定，积极创新资金使用方式，探索推广政府和社会资本合作、政府购买服务、撬动金融资本社会资金投入巩固拓展脱贫攻坚成果和推进乡村振兴。</w:t>
      </w:r>
    </w:p>
    <w:p>
      <w:pPr>
        <w:pStyle w:val="28"/>
        <w:spacing w:line="240" w:lineRule="auto"/>
        <w:ind w:firstLine="616" w:firstLineChars="200"/>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——提升金融服务水平。</w:t>
      </w:r>
      <w:r>
        <w:rPr>
          <w:rFonts w:hint="eastAsia" w:ascii="仿宋_GB2312" w:hAnsi="仿宋_GB2312" w:eastAsia="仿宋_GB2312" w:cs="仿宋_GB2312"/>
          <w:sz w:val="32"/>
          <w:szCs w:val="32"/>
          <w:lang w:val="en-US" w:eastAsia="zh-CN"/>
        </w:rPr>
        <w:t>切实坚持和落实过渡期脱贫人口的小额信贷政策，进一步提升投放精准度，满足脱贫户、监测户有效信贷需求，严格信贷规范管理，防范化解各类风险。对有较大贷款资金需求、符合贷款条件的对象，鼓励其申请创业担保贷款政策支持。继续发挥再贷款作用，现有再贷款帮扶政策在过渡期间保持不变。鼓励金融机构因地制宜创新机制、创新产品、创新服务，支持新型经营主体带动脱贫户、边缘易致贫户发展特色产业。支持开发性和政策性金融机构在业务范围内为脱贫村和易地扶贫搬迁后续扶持提供中长期信贷服务。探索建立龙头企业、农民专业合作社、种养大户等新型经营主体产业基地资产评估抵押贷款机制，破解经营主体融资贷款缺乏抵押物的现实难题。</w:t>
      </w:r>
    </w:p>
    <w:p>
      <w:pPr>
        <w:pStyle w:val="28"/>
        <w:spacing w:line="240" w:lineRule="auto"/>
        <w:ind w:firstLine="616" w:firstLineChars="200"/>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——加大保险支持力度。</w:t>
      </w:r>
      <w:r>
        <w:rPr>
          <w:rFonts w:hint="eastAsia" w:ascii="仿宋_GB2312" w:hAnsi="仿宋_GB2312" w:eastAsia="仿宋_GB2312" w:cs="仿宋_GB2312"/>
          <w:sz w:val="32"/>
          <w:szCs w:val="32"/>
          <w:lang w:val="en-US" w:eastAsia="zh-CN"/>
        </w:rPr>
        <w:t>鼓励和支持保险机构因地制宜开展优势特色农产品保险，积极推进农产品目标价格指数保险，完善</w:t>
      </w:r>
      <w:r>
        <w:rPr>
          <w:rFonts w:hint="eastAsia" w:ascii="仿宋_GB2312" w:hAnsi="仿宋_GB2312" w:eastAsia="仿宋_GB2312" w:cs="仿宋_GB2312"/>
          <w:sz w:val="32"/>
          <w:szCs w:val="32"/>
          <w:lang w:val="zh-CN" w:eastAsia="zh-CN"/>
        </w:rPr>
        <w:t>“政</w:t>
      </w:r>
      <w:r>
        <w:rPr>
          <w:rFonts w:hint="eastAsia" w:ascii="仿宋_GB2312" w:hAnsi="仿宋_GB2312" w:eastAsia="仿宋_GB2312" w:cs="仿宋_GB2312"/>
          <w:sz w:val="32"/>
          <w:szCs w:val="32"/>
          <w:lang w:val="en-US" w:eastAsia="zh-CN"/>
        </w:rPr>
        <w:t>策险+商业附加险”新模式，构建</w:t>
      </w:r>
      <w:r>
        <w:rPr>
          <w:rFonts w:hint="eastAsia" w:ascii="仿宋_GB2312" w:hAnsi="仿宋_GB2312" w:eastAsia="仿宋_GB2312" w:cs="仿宋_GB2312"/>
          <w:sz w:val="32"/>
          <w:szCs w:val="32"/>
          <w:lang w:val="zh-CN" w:eastAsia="zh-CN"/>
        </w:rPr>
        <w:t>“灾</w:t>
      </w:r>
      <w:r>
        <w:rPr>
          <w:rFonts w:hint="eastAsia" w:ascii="仿宋_GB2312" w:hAnsi="仿宋_GB2312" w:eastAsia="仿宋_GB2312" w:cs="仿宋_GB2312"/>
          <w:sz w:val="32"/>
          <w:szCs w:val="32"/>
          <w:lang w:val="en-US" w:eastAsia="zh-CN"/>
        </w:rPr>
        <w:t>害险+价格险（市场险）”双保险制度，提升地方特色险种占比，扩大承保覆盖面，提高保障水平。按照</w:t>
      </w:r>
      <w:r>
        <w:rPr>
          <w:rFonts w:hint="eastAsia" w:ascii="仿宋_GB2312" w:hAnsi="仿宋_GB2312" w:eastAsia="仿宋_GB2312" w:cs="仿宋_GB2312"/>
          <w:sz w:val="32"/>
          <w:szCs w:val="32"/>
          <w:lang w:val="zh-CN" w:eastAsia="zh-CN"/>
        </w:rPr>
        <w:t>“农户</w:t>
      </w:r>
      <w:r>
        <w:rPr>
          <w:rFonts w:hint="eastAsia" w:ascii="仿宋_GB2312" w:hAnsi="仿宋_GB2312" w:eastAsia="仿宋_GB2312" w:cs="仿宋_GB2312"/>
          <w:sz w:val="32"/>
          <w:szCs w:val="32"/>
          <w:lang w:val="en-US" w:eastAsia="zh-CN"/>
        </w:rPr>
        <w:t>自愿、政府补贴、市场调节”的原则，支持保险机构持续聚焦基本医保、大病保险</w:t>
      </w:r>
      <w:r>
        <w:rPr>
          <w:rFonts w:hint="eastAsia" w:ascii="仿宋_GB2312" w:hAnsi="仿宋_GB2312" w:eastAsia="仿宋_GB2312" w:cs="仿宋_GB2312"/>
          <w:sz w:val="32"/>
          <w:szCs w:val="32"/>
          <w:lang w:val="zh-CN" w:eastAsia="zh-CN"/>
        </w:rPr>
        <w:t>、“防</w:t>
      </w:r>
      <w:r>
        <w:rPr>
          <w:rFonts w:hint="eastAsia" w:ascii="仿宋_GB2312" w:hAnsi="仿宋_GB2312" w:eastAsia="仿宋_GB2312" w:cs="仿宋_GB2312"/>
          <w:sz w:val="32"/>
          <w:szCs w:val="32"/>
          <w:lang w:val="en-US" w:eastAsia="zh-CN"/>
        </w:rPr>
        <w:t>贫保”等惠民保险。探索开展</w:t>
      </w:r>
      <w:r>
        <w:rPr>
          <w:rFonts w:hint="eastAsia" w:ascii="仿宋_GB2312" w:hAnsi="仿宋_GB2312" w:eastAsia="仿宋_GB2312" w:cs="仿宋_GB2312"/>
          <w:sz w:val="32"/>
          <w:szCs w:val="32"/>
          <w:lang w:val="zh-CN" w:eastAsia="zh-CN"/>
        </w:rPr>
        <w:t>“乡</w:t>
      </w:r>
      <w:r>
        <w:rPr>
          <w:rFonts w:hint="eastAsia" w:ascii="仿宋_GB2312" w:hAnsi="仿宋_GB2312" w:eastAsia="仿宋_GB2312" w:cs="仿宋_GB2312"/>
          <w:sz w:val="32"/>
          <w:szCs w:val="32"/>
          <w:lang w:val="en-US" w:eastAsia="zh-CN"/>
        </w:rPr>
        <w:t>村振兴保”等系列防贫类险种，将防返贫保险纳入政府防返贫帮扶机制，提高脱贫不稳定人口、边缘易致贫人口和因学因病因灾因意外突发严重困难致贫人口风险保障水平，建立多层次、广覆盖、可持续的乡村振兴保险保障体系。</w:t>
      </w:r>
    </w:p>
    <w:p>
      <w:pPr>
        <w:pStyle w:val="28"/>
        <w:spacing w:line="240" w:lineRule="auto"/>
        <w:ind w:firstLine="616" w:firstLineChars="200"/>
        <w:rPr>
          <w:rFonts w:ascii="仿宋_GB2312" w:hAnsi="仿宋_GB2312" w:eastAsia="仿宋_GB2312" w:cs="仿宋_GB2312"/>
          <w:sz w:val="32"/>
          <w:szCs w:val="32"/>
          <w:lang w:val="en-US" w:eastAsia="zh-CN"/>
        </w:rPr>
      </w:pPr>
    </w:p>
    <w:p>
      <w:pPr>
        <w:pStyle w:val="23"/>
        <w:widowControl w:val="0"/>
        <w:spacing w:after="0" w:line="240" w:lineRule="auto"/>
        <w:jc w:val="center"/>
        <w:outlineLvl w:val="1"/>
        <w:rPr>
          <w:rFonts w:ascii="黑体" w:hAnsi="黑体" w:eastAsia="黑体" w:cs="黑体"/>
          <w:sz w:val="32"/>
          <w:szCs w:val="32"/>
        </w:rPr>
      </w:pPr>
      <w:bookmarkStart w:id="80" w:name="_Toc22005"/>
      <w:bookmarkStart w:id="81" w:name="_Toc30681"/>
      <w:r>
        <w:rPr>
          <w:rFonts w:hint="eastAsia" w:ascii="黑体" w:hAnsi="黑体" w:eastAsia="黑体" w:cs="黑体"/>
          <w:sz w:val="32"/>
          <w:szCs w:val="32"/>
        </w:rPr>
        <w:t>第三节 强化土地支撑</w:t>
      </w:r>
      <w:bookmarkEnd w:id="80"/>
      <w:bookmarkEnd w:id="81"/>
    </w:p>
    <w:p/>
    <w:p>
      <w:pPr>
        <w:pStyle w:val="28"/>
        <w:spacing w:line="240" w:lineRule="auto"/>
        <w:ind w:firstLine="616" w:firstLineChars="200"/>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——保障发展用地指标需求。</w:t>
      </w:r>
      <w:r>
        <w:rPr>
          <w:rFonts w:hint="eastAsia" w:ascii="仿宋_GB2312" w:hAnsi="仿宋_GB2312" w:eastAsia="仿宋_GB2312" w:cs="仿宋_GB2312"/>
          <w:sz w:val="32"/>
          <w:szCs w:val="32"/>
          <w:lang w:val="en-US" w:eastAsia="zh-CN"/>
        </w:rPr>
        <w:t>落实最严格的耕地保护制度，以国土空间规划为依据，按照应保尽保原则，新增建设用地计划指标优先保障巩固拓展脱贫攻坚成果和乡村振兴用地需要。过渡期内，每年国家、省安排一定规模专项计划指标，专项建设指标不得挪用。继续实施城乡建设用地增减挂钩节余指标交易政策，收益优先用于</w:t>
      </w:r>
      <w:r>
        <w:rPr>
          <w:rFonts w:hint="eastAsia"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lang w:val="en-US" w:eastAsia="zh-CN"/>
        </w:rPr>
        <w:t>三五”易地扶贫搬迁融资资金偿还。分年度稳步提高土地出让收入用于农业农村的比例，集中支持巩固拓展脱贫攻坚成果和乡村振兴重点任务。</w:t>
      </w:r>
    </w:p>
    <w:p>
      <w:pPr>
        <w:pStyle w:val="28"/>
        <w:spacing w:line="240" w:lineRule="auto"/>
        <w:ind w:firstLine="616" w:firstLineChars="200"/>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——持续深化农村土地改革。</w:t>
      </w:r>
      <w:r>
        <w:rPr>
          <w:rFonts w:hint="eastAsia" w:ascii="仿宋_GB2312" w:hAnsi="仿宋_GB2312" w:eastAsia="仿宋_GB2312" w:cs="仿宋_GB2312"/>
          <w:sz w:val="32"/>
          <w:szCs w:val="32"/>
          <w:lang w:val="en-US" w:eastAsia="zh-CN"/>
        </w:rPr>
        <w:t>扎实推进第二轮土地承包到期后再延长30年工作，保持农村土地承包关系稳定并长久不变。依法保护集体所有权和农户承包权，建立健全土地承包权依法自愿有偿转让机制。鼓励农民以多种方式流转承包土地经营权，支持承包地向家庭农场、农业专业合作社等新型经营主体流转，推进土地规模化经营。健全完善农村承包地日常管理机制，提高承包经营纠纷调处仲裁能力。积极稳妥开展土地承包管理信息化规范化建设，推动承包地确权登记颁证信息平台互联互通。</w:t>
      </w:r>
    </w:p>
    <w:p>
      <w:pPr>
        <w:pStyle w:val="28"/>
        <w:spacing w:line="240" w:lineRule="auto"/>
        <w:ind w:firstLine="616" w:firstLineChars="200"/>
        <w:rPr>
          <w:rFonts w:ascii="楷体" w:hAnsi="楷体" w:eastAsia="楷体" w:cs="楷体"/>
          <w:b/>
          <w:bCs/>
          <w:sz w:val="32"/>
          <w:szCs w:val="32"/>
        </w:rPr>
      </w:pPr>
      <w:r>
        <w:rPr>
          <w:rFonts w:hint="eastAsia" w:ascii="楷体_GB2312" w:hAnsi="楷体_GB2312" w:eastAsia="楷体_GB2312" w:cs="楷体_GB2312"/>
          <w:b/>
          <w:bCs/>
          <w:sz w:val="32"/>
          <w:szCs w:val="32"/>
          <w:lang w:val="en-US" w:eastAsia="zh-CN"/>
        </w:rPr>
        <w:t>——稳慎推进农村宅基地制度改革。</w:t>
      </w:r>
      <w:r>
        <w:rPr>
          <w:rFonts w:hint="eastAsia" w:ascii="仿宋_GB2312" w:hAnsi="仿宋_GB2312" w:eastAsia="仿宋_GB2312" w:cs="仿宋_GB2312"/>
          <w:sz w:val="32"/>
          <w:szCs w:val="32"/>
          <w:lang w:val="en-US" w:eastAsia="zh-CN"/>
        </w:rPr>
        <w:t>加强农村宅基地管理，严格落实“一户一宅”规定。探索农村宅基地所有权、资格权、使用权</w:t>
      </w:r>
      <w:r>
        <w:rPr>
          <w:rFonts w:hint="eastAsia" w:ascii="仿宋_GB2312" w:hAnsi="仿宋_GB2312" w:eastAsia="仿宋_GB2312" w:cs="仿宋_GB2312"/>
          <w:sz w:val="32"/>
          <w:szCs w:val="32"/>
          <w:lang w:val="zh-CN" w:eastAsia="zh-CN"/>
        </w:rPr>
        <w:t>“三权分置”，</w:t>
      </w:r>
      <w:r>
        <w:rPr>
          <w:rFonts w:hint="eastAsia" w:ascii="仿宋_GB2312" w:hAnsi="仿宋_GB2312" w:eastAsia="仿宋_GB2312" w:cs="仿宋_GB2312"/>
          <w:sz w:val="32"/>
          <w:szCs w:val="32"/>
          <w:lang w:val="en-US" w:eastAsia="zh-CN"/>
        </w:rPr>
        <w:t>切实落实农村宅基地集体所有权，保障农村宅基地农户资格权和农民房屋财产权，适度放活农村宅基地和农民房屋使用权。尊重农民意愿，积极稳妥盘活利用农村闲置宅基地和房屋，鼓励农户和农村集体经济组织通过自主经营、合作经营、委托经营等方式，依法依规发展休闲农业、餐饮民宿、电子商务、庭院经济等新产业新业态。进一步规范农村宅基地审批，探索开展农村宅基地执法权下沉镇（街道、场）试点。</w:t>
      </w:r>
    </w:p>
    <w:p>
      <w:pPr>
        <w:pStyle w:val="23"/>
        <w:widowControl w:val="0"/>
        <w:spacing w:after="0" w:line="240" w:lineRule="auto"/>
        <w:jc w:val="center"/>
        <w:outlineLvl w:val="1"/>
        <w:rPr>
          <w:rFonts w:ascii="黑体" w:hAnsi="黑体" w:eastAsia="黑体" w:cs="黑体"/>
          <w:sz w:val="32"/>
          <w:szCs w:val="32"/>
        </w:rPr>
      </w:pPr>
      <w:bookmarkStart w:id="82" w:name="_Toc20856"/>
      <w:bookmarkStart w:id="83" w:name="_Toc13787"/>
    </w:p>
    <w:p>
      <w:pPr>
        <w:pStyle w:val="23"/>
        <w:widowControl w:val="0"/>
        <w:spacing w:after="0" w:line="240" w:lineRule="auto"/>
        <w:jc w:val="center"/>
        <w:outlineLvl w:val="1"/>
        <w:rPr>
          <w:rFonts w:ascii="黑体" w:hAnsi="黑体" w:eastAsia="黑体" w:cs="黑体"/>
          <w:sz w:val="32"/>
          <w:szCs w:val="32"/>
        </w:rPr>
      </w:pPr>
      <w:r>
        <w:rPr>
          <w:rFonts w:hint="eastAsia" w:ascii="黑体" w:hAnsi="黑体" w:eastAsia="黑体" w:cs="黑体"/>
          <w:sz w:val="32"/>
          <w:szCs w:val="32"/>
        </w:rPr>
        <w:t>第四节 动员社会参与</w:t>
      </w:r>
      <w:bookmarkEnd w:id="82"/>
      <w:bookmarkEnd w:id="83"/>
    </w:p>
    <w:p/>
    <w:p>
      <w:pPr>
        <w:pStyle w:val="28"/>
        <w:spacing w:line="360" w:lineRule="auto"/>
        <w:ind w:firstLine="616"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广泛动员各方力量参与巩固拓展脱贫攻坚成果和全面推进乡村振兴。积极配合中省市、国有企事业单位开展</w:t>
      </w:r>
      <w:r>
        <w:rPr>
          <w:rFonts w:hint="eastAsia" w:ascii="仿宋_GB2312" w:hAnsi="仿宋_GB2312" w:eastAsia="仿宋_GB2312" w:cs="仿宋_GB2312"/>
          <w:sz w:val="32"/>
          <w:szCs w:val="32"/>
          <w:lang w:val="zh-CN" w:eastAsia="zh-CN"/>
        </w:rPr>
        <w:t>“万</w:t>
      </w:r>
      <w:r>
        <w:rPr>
          <w:rFonts w:hint="eastAsia" w:ascii="仿宋_GB2312" w:hAnsi="仿宋_GB2312" w:eastAsia="仿宋_GB2312" w:cs="仿宋_GB2312"/>
          <w:sz w:val="32"/>
          <w:szCs w:val="32"/>
          <w:lang w:val="en-US" w:eastAsia="zh-CN"/>
        </w:rPr>
        <w:t>企兴万村”行动，动员企业采取援建项目、捐款捐物、志愿服务、消费帮扶等多种形式，支持联系村进行帮扶，巩固脱贫成效，促进乡村振兴。力争促成一些有实力的企业、商会与靖边县形成结对联系关系，组织开展村企结对共建，建立民营企业、集体经济组织和农民等多方利益共同体，进一步拓宽社会帮扶资源。持续深化各级工会、共青团、妇联等专项帮扶行动。开展政府与社会资本合作、政府购买服务等帮扶模式，继续扩大政府购买服务范围和规模，吸引各类社会组织到村入户开展帮扶活动。</w:t>
      </w:r>
    </w:p>
    <w:p>
      <w:pPr>
        <w:pStyle w:val="23"/>
        <w:widowControl w:val="0"/>
        <w:spacing w:after="0" w:line="360" w:lineRule="auto"/>
        <w:ind w:firstLine="616" w:firstLineChars="200"/>
        <w:jc w:val="center"/>
        <w:rPr>
          <w:rFonts w:ascii="楷体" w:hAnsi="楷体" w:eastAsia="楷体" w:cs="楷体"/>
          <w:b/>
          <w:bCs/>
          <w:sz w:val="32"/>
          <w:szCs w:val="32"/>
        </w:rPr>
      </w:pPr>
    </w:p>
    <w:p>
      <w:pPr>
        <w:pStyle w:val="23"/>
        <w:widowControl w:val="0"/>
        <w:spacing w:after="0" w:line="360" w:lineRule="auto"/>
        <w:ind w:firstLine="616" w:firstLineChars="200"/>
        <w:jc w:val="center"/>
        <w:outlineLvl w:val="1"/>
        <w:rPr>
          <w:rFonts w:ascii="黑体" w:hAnsi="黑体" w:eastAsia="黑体" w:cs="黑体"/>
          <w:sz w:val="32"/>
          <w:szCs w:val="32"/>
        </w:rPr>
      </w:pPr>
      <w:bookmarkStart w:id="84" w:name="_Toc5789"/>
      <w:bookmarkStart w:id="85" w:name="_Toc29943"/>
      <w:r>
        <w:rPr>
          <w:rFonts w:hint="eastAsia" w:ascii="黑体" w:hAnsi="黑体" w:eastAsia="黑体" w:cs="黑体"/>
          <w:sz w:val="32"/>
          <w:szCs w:val="32"/>
        </w:rPr>
        <w:t>第五节 加强政策宣传</w:t>
      </w:r>
      <w:bookmarkEnd w:id="84"/>
      <w:bookmarkEnd w:id="85"/>
    </w:p>
    <w:p>
      <w:pPr>
        <w:spacing w:line="360" w:lineRule="auto"/>
        <w:ind w:firstLine="396" w:firstLineChars="200"/>
      </w:pPr>
    </w:p>
    <w:p>
      <w:pPr>
        <w:pStyle w:val="28"/>
        <w:spacing w:line="360" w:lineRule="auto"/>
        <w:ind w:firstLine="616"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加强</w:t>
      </w:r>
      <w:r>
        <w:rPr>
          <w:rFonts w:hint="eastAsia" w:ascii="仿宋_GB2312" w:hAnsi="仿宋_GB2312" w:eastAsia="仿宋_GB2312" w:cs="仿宋_GB2312"/>
          <w:color w:val="000000"/>
          <w:sz w:val="32"/>
          <w:szCs w:val="32"/>
        </w:rPr>
        <w:t>思想引领，进一步强化关于乡村振兴的思想进乡入村，加强国家、省、市乡村振兴政策宣传，</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sz w:val="32"/>
          <w:szCs w:val="32"/>
          <w:lang w:val="en-US" w:eastAsia="zh-CN"/>
        </w:rPr>
        <w:t>镇（街道、场）</w:t>
      </w:r>
      <w:r>
        <w:rPr>
          <w:rFonts w:hint="eastAsia" w:ascii="仿宋_GB2312" w:hAnsi="仿宋_GB2312" w:eastAsia="仿宋_GB2312" w:cs="仿宋_GB2312"/>
          <w:color w:val="000000"/>
          <w:sz w:val="32"/>
          <w:szCs w:val="32"/>
          <w:lang w:val="en-US" w:eastAsia="zh-CN"/>
        </w:rPr>
        <w:t>和各部门要</w:t>
      </w:r>
      <w:r>
        <w:rPr>
          <w:rFonts w:hint="eastAsia" w:ascii="仿宋_GB2312" w:hAnsi="仿宋_GB2312" w:eastAsia="仿宋_GB2312" w:cs="仿宋_GB2312"/>
          <w:color w:val="000000"/>
          <w:sz w:val="32"/>
          <w:szCs w:val="32"/>
        </w:rPr>
        <w:t>加强领导</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充分利用传统媒体、新媒体平台等宣传媒介和渠道，创新宣传方式、丰富宣传内容、拓展宣传阵地，大力宣传支持</w:t>
      </w:r>
      <w:r>
        <w:rPr>
          <w:rFonts w:hint="eastAsia" w:ascii="仿宋_GB2312" w:hAnsi="仿宋_GB2312" w:eastAsia="仿宋_GB2312" w:cs="仿宋_GB2312"/>
          <w:color w:val="000000"/>
          <w:sz w:val="32"/>
          <w:szCs w:val="32"/>
          <w:lang w:eastAsia="zh-CN"/>
        </w:rPr>
        <w:t>靖边县</w:t>
      </w:r>
      <w:r>
        <w:rPr>
          <w:rFonts w:hint="eastAsia" w:ascii="仿宋_GB2312" w:hAnsi="仿宋_GB2312" w:eastAsia="仿宋_GB2312" w:cs="仿宋_GB2312"/>
          <w:color w:val="000000"/>
          <w:sz w:val="32"/>
          <w:szCs w:val="32"/>
        </w:rPr>
        <w:t>的政策措施，及时挖掘推广好的经验做法、成功案例、典型模式和创新机制，营造良好舆论氛围。</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把握好宣传节奏,规范宣传口径,加强正面宣传,建立健全舆情监测体系，</w:t>
      </w:r>
      <w:r>
        <w:rPr>
          <w:rFonts w:hint="eastAsia" w:ascii="仿宋_GB2312" w:hAnsi="仿宋_GB2312" w:eastAsia="仿宋_GB2312" w:cs="仿宋_GB2312"/>
          <w:color w:val="000000"/>
          <w:sz w:val="32"/>
          <w:szCs w:val="32"/>
          <w:lang w:val="en-US" w:eastAsia="zh-CN"/>
        </w:rPr>
        <w:t>完善</w:t>
      </w:r>
      <w:r>
        <w:rPr>
          <w:rFonts w:hint="eastAsia" w:ascii="仿宋_GB2312" w:hAnsi="仿宋_GB2312" w:eastAsia="仿宋_GB2312" w:cs="仿宋_GB2312"/>
          <w:color w:val="000000"/>
          <w:sz w:val="32"/>
          <w:szCs w:val="32"/>
        </w:rPr>
        <w:t>舆情预警机制，科学及时处置负面舆情,及时回应群众关切，</w:t>
      </w:r>
      <w:r>
        <w:rPr>
          <w:rFonts w:hint="eastAsia" w:ascii="仿宋_GB2312" w:hAnsi="仿宋_GB2312" w:eastAsia="仿宋_GB2312" w:cs="仿宋_GB2312"/>
          <w:color w:val="000000"/>
          <w:sz w:val="32"/>
          <w:szCs w:val="32"/>
          <w:lang w:val="en-US" w:eastAsia="zh-CN"/>
        </w:rPr>
        <w:t>不断</w:t>
      </w:r>
      <w:r>
        <w:rPr>
          <w:rFonts w:hint="eastAsia" w:ascii="仿宋_GB2312" w:hAnsi="仿宋_GB2312" w:eastAsia="仿宋_GB2312" w:cs="仿宋_GB2312"/>
          <w:color w:val="000000"/>
          <w:sz w:val="32"/>
          <w:szCs w:val="32"/>
        </w:rPr>
        <w:t>加强典型案例和成功经验总结,及时宣传推广,持续讲好中国减贫与乡村振兴故事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营造全面推进乡村振兴的良好氛围。</w:t>
      </w:r>
    </w:p>
    <w:p>
      <w:pPr>
        <w:pStyle w:val="28"/>
        <w:spacing w:line="240" w:lineRule="auto"/>
        <w:ind w:firstLine="616" w:firstLineChars="200"/>
        <w:rPr>
          <w:rFonts w:ascii="仿宋_GB2312" w:hAnsi="仿宋_GB2312" w:eastAsia="仿宋_GB2312" w:cs="仿宋_GB2312"/>
          <w:color w:val="000000"/>
          <w:sz w:val="32"/>
          <w:szCs w:val="32"/>
        </w:rPr>
      </w:pPr>
    </w:p>
    <w:p>
      <w:pPr>
        <w:pStyle w:val="28"/>
        <w:spacing w:line="240" w:lineRule="auto"/>
        <w:ind w:firstLine="616"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附件：靖边县“十四五”巩固拓展脱贫成果同乡村振兴有效衔接规划重大项目建设一览表</w:t>
      </w:r>
    </w:p>
    <w:p>
      <w:pPr>
        <w:tabs>
          <w:tab w:val="left" w:pos="1078"/>
        </w:tabs>
        <w:jc w:val="left"/>
      </w:pPr>
    </w:p>
    <w:p>
      <w:pPr>
        <w:pStyle w:val="2"/>
      </w:pPr>
    </w:p>
    <w:p/>
    <w:p>
      <w:pPr>
        <w:pStyle w:val="2"/>
      </w:pPr>
    </w:p>
    <w:p>
      <w:pPr>
        <w:pStyle w:val="2"/>
        <w:sectPr>
          <w:footerReference r:id="rId9" w:type="default"/>
          <w:pgSz w:w="11906" w:h="16838"/>
          <w:pgMar w:top="2154" w:right="1417" w:bottom="1814" w:left="1814" w:header="851" w:footer="992" w:gutter="0"/>
          <w:pgNumType w:fmt="numberInDash"/>
          <w:cols w:space="0" w:num="1"/>
          <w:docGrid w:type="linesAndChars" w:linePitch="292" w:charSpace="-2630"/>
        </w:sectPr>
      </w:pPr>
    </w:p>
    <w:tbl>
      <w:tblPr>
        <w:tblStyle w:val="19"/>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2145"/>
        <w:gridCol w:w="6082"/>
        <w:gridCol w:w="1550"/>
        <w:gridCol w:w="934"/>
        <w:gridCol w:w="831"/>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000" w:type="pct"/>
            <w:gridSpan w:val="7"/>
            <w:tcBorders>
              <w:top w:val="nil"/>
              <w:left w:val="nil"/>
              <w:bottom w:val="nil"/>
              <w:right w:val="nil"/>
            </w:tcBorders>
            <w:shd w:val="clear" w:color="auto" w:fill="auto"/>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靖边县“十四五”巩固拓展脱贫成果</w:t>
            </w:r>
          </w:p>
          <w:p>
            <w:pPr>
              <w:widowControl/>
              <w:spacing w:line="560" w:lineRule="exact"/>
              <w:jc w:val="center"/>
              <w:textAlignment w:val="center"/>
              <w:rPr>
                <w:rFonts w:ascii="仿宋" w:hAnsi="仿宋" w:eastAsia="仿宋" w:cs="仿宋"/>
                <w:b/>
                <w:bCs/>
                <w:color w:val="000000"/>
                <w:sz w:val="28"/>
                <w:szCs w:val="28"/>
              </w:rPr>
            </w:pPr>
            <w:r>
              <w:rPr>
                <w:rFonts w:hint="eastAsia" w:ascii="方正小标宋简体" w:hAnsi="方正小标宋简体" w:eastAsia="方正小标宋简体" w:cs="方正小标宋简体"/>
                <w:color w:val="000000"/>
                <w:kern w:val="0"/>
                <w:sz w:val="44"/>
                <w:szCs w:val="44"/>
              </w:rPr>
              <w:t>同乡村振兴有效衔接规划重大项目建设一览表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3" w:type="pct"/>
            <w:tcBorders>
              <w:top w:val="nil"/>
              <w:left w:val="nil"/>
              <w:bottom w:val="single" w:color="auto" w:sz="4" w:space="0"/>
              <w:right w:val="nil"/>
            </w:tcBorders>
            <w:shd w:val="clear" w:color="auto" w:fill="auto"/>
            <w:noWrap/>
            <w:vAlign w:val="center"/>
          </w:tcPr>
          <w:p>
            <w:pPr>
              <w:widowControl/>
              <w:spacing w:line="200" w:lineRule="exact"/>
              <w:rPr>
                <w:rFonts w:ascii="仿宋" w:hAnsi="仿宋" w:eastAsia="仿宋" w:cs="仿宋"/>
                <w:color w:val="000000"/>
                <w:szCs w:val="21"/>
              </w:rPr>
            </w:pPr>
          </w:p>
        </w:tc>
        <w:tc>
          <w:tcPr>
            <w:tcW w:w="790" w:type="pct"/>
            <w:tcBorders>
              <w:top w:val="nil"/>
              <w:left w:val="nil"/>
              <w:bottom w:val="single" w:color="auto" w:sz="4" w:space="0"/>
              <w:right w:val="nil"/>
            </w:tcBorders>
            <w:shd w:val="clear" w:color="auto" w:fill="auto"/>
            <w:noWrap/>
            <w:vAlign w:val="center"/>
          </w:tcPr>
          <w:p>
            <w:pPr>
              <w:widowControl/>
              <w:spacing w:line="200" w:lineRule="exact"/>
              <w:rPr>
                <w:rFonts w:ascii="仿宋" w:hAnsi="仿宋" w:eastAsia="仿宋" w:cs="仿宋"/>
                <w:color w:val="000000"/>
                <w:szCs w:val="21"/>
              </w:rPr>
            </w:pPr>
          </w:p>
        </w:tc>
        <w:tc>
          <w:tcPr>
            <w:tcW w:w="2240" w:type="pct"/>
            <w:tcBorders>
              <w:top w:val="nil"/>
              <w:left w:val="nil"/>
              <w:bottom w:val="single" w:color="auto" w:sz="4" w:space="0"/>
              <w:right w:val="nil"/>
            </w:tcBorders>
            <w:shd w:val="clear" w:color="auto" w:fill="auto"/>
            <w:noWrap/>
            <w:vAlign w:val="center"/>
          </w:tcPr>
          <w:p>
            <w:pPr>
              <w:widowControl/>
              <w:spacing w:line="200" w:lineRule="exact"/>
              <w:rPr>
                <w:rFonts w:ascii="仿宋" w:hAnsi="仿宋" w:eastAsia="仿宋" w:cs="仿宋"/>
                <w:color w:val="000000"/>
                <w:szCs w:val="21"/>
              </w:rPr>
            </w:pPr>
          </w:p>
        </w:tc>
        <w:tc>
          <w:tcPr>
            <w:tcW w:w="571" w:type="pct"/>
            <w:tcBorders>
              <w:top w:val="nil"/>
              <w:left w:val="nil"/>
              <w:bottom w:val="single" w:color="auto" w:sz="4" w:space="0"/>
              <w:right w:val="nil"/>
            </w:tcBorders>
            <w:shd w:val="clear" w:color="auto" w:fill="auto"/>
            <w:noWrap/>
            <w:vAlign w:val="center"/>
          </w:tcPr>
          <w:p>
            <w:pPr>
              <w:widowControl/>
              <w:spacing w:line="200" w:lineRule="exact"/>
              <w:rPr>
                <w:rFonts w:ascii="仿宋" w:hAnsi="仿宋" w:eastAsia="仿宋" w:cs="仿宋"/>
                <w:color w:val="000000"/>
                <w:szCs w:val="21"/>
              </w:rPr>
            </w:pPr>
          </w:p>
        </w:tc>
        <w:tc>
          <w:tcPr>
            <w:tcW w:w="344" w:type="pct"/>
            <w:tcBorders>
              <w:top w:val="nil"/>
              <w:left w:val="nil"/>
              <w:bottom w:val="single" w:color="auto" w:sz="4" w:space="0"/>
              <w:right w:val="nil"/>
            </w:tcBorders>
            <w:shd w:val="clear" w:color="auto" w:fill="auto"/>
            <w:noWrap/>
            <w:vAlign w:val="center"/>
          </w:tcPr>
          <w:p>
            <w:pPr>
              <w:widowControl/>
              <w:spacing w:line="200" w:lineRule="exact"/>
              <w:rPr>
                <w:rFonts w:ascii="仿宋" w:hAnsi="仿宋" w:eastAsia="仿宋" w:cs="仿宋"/>
                <w:color w:val="000000"/>
                <w:szCs w:val="21"/>
              </w:rPr>
            </w:pPr>
          </w:p>
        </w:tc>
        <w:tc>
          <w:tcPr>
            <w:tcW w:w="912" w:type="pct"/>
            <w:gridSpan w:val="2"/>
            <w:tcBorders>
              <w:top w:val="nil"/>
              <w:left w:val="nil"/>
              <w:bottom w:val="single" w:color="auto" w:sz="4" w:space="0"/>
              <w:right w:val="nil"/>
            </w:tcBorders>
            <w:shd w:val="clear" w:color="auto" w:fill="auto"/>
            <w:noWrap/>
            <w:vAlign w:val="center"/>
          </w:tcPr>
          <w:p>
            <w:pPr>
              <w:widowControl/>
              <w:spacing w:line="200" w:lineRule="exact"/>
              <w:textAlignment w:val="center"/>
              <w:rPr>
                <w:rFonts w:ascii="仿宋" w:hAnsi="仿宋" w:eastAsia="仿宋" w:cs="仿宋"/>
                <w:color w:val="000000"/>
                <w:szCs w:val="21"/>
              </w:rPr>
            </w:pPr>
            <w:r>
              <w:rPr>
                <w:rFonts w:hint="eastAsia" w:ascii="仿宋" w:hAnsi="仿宋" w:eastAsia="仿宋" w:cs="仿宋"/>
                <w:color w:val="000000"/>
                <w:kern w:val="0"/>
                <w:szCs w:val="21"/>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3"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序号</w:t>
            </w:r>
          </w:p>
        </w:tc>
        <w:tc>
          <w:tcPr>
            <w:tcW w:w="790"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项目名称</w:t>
            </w:r>
          </w:p>
        </w:tc>
        <w:tc>
          <w:tcPr>
            <w:tcW w:w="2240"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建设内容及规模</w:t>
            </w:r>
          </w:p>
        </w:tc>
        <w:tc>
          <w:tcPr>
            <w:tcW w:w="571"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建设地点</w:t>
            </w:r>
          </w:p>
        </w:tc>
        <w:tc>
          <w:tcPr>
            <w:tcW w:w="344"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总投资</w:t>
            </w:r>
          </w:p>
        </w:tc>
        <w:tc>
          <w:tcPr>
            <w:tcW w:w="306"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规划年度</w:t>
            </w:r>
          </w:p>
        </w:tc>
        <w:tc>
          <w:tcPr>
            <w:tcW w:w="606" w:type="pct"/>
            <w:tcBorders>
              <w:top w:val="single" w:color="auto" w:sz="4" w:space="0"/>
            </w:tcBorders>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合计</w:t>
            </w:r>
          </w:p>
        </w:tc>
        <w:tc>
          <w:tcPr>
            <w:tcW w:w="571" w:type="pct"/>
            <w:shd w:val="clear" w:color="auto" w:fill="auto"/>
            <w:vAlign w:val="center"/>
          </w:tcPr>
          <w:p>
            <w:pPr>
              <w:widowControl/>
              <w:spacing w:line="200" w:lineRule="exact"/>
              <w:jc w:val="center"/>
              <w:rPr>
                <w:rFonts w:asciiTheme="minorEastAsia" w:hAnsiTheme="minorEastAsia" w:cstheme="minorEastAsia"/>
                <w:b/>
                <w:bCs/>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387167.15</w:t>
            </w:r>
          </w:p>
        </w:tc>
        <w:tc>
          <w:tcPr>
            <w:tcW w:w="306" w:type="pct"/>
            <w:shd w:val="clear" w:color="auto" w:fill="auto"/>
            <w:vAlign w:val="center"/>
          </w:tcPr>
          <w:p>
            <w:pPr>
              <w:widowControl/>
              <w:spacing w:line="200" w:lineRule="exact"/>
              <w:jc w:val="center"/>
              <w:rPr>
                <w:rFonts w:asciiTheme="minorEastAsia" w:hAnsiTheme="minorEastAsia" w:cstheme="minorEastAsia"/>
                <w:b/>
                <w:bCs/>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一、巩固拓展脱贫攻坚成果</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55457.25</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（一）农村危房改造项目</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1942.25</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靖边县农村低收入群体危房改造项目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农村低收入群体危房改造787户，其中2021年212户，2022年125户，2023年150户，2024年150户，2025年150户</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1942.25</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（二）巩固农村安全饮水项目</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7950</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靖边县2021年农村安全饮水项目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建设农村安全饮水巩固提升项目75处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席麻湾镇塘坝渠村等75个村</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1329.72</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靖边县城乡供水安全服务中心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靖边县2022年农村安全饮水项目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建设农村安全饮水巩固提升项目87处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中山涧镇李家峁村等87个村</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1617.2</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靖边县城乡供水安全服务中心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靖边县2023年农村安全饮水项目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建设农村安全饮水巩固提升项目32处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杨桥畔镇杨二村等32个村</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1752.4</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2023年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靖边县城乡供水安全服务中心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靖边县2024年农村安全饮水项目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建设农村安全饮水巩固提升项目32处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海则滩镇海则滩村等32个村</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1744.86</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2024年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靖边县城乡供水安全服务中心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6</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靖边县2025年农村安全饮水项目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建设农村安全饮水巩固提升项目31处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席麻湾镇塘坝渠村等31个村</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1505.82</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靖边县城乡供水安全服务中心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（三）移民后续产业项目</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43505</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7</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靖边县海则畔移民二区劳动密集型移民产业园项目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建设占地 412.1 亩，总建筑面积为 208393.42 ㎡，其中标准化厂房 20座，建筑面积 61000 ㎡，厂房办公楼 20 座，建筑面积 40500 ㎡，展厅及附属楼3 座，建筑面积2000 ㎡，配套生活住宅楼8 栋，建筑面积21600㎡，货车出入口 9 个，道路硬化面积 52700 ㎡，场地硬化面积184893.42 ㎡，园区绿化 3424 ㎡，车辆进出道闸 4 套以及园区其他附属配套设施</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海则畔移民二区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17800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2021年-2023年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靖边县秦靖移民产业开发有限责任公司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8</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靖边县海则畔移民二区商业街建设项目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利用移民大道两侧长1120米、宽80米的商业用地建设一条商业街</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海则畔移民二区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19250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2023年-2025年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9</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靖边县海则畔移民二区高效生态观光示范采摘园项目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低产林改造为经济林，规划总面积 1000亩</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海则畔移民二区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2023年-2025年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靖边县海则畔移民二区设施蔬菜种植项目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建设占地面积35亩的设施蔬菜种植基地1处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海则畔移民二区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365</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2021年-2023年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靖边县东坑镇幸福家园移民集中安置点农资市场建设项目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新建占地17亩的集农用物资销售，农副产品收购农资市场1处，配套完善内部设施</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东坑幸福家园移民集中安置点</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880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2023年-2025年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靖边县中山涧移民社区农贸市场建设项目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建设占地2亩农贸市场1处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中山涧镇移民社区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2022年-2024年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13</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靖边县中山涧镇移民社区养殖项目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建设存栏500只湖羊养殖基地1处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中山涧镇移民社区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110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1"/>
                          <a:stretch>
                            <a:fillRect/>
                          </a:stretch>
                        </pic:blipFill>
                        <pic:spPr>
                          <a:xfrm>
                            <a:off x="0" y="0"/>
                            <a:ext cx="9525" cy="38100"/>
                          </a:xfrm>
                          <a:prstGeom prst="rect">
                            <a:avLst/>
                          </a:prstGeom>
                          <a:noFill/>
                          <a:ln>
                            <a:noFill/>
                          </a:ln>
                        </pic:spPr>
                      </pic:pic>
                    </a:graphicData>
                  </a:graphic>
                </wp:anchor>
              </w:drawing>
            </w:r>
            <w:r>
              <w:rPr>
                <w:rFonts w:hint="eastAsia" w:asciiTheme="minorEastAsia" w:hAnsiTheme="minorEastAsia" w:cstheme="minorEastAsia"/>
                <w:color w:val="000000"/>
                <w:kern w:val="0"/>
                <w:sz w:val="15"/>
                <w:szCs w:val="15"/>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0" name="图片_1_SpCnt_1"/>
                  <wp:cNvGraphicFramePr/>
                  <a:graphic xmlns:a="http://schemas.openxmlformats.org/drawingml/2006/main">
                    <a:graphicData uri="http://schemas.openxmlformats.org/drawingml/2006/picture">
                      <pic:pic xmlns:pic="http://schemas.openxmlformats.org/drawingml/2006/picture">
                        <pic:nvPicPr>
                          <pic:cNvPr id="10" name="图片_1_SpCnt_1"/>
                          <pic:cNvPicPr/>
                        </pic:nvPicPr>
                        <pic:blipFill>
                          <a:blip r:embed="rId11"/>
                          <a:stretch>
                            <a:fillRect/>
                          </a:stretch>
                        </pic:blipFill>
                        <pic:spPr>
                          <a:xfrm>
                            <a:off x="0" y="0"/>
                            <a:ext cx="9525" cy="38100"/>
                          </a:xfrm>
                          <a:prstGeom prst="rect">
                            <a:avLst/>
                          </a:prstGeom>
                          <a:noFill/>
                          <a:ln>
                            <a:noFill/>
                          </a:ln>
                        </pic:spPr>
                      </pic:pic>
                    </a:graphicData>
                  </a:graphic>
                </wp:anchor>
              </w:drawing>
            </w:r>
            <w:r>
              <w:rPr>
                <w:rFonts w:hint="eastAsia" w:asciiTheme="minorEastAsia" w:hAnsiTheme="minorEastAsia" w:cstheme="minorEastAsia"/>
                <w:color w:val="000000"/>
                <w:kern w:val="0"/>
                <w:sz w:val="15"/>
                <w:szCs w:val="15"/>
              </w:rPr>
              <w:t>14</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靖边县东坑镇创业路社区2022年社区农业产业创业基地建设项目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1、新建滴管生产厂1处；2、新建集加工、筛选、包装、品牌打造、质量安全追溯为一体的小杂粮加工厂1处。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东坑镇创业路社区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15</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靖边县东坑镇张家畔街道办东新社区就业创业基地建设项目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新建钢框架结构摊位档口16间、每间长11米、宽6米、总建筑面积1094.5平方米，市场室外硬化3360.5平方米以及室外给排水官网、围墙、伸缩门等附属工程</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海则畔移民二区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1600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靖边县发展改革与科技局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（四）金融项目</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1600</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16</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靖边县低收入户小额贷款贴息项目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为发展产业有贷款需求的2000户脱贫户、监测户发放小额贷款并进行贴息</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17</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靖边县互助协会占用费补贴项目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为1500户脱贫户、监测户在互助协会借款所产业的占用费进行补贴（按国家基准利率）</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18</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靖边县互助协会后续追加项目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为全县发展较好的30个互助协会追加注入资金</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19</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靖边县防返贫保险项目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为全县有致贫返贫风险的群体进行保险陪付</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800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（五）就业创业</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460</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靖边县雨露计划补贴项目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对脱贫户、监测户在技校及中高职业学校就读进行补助，每生3000元/年</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靖边县跨省外出务工补贴项目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对脱贫户、监测户在省外务工交通费进行补贴，每人不超过500元/年</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60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二、产业项目</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226000</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（一）培育优良品种工程</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33700</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靖边县现代种业提升项目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玉米制种基地10万亩，建设脱毒马铃薯微型薯繁育基地5000亩，原种繁育基地50000亩。开展全县玉米转基因成分检测和服务工作，创建水产育苗繁育基地，引进小龙虾、螃蟹新品种。发放紫花苜蓿、青贮玉米、甜高粱等优质牧草种子25吨。</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12000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23</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靖边县羊子产业提升项目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存栏万只以上湖羊繁育基地2个；新建或改造陕北白绒山羊良种繁育场2个，新建或改扩建陕北白绒山羊规模养殖场25个；引进推广陕北湖羊、白绒山羊、萨福克、德克赛尔、杜泊等品种；每年普查鉴定优良陕北白绒山羊15000只，引进良种羊2000只，组建核心群25群。建设存栏1000只（基础母羊存栏500只）的村集体养殖合作社以及规模场52个；建设存栏400只（基础母羊存栏200只）的集体经济、合作社、养殖场83个；建设存栏200只（基础母羊存栏100只）的家庭适度规模养殖场145个。以整村推进方式，在全县择优选择40个行政村，每村发展存栏基础母羊50只的养殖农户50户。在全县打造陕北湖羊育种创新能力提升项目基地1处。</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10800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24</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靖边县生猪标准化和规模养殖项目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全县扶持新建或改扩建存栏500头以上能繁母猪规模养殖场2个，存栏200头能繁母猪规模养猪场20个，存栏100头能繁母猪规模养猪场50个，存栏能繁母猪在50-99头的适度规模养殖场户100户</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10900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（二）产品品质及标准化管理工程</w:t>
            </w:r>
          </w:p>
        </w:tc>
        <w:tc>
          <w:tcPr>
            <w:tcW w:w="571"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144500</w:t>
            </w:r>
          </w:p>
        </w:tc>
        <w:tc>
          <w:tcPr>
            <w:tcW w:w="3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jc w:val="center"/>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25</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靖边县智慧农机园建设项目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启动智慧农机园建设，实施深松整地20万亩、保护性耕作1万亩。智慧农机园建设；智慧农机改造；塑料大棚智慧农业示范基地建设。</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26</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靖边县旱作节水农业建设项目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全县建设旱作节水农业及“四位一体”11.2万亩</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12000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27</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靖边县农牧绿色循环优质高效特色产业升级项目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落实节水工程，增建智慧水务平台，实施水肥一体化技术3万亩；推广地膜减量增效项目，全生物降解地膜5万亩；增密提单产技术示范推广10万亩。建设日光温室200亩，塑料拱棚0.5万亩，标准化蔬菜生产基地10万亩。建设中药材、山药、黄花、蚕桑、食用菌等特色产业基地5万亩，建设青贮玉米及饲草基地10万亩。全县扶持新建或改扩建存栏在500头以上的肉牛养殖专业合作社、规模养殖场3个，存栏在100头以上规模肉牛养殖场10个，存栏50-99头适度规模肉牛养殖场50个，存栏在50-99头规模奶牛养殖场2个，20-49头适度规模奶牛养殖场户5个.扶持新建或改扩建存栏在10000羽以上规模养鸡场20个。</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43000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28</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靖边县优质水果基地建设项目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建设山地苹果、梨、桃、葡萄、山楂以及其它水果11万亩，建立标准园3万亩。</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17000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29</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靖边县现代农业科技示范提升项目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引进蔬菜、水果、马铃薯、玉米、小杂粮新品种、新技术以及新设施试验示范，集装箱养殖试验示范，山地苹果试验站建设，农作物病虫害综合防治，农业科研研究，机械研发。完善兽医实验室建设。</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3500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30</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靖边县农副产品加工产业园项目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项目规划总用地面积2000亩，主要建设内容有合格蔬菜净菜、菜汁深加工及配送项目、小米和荞麦深加工项目、年产1万吨马铃薯精制淀粉加工项目、中药材、初加工项目，建设1个年屠宰加工50万只的肉绵羊产品深加工基地。建设选果线10条，水果加工厂1处。建成标准化规模化饲草饲料加工企业（场）3个。渔业加工园区（200亩，建立冷冻冷藏、腌制、罐藏、调味休闲食品、鱼糜制品、鱼粉、鱼油、鱼皮制革及工艺品等产品品种），扶持3-5家龙头骨干企业，创建2-3个优质渔业产品品牌，优势渔业产品精深加工转化率达到80%。</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23500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靖边县农产品仓储保鲜冷链物流项目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完成靖边县农副产品交易集散中心二期项目建设，占地面积300亩。建设农产品品牌专卖店50个、马铃薯储存保鲜库50个、建设果蔬畜产品冷藏库50个、建设生猪运输车辆洗消中心20个、建成大型标准化规范化畜禽交易市场2个；建成羊肉产品冷链配送中心2个，购买50辆冷链物流车，村级疫苗冷链续延配发。</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12000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靖边县循环农业资源化利用建设项目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对畜牧业规模养殖场畜禽规模养殖场配套粪污无害化处理与资源化利用设施设备100个及有机肥加工处理。</w:t>
            </w:r>
          </w:p>
        </w:tc>
        <w:tc>
          <w:tcPr>
            <w:tcW w:w="571"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5000</w:t>
            </w:r>
          </w:p>
        </w:tc>
        <w:tc>
          <w:tcPr>
            <w:tcW w:w="3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33</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靖边县现代生态农业信息化体系建设项目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县建设一个数字农业农村综合管理平台，建立集指挥调度中心、物联网（含物联网设备）及水肥一体化控制中心、智慧水务中心、大数据中心为一体的数据中心。建立“农业大数据共享平台”，打造“靖边数字经济”品牌。建设靖边农业一平台、一中心、N系统信息化模式，包含智能水务平台、农业资源基础数据系统、生产管理信息系统、物联网种植数据监控系统、农业生产管理技术标准化系统、物联网大数据节水体系、农技专家服务系统——农业科技创新与推广基础数据系统、农产品质量追溯信息数据系统、农业市场信息服务系统--产销对接平台、现代种植及养殖系统等大数据平台的建设，开发农业产业大数据产品，服务农业生产、引导产业发展。</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16000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34</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靖边县马铃薯和蔬菜标准化生产示范基地</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引进专项生态农业技术，挖掘传统技术，重视高新技术在生态农业发展中的应用。建设8万亩马铃薯种植示范田，生产流程达到清洁生产的标准。推广生产标准化、可量化、数字化。新建及改造5万亩优质蔬菜生产基地，其中建设蔬菜生产设施5000亩。安装高频杀虫灯5000盏。</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35</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靖边县农产品质量安全及执法体系建设项目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完善农产品质量安全体系，完善追溯体系、农资投入品监管体系、开展农产品质量安全追溯网络监管，建设农产品质量安全检测与监测中心，开展农产品质量安全认证、检验检测，绿色食品生产技术标准编制发布，农产品质量安全示范基地标准化建设；执法队伍建设，执法装备建设，伪劣农资、扣押不合格肉品等无害化处理；开展动物防疫。建设全套动物检疫设备（非洲猪瘟检测设备、牛羊结核病、布氏杆菌病检疫设备）</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4500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（三）塑造农业品牌</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40000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36</w:t>
            </w:r>
          </w:p>
        </w:tc>
        <w:tc>
          <w:tcPr>
            <w:tcW w:w="790"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靖边县区域公共品牌与新营销体系建设项目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依托现有“阜美靖边”“靖原康”“靖边马铃薯”、“靖边荞麦”、“靖边羊肉”、“高家沟羊肉”、“靖边荞麦村”等区域公共品牌推动政府强化品牌建设、促进全县农民持续增收。</w:t>
            </w:r>
          </w:p>
        </w:tc>
        <w:tc>
          <w:tcPr>
            <w:tcW w:w="571"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各镇（、街道办、场）</w:t>
            </w:r>
          </w:p>
        </w:tc>
        <w:tc>
          <w:tcPr>
            <w:tcW w:w="344"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10000</w:t>
            </w:r>
          </w:p>
        </w:tc>
        <w:tc>
          <w:tcPr>
            <w:tcW w:w="306"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143"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790"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2240" w:type="pct"/>
            <w:shd w:val="clear" w:color="auto" w:fill="auto"/>
            <w:vAlign w:val="center"/>
          </w:tcPr>
          <w:p>
            <w:pPr>
              <w:widowControl/>
              <w:spacing w:line="200" w:lineRule="exact"/>
              <w:textAlignment w:val="center"/>
              <w:rPr>
                <w:rFonts w:hint="eastAsia" w:asciiTheme="minorEastAsia" w:hAnsiTheme="minorEastAsia" w:cstheme="minorEastAsia"/>
                <w:color w:val="000000"/>
                <w:kern w:val="0"/>
                <w:sz w:val="15"/>
                <w:szCs w:val="15"/>
              </w:rPr>
            </w:pPr>
            <w:r>
              <w:rPr>
                <w:rFonts w:hint="eastAsia" w:asciiTheme="minorEastAsia" w:hAnsiTheme="minorEastAsia" w:cstheme="minorEastAsia"/>
                <w:color w:val="000000"/>
                <w:kern w:val="0"/>
                <w:sz w:val="15"/>
                <w:szCs w:val="15"/>
              </w:rPr>
              <w:t>靖边县政府创设的“阜美靖边”、“靖原康”区域公共品牌为主品牌，县域企业品牌为子品牌，双品牌发展模式，共同扩展市场。主品牌带动副品牌提升形象，副品牌帮助主品牌扩大影响。通过精准化的市场分析引导安排农业生产，多方面增加农业产品的销售渠道，提高农业产品的品牌意识和市场竞争力。引入电商直播平台的营销推广模式进行品牌和产品营销推广。</w:t>
            </w:r>
          </w:p>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（1）线下通过陕西内外开展品牌推广活动形式包括不限于新品发布会、推介会、展销会等，线上通过央视、省媒等媒体渠道进行宣传，扩大区域公共品牌知名度。</w:t>
            </w:r>
          </w:p>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（2）对接主流电商平台，积极整合阿里、京东、淘宝、拼多多、美菜、抖音、快手等大型第三方资源开展线上合作，开展线上营销活动，推动靖边本地农产品的网络大宗交易。</w:t>
            </w:r>
          </w:p>
          <w:p>
            <w:pPr>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（3）建设公共品牌农产品网货中心。支持利用县内闲置厂房，建设集产品分拣分级、塑封包装、仓储配送等功能为一体的标准化公共品牌农产品网货中心。</w:t>
            </w:r>
          </w:p>
        </w:tc>
        <w:tc>
          <w:tcPr>
            <w:tcW w:w="571"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306"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37</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靖边生态农业产品展示馆建设项目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设立靖边农业博览会，扩大靖边品牌影响力。同时，建立数字农业展览馆，寻求全社会监督，普及靖边现代生态农业大数据平台，让更多人了解靖边现代生态农业“种植、采摘、加工、运输”技术标准和加工工艺，树立靖边农产品安全健康的品牌形象。</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3"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38</w:t>
            </w:r>
          </w:p>
        </w:tc>
        <w:tc>
          <w:tcPr>
            <w:tcW w:w="790"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靖边县文旅农业和乡村旅游精品项目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认定一批“一村一景”“一村一韵”美丽休闲乡村；开展“最美乡创、乡红、乡艺、乡厨、乡贤、乡社、乡品、乡园、乡景、乡居”等“十最十乡”推介活动。</w:t>
            </w:r>
          </w:p>
        </w:tc>
        <w:tc>
          <w:tcPr>
            <w:tcW w:w="571"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8000</w:t>
            </w:r>
          </w:p>
        </w:tc>
        <w:tc>
          <w:tcPr>
            <w:tcW w:w="306"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vMerge w:val="restar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790"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实施文旅农业和乡村旅游精品工程，建设一批设施完备、功能多样的休闲观光园区、乡村民宿、农耕体验、农事研学、康养基地等，打造特色突出、主题鲜明的文旅农业和乡村旅游精品。</w:t>
            </w:r>
          </w:p>
        </w:tc>
        <w:tc>
          <w:tcPr>
            <w:tcW w:w="571"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306"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vMerge w:val="continue"/>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39</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靖边县新型经营主体培育及经营体系建设项目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高素质农民、示范合作社、示范家庭农场培育，农机和农业社会化服务，农村集体经济审计；扶持建设村集体经济；强化新农民培训，全面提升农民综合素质及能力；加强公共品牌应用，统一制作印有公共品牌包装袋及包装箱。</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40</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靖边县农村产权交易中心建设项目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面建成产权流转交易中心，搭建及完善产权交易平台，立足农村产权流转交易基础，全面提供交易鉴证、产权融资、资产处置等配套服务，形成“交易鉴证+抵押登记+政策担保+银行贷款+风险补偿资金池+不良资产处置”农村产权交易机制。</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靖边县马铃薯交易中心建设项目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依托靖边现代生态农业体系，将靖边马铃薯提升到全球视野。发起靖边马铃薯众筹计划，产销对接。交易中心包括：信息平台、交易平台、展示平台、拍卖平台、物流平台、现货平台、期货平台。</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靖边县数字乡村建设项目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运用数字农业、智慧消防、智慧停车、智慧路灯、智慧抄表及视频监控、数字治理等应用，运用物联网技术、云计算、大数据、传感器、移动互联网等技术，对乡村基层设施与生活发展相关的各方面内容进行全方面的信息化处理和利用，实现乡村智慧化、网络化、信息化管理。</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8000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（四）一镇一园项目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7800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43</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靖边县“一镇一园”建设项目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计划建设26个联村共建示范项目，优化“一镇（村）一品”结构，重点建设千亩（头、只）特色种养产业、123产业融合、仓储物流、田园综合体等项目，搭载（带动、扶持）低收入产业户增收。</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全县各镇</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7800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三、生态环境项目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31767</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（一）美丽乡村项目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10800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44</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靖边县“美丽乡村”建设项目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1.农村人居环境整治、垃圾处理及厕所革命资金800万元；2.城乡环卫一体化垃圾清理费用安排800万元；3.美丽乡村建设（水、电、路、产业等建设项目）安排8000万元；5.院落美化（户内补助）安排4000万元。</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全县各村</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45</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靖边县美丽城乡建设项目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总规划40个，其中：美丽乡村建设每年规划8个，分别对村委、政府驻地、乡村道路等进行绿化。</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800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（二）生态振兴示范村项目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2000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46</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靖边县黄蒿界镇五合村生态振兴示范村建设</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一、草牧融合发展建设工程：一是实施人工种草1058亩，主要种植紫花苜宿，适当配套微喷系统。二是在稀疏灌木林和天然草地范围中种植紫穗槐、山杏、沙棘、沙枣等，共栽植乔木灌木62540株。</w:t>
            </w:r>
            <w:r>
              <w:rPr>
                <w:rFonts w:hint="eastAsia" w:asciiTheme="minorEastAsia" w:hAnsiTheme="minorEastAsia" w:cstheme="minorEastAsia"/>
                <w:color w:val="000000"/>
                <w:kern w:val="0"/>
                <w:sz w:val="15"/>
                <w:szCs w:val="15"/>
              </w:rPr>
              <w:br w:type="textWrapping"/>
            </w:r>
            <w:r>
              <w:rPr>
                <w:rFonts w:hint="eastAsia" w:asciiTheme="minorEastAsia" w:hAnsiTheme="minorEastAsia" w:cstheme="minorEastAsia"/>
                <w:color w:val="000000"/>
                <w:kern w:val="0"/>
                <w:sz w:val="15"/>
                <w:szCs w:val="15"/>
              </w:rPr>
              <w:t>二、农户圈舍暖棚改造7600平米，建设储草棚6000平米。</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黄蒿界镇五合村</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2022年-2024年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47</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靖边县龙洲镇龙一村生态振兴示范村建设</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一、山体森林景观区：1.更新改造植物配置，对山体郁闭度小于0.2的灌草裸露地进行全面更新改造，作业区面积6626亩，可作业面积2874亩，设计53个作业小班。主要栽植油松、侧柏、落叶松、元宝枫、小叶杨、白蜡、茶条槭、黄栌、鲜食桃、鸡心果、西梅、火炬树、金银木等13类树种126899株；2.原有林森林抚育修复，设计抚育修复作业小班11个，修复小班总面积1251亩，抚育保护面积807亩。空白地实施补植补造面积444亩，共补植20479株乔木，补植树种以侧柏、元宝枫、小叶杨、火炬树等乔木树种为主；3.封禁抚育保护，封禁抚育小班总面积1452亩，抚育保护面积1061，设计28个作业小班。</w:t>
            </w:r>
            <w:r>
              <w:rPr>
                <w:rFonts w:hint="eastAsia" w:asciiTheme="minorEastAsia" w:hAnsiTheme="minorEastAsia" w:cstheme="minorEastAsia"/>
                <w:color w:val="000000"/>
                <w:kern w:val="0"/>
                <w:sz w:val="15"/>
                <w:szCs w:val="15"/>
              </w:rPr>
              <w:br w:type="textWrapping"/>
            </w:r>
            <w:r>
              <w:rPr>
                <w:rFonts w:hint="eastAsia" w:asciiTheme="minorEastAsia" w:hAnsiTheme="minorEastAsia" w:cstheme="minorEastAsia"/>
                <w:color w:val="000000"/>
                <w:kern w:val="0"/>
                <w:sz w:val="15"/>
                <w:szCs w:val="15"/>
              </w:rPr>
              <w:t>二、经济林果发展区： 新建经济林果山楂采摘园1个，面积40.6亩。</w:t>
            </w:r>
            <w:r>
              <w:rPr>
                <w:rFonts w:hint="eastAsia" w:asciiTheme="minorEastAsia" w:hAnsiTheme="minorEastAsia" w:cstheme="minorEastAsia"/>
                <w:color w:val="000000"/>
                <w:kern w:val="0"/>
                <w:sz w:val="15"/>
                <w:szCs w:val="15"/>
              </w:rPr>
              <w:br w:type="textWrapping"/>
            </w:r>
            <w:r>
              <w:rPr>
                <w:rFonts w:hint="eastAsia" w:asciiTheme="minorEastAsia" w:hAnsiTheme="minorEastAsia" w:cstheme="minorEastAsia"/>
                <w:color w:val="000000"/>
                <w:kern w:val="0"/>
                <w:sz w:val="15"/>
                <w:szCs w:val="15"/>
              </w:rPr>
              <w:t>三、交通道路景观网：实施道路网绿化3000米,主要栽植国槐、金枝国槐、紫叶稠李、独干紫叶矮樱、独干榆叶梅、大花水桠木、蒙古莸、沙地柏、百里香等4499株。</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龙洲镇龙一村</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2022年-2024年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（三）生态保护与修复项目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18967</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48</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靖边县森林生态修复与提升项目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规划总面积10万亩，其中：林草质量提升每年规划1.5万亩，五年内完成7.5万亩；森林抚育每年规划0.5万亩，五年内完成2.5万亩。</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9000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49</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靖边县退耕还林项目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严格按照国家的政策兑现标准，完成上一轮退耕还林政策兑现资金、新一轮退耕还林种苗费和政策兑现资金。</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2967</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2021年-2024年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50</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靖边县生态效益补偿项目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生态效益补偿每年完成98.6万亩。</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各镇（便街道办、场）</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7000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四、公共服务项目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10600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靖边县镇（场、便民服务中心、街道）卫生院建设项目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新建业务用房18000平方米及医疗设备采购</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镇靖、席麻湾、龙洲、小河、三岔渠、东坑</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9000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2023年-2025年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养老体系建设项目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 xml:space="preserve"> 靖边县16个镇（街道、场），新建养老服务综合中心500平方米，设计床位60张</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各镇</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1600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2021年-2024年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五、文化旅游项目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8400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53</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靖边县提升镇村两级基层公共文化基础设施三补齐建设项目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完善县图书馆、文化馆、博物馆功能设施；提升镇村两级公共文化基础设施</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2021年-2023年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靖边县文化和旅游文物广电局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54</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靖边县西涧丹林景区基础设施建设项目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建设道路、排水、游客服务中心、标识标牌、星级厕所等基础设施；实施环境整治项目</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靖边县王渠则镇</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1300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2021年-2023年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靖边县文化和旅游文物广电局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55</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靖边县沙漠运动公园基础设施建设项目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建设道路、排水、游客服务中心、标识标牌、星级厕所等基础设施；实施环境整治项目</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靖边县张家畔街道</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靖边县文化和旅游文物广电局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56</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靖边县海则滩湿地公园基础设施建设工程</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建设道路、排水、游客服务中心、标识标牌、星级厕所等基础设施；实施环境整治项目</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靖边县海则滩镇</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1900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2021年-2023年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靖边县文化和旅游文物广电局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57</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靖边县广播电视5G网络提升改造项目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5G设备采购安装、机房维修改造等</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1200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靖边县文化和旅游文物广电局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六、基础设施</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54942.9</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（一）交通道路项目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33342.9</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58</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靖边县通村通组道路项目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硬化通村通组道路629.022公里（2021年75公里，2022年94.222公里，2023年153.2公里，2024年153.2公里，2025年153.4公里）</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全县各村</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31451.1</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59</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靖边县安防工程项目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安防工程94.59公里</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1891.8</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2021年、2023年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（二）水利项目</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11600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60</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靖边县京津风沙源治理二期工程水利水保项目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建设水源工程398处，节水灌溉工程470处,小流域综合治理25公里。</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5300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2021年-2022年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61</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靖边县坡耕地水土流失综合治理工程项目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实施坡改梯42000亩，配套田间道路、排水沟、植物护埂等措施</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6300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2021年-2026年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73" w:type="pct"/>
            <w:gridSpan w:val="3"/>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（三）公益性基础设施</w:t>
            </w:r>
          </w:p>
        </w:tc>
        <w:tc>
          <w:tcPr>
            <w:tcW w:w="571"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344" w:type="pct"/>
            <w:shd w:val="clear" w:color="auto" w:fill="auto"/>
            <w:vAlign w:val="center"/>
          </w:tcPr>
          <w:p>
            <w:pPr>
              <w:widowControl/>
              <w:spacing w:line="200" w:lineRule="exact"/>
              <w:textAlignment w:val="center"/>
              <w:rPr>
                <w:rFonts w:asciiTheme="minorEastAsia" w:hAnsiTheme="minorEastAsia" w:cstheme="minorEastAsia"/>
                <w:b/>
                <w:bCs/>
                <w:color w:val="000000"/>
                <w:sz w:val="15"/>
                <w:szCs w:val="15"/>
              </w:rPr>
            </w:pPr>
            <w:r>
              <w:rPr>
                <w:rFonts w:hint="eastAsia" w:asciiTheme="minorEastAsia" w:hAnsiTheme="minorEastAsia" w:cstheme="minorEastAsia"/>
                <w:b/>
                <w:bCs/>
                <w:color w:val="000000"/>
                <w:kern w:val="0"/>
                <w:sz w:val="15"/>
                <w:szCs w:val="15"/>
              </w:rPr>
              <w:t>10000</w:t>
            </w:r>
          </w:p>
        </w:tc>
        <w:tc>
          <w:tcPr>
            <w:tcW w:w="306" w:type="pct"/>
            <w:shd w:val="clear" w:color="auto" w:fill="auto"/>
            <w:vAlign w:val="center"/>
          </w:tcPr>
          <w:p>
            <w:pPr>
              <w:widowControl/>
              <w:spacing w:line="200" w:lineRule="exact"/>
              <w:rPr>
                <w:rFonts w:asciiTheme="minorEastAsia" w:hAnsiTheme="minorEastAsia" w:cstheme="minorEastAsia"/>
                <w:color w:val="000000"/>
                <w:sz w:val="15"/>
                <w:szCs w:val="15"/>
              </w:rPr>
            </w:pPr>
          </w:p>
        </w:tc>
        <w:tc>
          <w:tcPr>
            <w:tcW w:w="606" w:type="pct"/>
            <w:shd w:val="clear" w:color="auto" w:fill="auto"/>
            <w:vAlign w:val="center"/>
          </w:tcPr>
          <w:p>
            <w:pPr>
              <w:widowControl/>
              <w:spacing w:line="200" w:lineRule="exact"/>
              <w:rPr>
                <w:rFonts w:asciiTheme="minorEastAsia" w:hAnsiTheme="minorEastAsia" w:cstheme="minorEastAsia"/>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62</w:t>
            </w:r>
          </w:p>
        </w:tc>
        <w:tc>
          <w:tcPr>
            <w:tcW w:w="79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靖边县公益性基础设施项目</w:t>
            </w:r>
          </w:p>
        </w:tc>
        <w:tc>
          <w:tcPr>
            <w:tcW w:w="2240"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农村地区村组道路硬化、灌溉设施、小型电力设施、发展村集体经济所需基础设施配套等小型公益性基础设施</w:t>
            </w:r>
          </w:p>
        </w:tc>
        <w:tc>
          <w:tcPr>
            <w:tcW w:w="571"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w:t>
            </w:r>
          </w:p>
        </w:tc>
        <w:tc>
          <w:tcPr>
            <w:tcW w:w="344"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10000</w:t>
            </w:r>
          </w:p>
        </w:tc>
        <w:tc>
          <w:tcPr>
            <w:tcW w:w="3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2021年-2025年</w:t>
            </w:r>
          </w:p>
        </w:tc>
        <w:tc>
          <w:tcPr>
            <w:tcW w:w="606" w:type="pct"/>
            <w:shd w:val="clear" w:color="auto" w:fill="auto"/>
            <w:vAlign w:val="center"/>
          </w:tcPr>
          <w:p>
            <w:pPr>
              <w:widowControl/>
              <w:spacing w:line="200" w:lineRule="exac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kern w:val="0"/>
                <w:sz w:val="15"/>
                <w:szCs w:val="15"/>
              </w:rPr>
              <w:t>靖边县乡村振兴局</w:t>
            </w:r>
          </w:p>
        </w:tc>
      </w:tr>
    </w:tbl>
    <w:p/>
    <w:sectPr>
      <w:pgSz w:w="16838" w:h="11906" w:orient="landscape"/>
      <w:pgMar w:top="1814" w:right="2154" w:bottom="1417" w:left="1814" w:header="851" w:footer="992" w:gutter="0"/>
      <w:pgNumType w:fmt="numberInDash"/>
      <w:cols w:space="0" w:num="1"/>
      <w:docGrid w:type="linesAndChars" w:linePitch="292" w:charSpace="-26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442077426"/>
      <w:docPartObj>
        <w:docPartGallery w:val="AutoText"/>
      </w:docPartObj>
    </w:sdtPr>
    <w:sdtEndPr>
      <w:rPr>
        <w:rFonts w:asciiTheme="majorEastAsia" w:hAnsiTheme="majorEastAsia" w:eastAsiaTheme="majorEastAsia"/>
        <w:sz w:val="28"/>
        <w:szCs w:val="28"/>
      </w:rPr>
    </w:sdtEndPr>
    <w:sdtContent>
      <w:p>
        <w:pPr>
          <w:pStyle w:val="11"/>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115 -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99"/>
  <w:drawingGridVerticalSpacing w:val="1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Y2QzMTk3OTYwMmUzODU0OWQ5NDkxMmI4MWVmYmQifQ=="/>
  </w:docVars>
  <w:rsids>
    <w:rsidRoot w:val="00166637"/>
    <w:rsid w:val="00044E69"/>
    <w:rsid w:val="0006701E"/>
    <w:rsid w:val="00166637"/>
    <w:rsid w:val="002D7BFC"/>
    <w:rsid w:val="003043BD"/>
    <w:rsid w:val="004A3A4E"/>
    <w:rsid w:val="005803CA"/>
    <w:rsid w:val="00793278"/>
    <w:rsid w:val="007C5C8A"/>
    <w:rsid w:val="0098271D"/>
    <w:rsid w:val="009A2F6D"/>
    <w:rsid w:val="00A6306E"/>
    <w:rsid w:val="00AA2DC1"/>
    <w:rsid w:val="00AD12BE"/>
    <w:rsid w:val="00C82819"/>
    <w:rsid w:val="00CA2DAB"/>
    <w:rsid w:val="00D3383F"/>
    <w:rsid w:val="00DB2983"/>
    <w:rsid w:val="00E15393"/>
    <w:rsid w:val="00E91816"/>
    <w:rsid w:val="00EA2ACF"/>
    <w:rsid w:val="00EE1F25"/>
    <w:rsid w:val="01D453F0"/>
    <w:rsid w:val="020C30A6"/>
    <w:rsid w:val="021623A1"/>
    <w:rsid w:val="02376869"/>
    <w:rsid w:val="02740E9C"/>
    <w:rsid w:val="027F6AB2"/>
    <w:rsid w:val="02DC311A"/>
    <w:rsid w:val="02FC218F"/>
    <w:rsid w:val="03170EDB"/>
    <w:rsid w:val="03B25314"/>
    <w:rsid w:val="041240ED"/>
    <w:rsid w:val="041A59C9"/>
    <w:rsid w:val="049B14DD"/>
    <w:rsid w:val="04B30C95"/>
    <w:rsid w:val="0562458C"/>
    <w:rsid w:val="0565220F"/>
    <w:rsid w:val="058B39C0"/>
    <w:rsid w:val="06096B69"/>
    <w:rsid w:val="060F35B1"/>
    <w:rsid w:val="06254420"/>
    <w:rsid w:val="062973DE"/>
    <w:rsid w:val="063E4B30"/>
    <w:rsid w:val="06674FF7"/>
    <w:rsid w:val="06FF19CF"/>
    <w:rsid w:val="075A13C6"/>
    <w:rsid w:val="07727AEC"/>
    <w:rsid w:val="07843CDE"/>
    <w:rsid w:val="07A272B5"/>
    <w:rsid w:val="07C27AF6"/>
    <w:rsid w:val="07E31891"/>
    <w:rsid w:val="07E72244"/>
    <w:rsid w:val="07F817E1"/>
    <w:rsid w:val="07FB33B4"/>
    <w:rsid w:val="08191757"/>
    <w:rsid w:val="083E5E44"/>
    <w:rsid w:val="08FA7CD2"/>
    <w:rsid w:val="09921684"/>
    <w:rsid w:val="09941BAA"/>
    <w:rsid w:val="09A36D7E"/>
    <w:rsid w:val="09EF46F9"/>
    <w:rsid w:val="0A480B9C"/>
    <w:rsid w:val="0AC91212"/>
    <w:rsid w:val="0B1F6DEE"/>
    <w:rsid w:val="0B941DCD"/>
    <w:rsid w:val="0C19731F"/>
    <w:rsid w:val="0C216DCA"/>
    <w:rsid w:val="0C2B3807"/>
    <w:rsid w:val="0C50792C"/>
    <w:rsid w:val="0C5D748D"/>
    <w:rsid w:val="0C9F0FC0"/>
    <w:rsid w:val="0D0C53E6"/>
    <w:rsid w:val="0D29243C"/>
    <w:rsid w:val="0D3861DB"/>
    <w:rsid w:val="0DB202FC"/>
    <w:rsid w:val="0DD75CD7"/>
    <w:rsid w:val="0DF53A68"/>
    <w:rsid w:val="0DF91A94"/>
    <w:rsid w:val="0E197DBB"/>
    <w:rsid w:val="0E3735BB"/>
    <w:rsid w:val="0E4E3167"/>
    <w:rsid w:val="0E957C4E"/>
    <w:rsid w:val="0EC3698D"/>
    <w:rsid w:val="0F0C73D1"/>
    <w:rsid w:val="0F155398"/>
    <w:rsid w:val="0F1F5C14"/>
    <w:rsid w:val="0F215E94"/>
    <w:rsid w:val="0FD03043"/>
    <w:rsid w:val="0FE374FA"/>
    <w:rsid w:val="10BF6C98"/>
    <w:rsid w:val="10D3604C"/>
    <w:rsid w:val="110C3C07"/>
    <w:rsid w:val="110F63F9"/>
    <w:rsid w:val="11364CDA"/>
    <w:rsid w:val="11CC0572"/>
    <w:rsid w:val="120247B9"/>
    <w:rsid w:val="12313D5C"/>
    <w:rsid w:val="12394D2F"/>
    <w:rsid w:val="125104FA"/>
    <w:rsid w:val="129D2912"/>
    <w:rsid w:val="12A5551B"/>
    <w:rsid w:val="133236CD"/>
    <w:rsid w:val="13445481"/>
    <w:rsid w:val="1345403C"/>
    <w:rsid w:val="135000BE"/>
    <w:rsid w:val="13557341"/>
    <w:rsid w:val="1376509E"/>
    <w:rsid w:val="13BC1777"/>
    <w:rsid w:val="13D93620"/>
    <w:rsid w:val="15743C8B"/>
    <w:rsid w:val="15AB60E4"/>
    <w:rsid w:val="15F164A0"/>
    <w:rsid w:val="160C3A81"/>
    <w:rsid w:val="16257519"/>
    <w:rsid w:val="162E51E8"/>
    <w:rsid w:val="16CA52C0"/>
    <w:rsid w:val="173A48D6"/>
    <w:rsid w:val="17871936"/>
    <w:rsid w:val="17AD2C2B"/>
    <w:rsid w:val="18306950"/>
    <w:rsid w:val="183C0D01"/>
    <w:rsid w:val="185A0968"/>
    <w:rsid w:val="18AC2587"/>
    <w:rsid w:val="18BC23B6"/>
    <w:rsid w:val="18E37943"/>
    <w:rsid w:val="18E86B68"/>
    <w:rsid w:val="19076B25"/>
    <w:rsid w:val="1A526A0C"/>
    <w:rsid w:val="1A654388"/>
    <w:rsid w:val="1A9E4D99"/>
    <w:rsid w:val="1ACB0C72"/>
    <w:rsid w:val="1B2B55D1"/>
    <w:rsid w:val="1BAA0105"/>
    <w:rsid w:val="1BD57D32"/>
    <w:rsid w:val="1C683EE6"/>
    <w:rsid w:val="1C925E48"/>
    <w:rsid w:val="1DCA0DA4"/>
    <w:rsid w:val="1E1C5ADE"/>
    <w:rsid w:val="1E674758"/>
    <w:rsid w:val="1E6F3A1E"/>
    <w:rsid w:val="1E71779F"/>
    <w:rsid w:val="1E8F04C4"/>
    <w:rsid w:val="1EAF2075"/>
    <w:rsid w:val="1EC94B5F"/>
    <w:rsid w:val="1EF42484"/>
    <w:rsid w:val="1F3F1DB3"/>
    <w:rsid w:val="1F6E6F3C"/>
    <w:rsid w:val="1FA12637"/>
    <w:rsid w:val="1FB87A57"/>
    <w:rsid w:val="1FE01FA9"/>
    <w:rsid w:val="200C7258"/>
    <w:rsid w:val="20665917"/>
    <w:rsid w:val="2114292E"/>
    <w:rsid w:val="2131482B"/>
    <w:rsid w:val="21A71062"/>
    <w:rsid w:val="22616BD5"/>
    <w:rsid w:val="22657242"/>
    <w:rsid w:val="231B1143"/>
    <w:rsid w:val="231E5D73"/>
    <w:rsid w:val="232079E6"/>
    <w:rsid w:val="235002CB"/>
    <w:rsid w:val="235D12C3"/>
    <w:rsid w:val="2492046F"/>
    <w:rsid w:val="24C21928"/>
    <w:rsid w:val="24EF260A"/>
    <w:rsid w:val="253A476D"/>
    <w:rsid w:val="257204BC"/>
    <w:rsid w:val="2586552D"/>
    <w:rsid w:val="25F27417"/>
    <w:rsid w:val="26064C71"/>
    <w:rsid w:val="261A4813"/>
    <w:rsid w:val="261A4BC0"/>
    <w:rsid w:val="265F66D4"/>
    <w:rsid w:val="266A6868"/>
    <w:rsid w:val="268D2FF6"/>
    <w:rsid w:val="26947F63"/>
    <w:rsid w:val="27121457"/>
    <w:rsid w:val="272F01F7"/>
    <w:rsid w:val="27541722"/>
    <w:rsid w:val="28031B87"/>
    <w:rsid w:val="283B72BD"/>
    <w:rsid w:val="284A6D37"/>
    <w:rsid w:val="28880771"/>
    <w:rsid w:val="288F7180"/>
    <w:rsid w:val="28BE5377"/>
    <w:rsid w:val="28CD3429"/>
    <w:rsid w:val="293935AF"/>
    <w:rsid w:val="2952631D"/>
    <w:rsid w:val="29861C3F"/>
    <w:rsid w:val="29A62EB3"/>
    <w:rsid w:val="29D3130E"/>
    <w:rsid w:val="29E53D35"/>
    <w:rsid w:val="29F00112"/>
    <w:rsid w:val="2A743FEE"/>
    <w:rsid w:val="2A905451"/>
    <w:rsid w:val="2AA52EE4"/>
    <w:rsid w:val="2AF254CE"/>
    <w:rsid w:val="2B226E3C"/>
    <w:rsid w:val="2B9E289E"/>
    <w:rsid w:val="2C1E1EF7"/>
    <w:rsid w:val="2C42277B"/>
    <w:rsid w:val="2C567FD4"/>
    <w:rsid w:val="2C613836"/>
    <w:rsid w:val="2C8847A9"/>
    <w:rsid w:val="2CA14E8E"/>
    <w:rsid w:val="2CA3758A"/>
    <w:rsid w:val="2CF87323"/>
    <w:rsid w:val="2D255327"/>
    <w:rsid w:val="2D316324"/>
    <w:rsid w:val="2DCA0C7A"/>
    <w:rsid w:val="2DEB0BED"/>
    <w:rsid w:val="2E25256F"/>
    <w:rsid w:val="2E7B254B"/>
    <w:rsid w:val="2EB01C1E"/>
    <w:rsid w:val="2F811BAB"/>
    <w:rsid w:val="2FC326B9"/>
    <w:rsid w:val="2FD6751F"/>
    <w:rsid w:val="309409EF"/>
    <w:rsid w:val="30954C40"/>
    <w:rsid w:val="30AC5ED6"/>
    <w:rsid w:val="30C36E11"/>
    <w:rsid w:val="30ED5F12"/>
    <w:rsid w:val="30F70F8B"/>
    <w:rsid w:val="316812F3"/>
    <w:rsid w:val="31B048DD"/>
    <w:rsid w:val="31E907B7"/>
    <w:rsid w:val="323C5B99"/>
    <w:rsid w:val="325A081E"/>
    <w:rsid w:val="326F2F2C"/>
    <w:rsid w:val="327F6F84"/>
    <w:rsid w:val="32DC6FF6"/>
    <w:rsid w:val="32EC51EE"/>
    <w:rsid w:val="33243844"/>
    <w:rsid w:val="33400DEF"/>
    <w:rsid w:val="33487247"/>
    <w:rsid w:val="338D077F"/>
    <w:rsid w:val="33BB63BA"/>
    <w:rsid w:val="340A62A2"/>
    <w:rsid w:val="34381B90"/>
    <w:rsid w:val="3508681A"/>
    <w:rsid w:val="351358FA"/>
    <w:rsid w:val="351A6043"/>
    <w:rsid w:val="359630F9"/>
    <w:rsid w:val="35D96921"/>
    <w:rsid w:val="35FB6152"/>
    <w:rsid w:val="362265E0"/>
    <w:rsid w:val="36687282"/>
    <w:rsid w:val="37021442"/>
    <w:rsid w:val="37161837"/>
    <w:rsid w:val="373C00A7"/>
    <w:rsid w:val="381F20A7"/>
    <w:rsid w:val="387B7340"/>
    <w:rsid w:val="38B82D15"/>
    <w:rsid w:val="38D155B2"/>
    <w:rsid w:val="393D1FD0"/>
    <w:rsid w:val="398F11E5"/>
    <w:rsid w:val="39D42A70"/>
    <w:rsid w:val="39EA388E"/>
    <w:rsid w:val="3A661D2A"/>
    <w:rsid w:val="3B0A6B5A"/>
    <w:rsid w:val="3B3B542F"/>
    <w:rsid w:val="3B442094"/>
    <w:rsid w:val="3B6C2752"/>
    <w:rsid w:val="3B90611E"/>
    <w:rsid w:val="3BAB5A29"/>
    <w:rsid w:val="3C161D61"/>
    <w:rsid w:val="3C1934F8"/>
    <w:rsid w:val="3C3E0080"/>
    <w:rsid w:val="3C481C37"/>
    <w:rsid w:val="3C5F0CE3"/>
    <w:rsid w:val="3C870DEA"/>
    <w:rsid w:val="3CA63E02"/>
    <w:rsid w:val="3CA803D8"/>
    <w:rsid w:val="3CBF7272"/>
    <w:rsid w:val="3CE23408"/>
    <w:rsid w:val="3CFC24D2"/>
    <w:rsid w:val="3D145266"/>
    <w:rsid w:val="3D177313"/>
    <w:rsid w:val="3D4F4ED5"/>
    <w:rsid w:val="3DA232FD"/>
    <w:rsid w:val="3DE25B6C"/>
    <w:rsid w:val="3DFA4EFC"/>
    <w:rsid w:val="3E844DAB"/>
    <w:rsid w:val="3EC358E4"/>
    <w:rsid w:val="3F0062A9"/>
    <w:rsid w:val="3F1735F3"/>
    <w:rsid w:val="3F8F50A9"/>
    <w:rsid w:val="3F8F6A0E"/>
    <w:rsid w:val="3F99207A"/>
    <w:rsid w:val="3F9E1D54"/>
    <w:rsid w:val="3FE026E1"/>
    <w:rsid w:val="400E0E9A"/>
    <w:rsid w:val="403C5749"/>
    <w:rsid w:val="40674B69"/>
    <w:rsid w:val="40750EFF"/>
    <w:rsid w:val="40A9471F"/>
    <w:rsid w:val="40C260CB"/>
    <w:rsid w:val="410F64D0"/>
    <w:rsid w:val="413E40CB"/>
    <w:rsid w:val="419C344A"/>
    <w:rsid w:val="41AE46E3"/>
    <w:rsid w:val="42334885"/>
    <w:rsid w:val="42334F61"/>
    <w:rsid w:val="427D2265"/>
    <w:rsid w:val="42EB613E"/>
    <w:rsid w:val="430E6923"/>
    <w:rsid w:val="43594E0B"/>
    <w:rsid w:val="43C057DD"/>
    <w:rsid w:val="440D0723"/>
    <w:rsid w:val="444F4AB8"/>
    <w:rsid w:val="446A2FDC"/>
    <w:rsid w:val="446D2407"/>
    <w:rsid w:val="44802E0E"/>
    <w:rsid w:val="44981D26"/>
    <w:rsid w:val="450D2A26"/>
    <w:rsid w:val="45156827"/>
    <w:rsid w:val="451B5CDC"/>
    <w:rsid w:val="451E1B7F"/>
    <w:rsid w:val="45695C39"/>
    <w:rsid w:val="459308C3"/>
    <w:rsid w:val="45D93CF8"/>
    <w:rsid w:val="45E74C92"/>
    <w:rsid w:val="4606574C"/>
    <w:rsid w:val="46211F0A"/>
    <w:rsid w:val="462E021E"/>
    <w:rsid w:val="4651749D"/>
    <w:rsid w:val="46701BA1"/>
    <w:rsid w:val="46C65733"/>
    <w:rsid w:val="46F518B3"/>
    <w:rsid w:val="47B96B4B"/>
    <w:rsid w:val="47E62551"/>
    <w:rsid w:val="48613478"/>
    <w:rsid w:val="489E1938"/>
    <w:rsid w:val="48AB5A85"/>
    <w:rsid w:val="48AD1A9B"/>
    <w:rsid w:val="48E6735E"/>
    <w:rsid w:val="48EC4051"/>
    <w:rsid w:val="49307D61"/>
    <w:rsid w:val="49494CF1"/>
    <w:rsid w:val="497724B5"/>
    <w:rsid w:val="49ED2E91"/>
    <w:rsid w:val="4A012325"/>
    <w:rsid w:val="4A4060F4"/>
    <w:rsid w:val="4A7B5738"/>
    <w:rsid w:val="4ADC1A69"/>
    <w:rsid w:val="4B2C3E78"/>
    <w:rsid w:val="4B5D6832"/>
    <w:rsid w:val="4B815B8F"/>
    <w:rsid w:val="4BA45F7F"/>
    <w:rsid w:val="4BBB3E47"/>
    <w:rsid w:val="4BBC6A12"/>
    <w:rsid w:val="4C022E22"/>
    <w:rsid w:val="4C5B0FC3"/>
    <w:rsid w:val="4C667968"/>
    <w:rsid w:val="4C7E3B40"/>
    <w:rsid w:val="4C81185A"/>
    <w:rsid w:val="4CA80CE5"/>
    <w:rsid w:val="4D16057F"/>
    <w:rsid w:val="4D1B2B25"/>
    <w:rsid w:val="4D3D09A3"/>
    <w:rsid w:val="4D6978A4"/>
    <w:rsid w:val="4DB92F66"/>
    <w:rsid w:val="4E2B0866"/>
    <w:rsid w:val="4E951674"/>
    <w:rsid w:val="4EA053B3"/>
    <w:rsid w:val="4EF75830"/>
    <w:rsid w:val="4F174719"/>
    <w:rsid w:val="4F323738"/>
    <w:rsid w:val="4F7008BB"/>
    <w:rsid w:val="4F7D56F4"/>
    <w:rsid w:val="4F9F38BD"/>
    <w:rsid w:val="4FEE3846"/>
    <w:rsid w:val="50147F6B"/>
    <w:rsid w:val="503404A9"/>
    <w:rsid w:val="504E1D8A"/>
    <w:rsid w:val="507146DC"/>
    <w:rsid w:val="50EA0B67"/>
    <w:rsid w:val="50EC093D"/>
    <w:rsid w:val="524D614E"/>
    <w:rsid w:val="52642B9B"/>
    <w:rsid w:val="52663F14"/>
    <w:rsid w:val="526E6040"/>
    <w:rsid w:val="529139B0"/>
    <w:rsid w:val="52A86F2C"/>
    <w:rsid w:val="52D95337"/>
    <w:rsid w:val="5331460B"/>
    <w:rsid w:val="537904C0"/>
    <w:rsid w:val="53810178"/>
    <w:rsid w:val="53860F02"/>
    <w:rsid w:val="53942274"/>
    <w:rsid w:val="53F4038B"/>
    <w:rsid w:val="5449226A"/>
    <w:rsid w:val="54535F2B"/>
    <w:rsid w:val="54CF74C1"/>
    <w:rsid w:val="54D538DD"/>
    <w:rsid w:val="55373545"/>
    <w:rsid w:val="55CF642F"/>
    <w:rsid w:val="55D83684"/>
    <w:rsid w:val="560723D7"/>
    <w:rsid w:val="57367E83"/>
    <w:rsid w:val="579F6BBB"/>
    <w:rsid w:val="582F66D6"/>
    <w:rsid w:val="589809A9"/>
    <w:rsid w:val="58AF2B8C"/>
    <w:rsid w:val="58B630ED"/>
    <w:rsid w:val="591744C4"/>
    <w:rsid w:val="59661F2B"/>
    <w:rsid w:val="5A036182"/>
    <w:rsid w:val="5A42002F"/>
    <w:rsid w:val="5A971D60"/>
    <w:rsid w:val="5A997076"/>
    <w:rsid w:val="5BA073EA"/>
    <w:rsid w:val="5BD91F04"/>
    <w:rsid w:val="5BE71074"/>
    <w:rsid w:val="5BED16CF"/>
    <w:rsid w:val="5C2869E8"/>
    <w:rsid w:val="5CA758E9"/>
    <w:rsid w:val="5D175C06"/>
    <w:rsid w:val="5D2C0F26"/>
    <w:rsid w:val="5D3E3CC9"/>
    <w:rsid w:val="5D6C4E03"/>
    <w:rsid w:val="5D8D3526"/>
    <w:rsid w:val="5DFA0231"/>
    <w:rsid w:val="5E005E6E"/>
    <w:rsid w:val="5E190169"/>
    <w:rsid w:val="5E4044BD"/>
    <w:rsid w:val="5E803E8C"/>
    <w:rsid w:val="5F1F168D"/>
    <w:rsid w:val="5F3A5BAA"/>
    <w:rsid w:val="5F567B43"/>
    <w:rsid w:val="5F59269F"/>
    <w:rsid w:val="5F5B32ED"/>
    <w:rsid w:val="5FC2513E"/>
    <w:rsid w:val="605D3104"/>
    <w:rsid w:val="60BD3BA3"/>
    <w:rsid w:val="60BF3C01"/>
    <w:rsid w:val="611F6E39"/>
    <w:rsid w:val="616B583F"/>
    <w:rsid w:val="622B10BD"/>
    <w:rsid w:val="62340494"/>
    <w:rsid w:val="62816E52"/>
    <w:rsid w:val="628E4E2E"/>
    <w:rsid w:val="62C258A1"/>
    <w:rsid w:val="62F45876"/>
    <w:rsid w:val="63043123"/>
    <w:rsid w:val="6329044B"/>
    <w:rsid w:val="635F3637"/>
    <w:rsid w:val="63612F0B"/>
    <w:rsid w:val="636B1FDC"/>
    <w:rsid w:val="638D6B5E"/>
    <w:rsid w:val="639C4816"/>
    <w:rsid w:val="63C65464"/>
    <w:rsid w:val="63F84591"/>
    <w:rsid w:val="63FA6EBC"/>
    <w:rsid w:val="64412D3D"/>
    <w:rsid w:val="64470BBF"/>
    <w:rsid w:val="645B3DFE"/>
    <w:rsid w:val="64E369FC"/>
    <w:rsid w:val="651251CC"/>
    <w:rsid w:val="651D38E8"/>
    <w:rsid w:val="657874A5"/>
    <w:rsid w:val="659410CD"/>
    <w:rsid w:val="659B022A"/>
    <w:rsid w:val="65F72713"/>
    <w:rsid w:val="66622060"/>
    <w:rsid w:val="667271DD"/>
    <w:rsid w:val="670E33AA"/>
    <w:rsid w:val="6721173E"/>
    <w:rsid w:val="67401299"/>
    <w:rsid w:val="674671FD"/>
    <w:rsid w:val="67892A30"/>
    <w:rsid w:val="67DD5B7C"/>
    <w:rsid w:val="6831605A"/>
    <w:rsid w:val="687030DF"/>
    <w:rsid w:val="68A57C30"/>
    <w:rsid w:val="68D3156D"/>
    <w:rsid w:val="68D72731"/>
    <w:rsid w:val="68D908EC"/>
    <w:rsid w:val="68FE744E"/>
    <w:rsid w:val="6945783A"/>
    <w:rsid w:val="69486B36"/>
    <w:rsid w:val="697A2F79"/>
    <w:rsid w:val="69AF76B0"/>
    <w:rsid w:val="69B11D61"/>
    <w:rsid w:val="69D1246D"/>
    <w:rsid w:val="6A1A1A61"/>
    <w:rsid w:val="6A807BD9"/>
    <w:rsid w:val="6AF97ECD"/>
    <w:rsid w:val="6B286A04"/>
    <w:rsid w:val="6B9E2823"/>
    <w:rsid w:val="6C3F1173"/>
    <w:rsid w:val="6C87165C"/>
    <w:rsid w:val="6C8C223F"/>
    <w:rsid w:val="6CA87699"/>
    <w:rsid w:val="6CB87914"/>
    <w:rsid w:val="6CF22E26"/>
    <w:rsid w:val="6DE23EF6"/>
    <w:rsid w:val="6E117620"/>
    <w:rsid w:val="6E2655CD"/>
    <w:rsid w:val="6EF350BE"/>
    <w:rsid w:val="6EF62AA5"/>
    <w:rsid w:val="6F5953DE"/>
    <w:rsid w:val="6F7C6217"/>
    <w:rsid w:val="6F7E6BF3"/>
    <w:rsid w:val="6F945C9E"/>
    <w:rsid w:val="6FCF5243"/>
    <w:rsid w:val="6FF1541E"/>
    <w:rsid w:val="70493016"/>
    <w:rsid w:val="705C23FA"/>
    <w:rsid w:val="70717D58"/>
    <w:rsid w:val="70A767C2"/>
    <w:rsid w:val="71147626"/>
    <w:rsid w:val="71171B68"/>
    <w:rsid w:val="71353A66"/>
    <w:rsid w:val="717546F3"/>
    <w:rsid w:val="71C210FA"/>
    <w:rsid w:val="72544A7A"/>
    <w:rsid w:val="726C367A"/>
    <w:rsid w:val="7299616D"/>
    <w:rsid w:val="729D7208"/>
    <w:rsid w:val="72A9042B"/>
    <w:rsid w:val="72DF51C9"/>
    <w:rsid w:val="7336778B"/>
    <w:rsid w:val="739340F0"/>
    <w:rsid w:val="7395370D"/>
    <w:rsid w:val="739C429E"/>
    <w:rsid w:val="73B74C88"/>
    <w:rsid w:val="73E10783"/>
    <w:rsid w:val="73E83A16"/>
    <w:rsid w:val="745D4CA2"/>
    <w:rsid w:val="746B7053"/>
    <w:rsid w:val="749F1258"/>
    <w:rsid w:val="74A3242F"/>
    <w:rsid w:val="74D37FA5"/>
    <w:rsid w:val="755B2A8D"/>
    <w:rsid w:val="75CA2B92"/>
    <w:rsid w:val="765B4A61"/>
    <w:rsid w:val="76610F1C"/>
    <w:rsid w:val="76675FA4"/>
    <w:rsid w:val="769D477F"/>
    <w:rsid w:val="76AD22B9"/>
    <w:rsid w:val="76BF2BFF"/>
    <w:rsid w:val="76D7090D"/>
    <w:rsid w:val="77725BEA"/>
    <w:rsid w:val="77754D7F"/>
    <w:rsid w:val="7775590E"/>
    <w:rsid w:val="779F004E"/>
    <w:rsid w:val="77AC689E"/>
    <w:rsid w:val="77B707D5"/>
    <w:rsid w:val="77C91904"/>
    <w:rsid w:val="77FE23D3"/>
    <w:rsid w:val="781834B5"/>
    <w:rsid w:val="781F5107"/>
    <w:rsid w:val="78330616"/>
    <w:rsid w:val="7875409D"/>
    <w:rsid w:val="788837E8"/>
    <w:rsid w:val="78970257"/>
    <w:rsid w:val="78BC1BB4"/>
    <w:rsid w:val="78E95998"/>
    <w:rsid w:val="791800B8"/>
    <w:rsid w:val="79417823"/>
    <w:rsid w:val="796005E3"/>
    <w:rsid w:val="798C097A"/>
    <w:rsid w:val="7A3126BD"/>
    <w:rsid w:val="7A426515"/>
    <w:rsid w:val="7A6A0517"/>
    <w:rsid w:val="7A7C15DB"/>
    <w:rsid w:val="7AB864FF"/>
    <w:rsid w:val="7ADD69FA"/>
    <w:rsid w:val="7AF1471D"/>
    <w:rsid w:val="7B674124"/>
    <w:rsid w:val="7B945E9D"/>
    <w:rsid w:val="7BC15F99"/>
    <w:rsid w:val="7BFE1DCD"/>
    <w:rsid w:val="7C2907B2"/>
    <w:rsid w:val="7C5C65BF"/>
    <w:rsid w:val="7CD5581E"/>
    <w:rsid w:val="7D102BF2"/>
    <w:rsid w:val="7D2E159E"/>
    <w:rsid w:val="7D6124C0"/>
    <w:rsid w:val="7D8F249A"/>
    <w:rsid w:val="7DAC1C8E"/>
    <w:rsid w:val="7DE347D5"/>
    <w:rsid w:val="7E413C0D"/>
    <w:rsid w:val="7EB3157A"/>
    <w:rsid w:val="7EDF116C"/>
    <w:rsid w:val="7EF07617"/>
    <w:rsid w:val="7F146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next w:val="5"/>
    <w:qFormat/>
    <w:uiPriority w:val="0"/>
    <w:pPr>
      <w:ind w:firstLine="420" w:firstLineChars="200"/>
    </w:pPr>
    <w:rPr>
      <w:rFonts w:ascii="Calibri" w:hAnsi="Calibri" w:cs="Calibri"/>
      <w:szCs w:val="21"/>
    </w:rPr>
  </w:style>
  <w:style w:type="paragraph" w:styleId="5">
    <w:name w:val="index 6"/>
    <w:basedOn w:val="1"/>
    <w:next w:val="1"/>
    <w:semiHidden/>
    <w:qFormat/>
    <w:uiPriority w:val="0"/>
    <w:pPr>
      <w:ind w:left="1000" w:leftChars="1000"/>
    </w:pPr>
  </w:style>
  <w:style w:type="paragraph" w:styleId="6">
    <w:name w:val="Body Text 3"/>
    <w:basedOn w:val="1"/>
    <w:next w:val="7"/>
    <w:unhideWhenUsed/>
    <w:qFormat/>
    <w:uiPriority w:val="99"/>
    <w:pPr>
      <w:spacing w:after="120"/>
    </w:pPr>
    <w:rPr>
      <w:rFonts w:eastAsia="仿宋_GB2312"/>
      <w:kern w:val="0"/>
      <w:sz w:val="16"/>
      <w:szCs w:val="16"/>
    </w:rPr>
  </w:style>
  <w:style w:type="paragraph" w:customStyle="1" w:styleId="7">
    <w:name w:val="Char1"/>
    <w:basedOn w:val="1"/>
    <w:qFormat/>
    <w:uiPriority w:val="99"/>
    <w:pPr>
      <w:tabs>
        <w:tab w:val="left" w:pos="840"/>
      </w:tabs>
      <w:ind w:left="840" w:hanging="420"/>
    </w:pPr>
    <w:rPr>
      <w:rFonts w:eastAsia="仿宋_GB2312"/>
      <w:sz w:val="24"/>
    </w:rPr>
  </w:style>
  <w:style w:type="paragraph" w:styleId="8">
    <w:name w:val="Body Text Indent"/>
    <w:basedOn w:val="1"/>
    <w:unhideWhenUsed/>
    <w:qFormat/>
    <w:uiPriority w:val="99"/>
    <w:pPr>
      <w:spacing w:after="120"/>
      <w:ind w:left="420" w:leftChars="200"/>
    </w:pPr>
  </w:style>
  <w:style w:type="paragraph" w:styleId="9">
    <w:name w:val="Block Text"/>
    <w:basedOn w:val="1"/>
    <w:qFormat/>
    <w:uiPriority w:val="0"/>
    <w:pPr>
      <w:ind w:left="1440" w:leftChars="700" w:right="700" w:rightChars="700"/>
    </w:pPr>
    <w:rPr>
      <w:rFonts w:ascii="Times New Roman" w:hAnsi="Times New Roman"/>
    </w:rPr>
  </w:style>
  <w:style w:type="paragraph" w:styleId="10">
    <w:name w:val="Balloon Text"/>
    <w:basedOn w:val="1"/>
    <w:link w:val="38"/>
    <w:qFormat/>
    <w:uiPriority w:val="0"/>
    <w:rPr>
      <w:sz w:val="18"/>
      <w:szCs w:val="18"/>
    </w:rPr>
  </w:style>
  <w:style w:type="paragraph" w:styleId="11">
    <w:name w:val="footer"/>
    <w:basedOn w:val="1"/>
    <w:next w:val="2"/>
    <w:link w:val="39"/>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99"/>
    <w:pPr>
      <w:jc w:val="center"/>
      <w:outlineLvl w:val="0"/>
    </w:pPr>
    <w:rPr>
      <w:rFonts w:ascii="Arial" w:hAnsi="Arial"/>
      <w:sz w:val="32"/>
    </w:rPr>
  </w:style>
  <w:style w:type="paragraph" w:styleId="17">
    <w:name w:val="Body Text First Indent"/>
    <w:basedOn w:val="2"/>
    <w:qFormat/>
    <w:uiPriority w:val="0"/>
    <w:pPr>
      <w:ind w:firstLine="640"/>
    </w:pPr>
    <w:rPr>
      <w:rFonts w:ascii="Times New Roman" w:hAnsi="Times New Roman" w:eastAsia="宋体" w:cs="Times New Roman"/>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0"/>
    <w:rPr>
      <w:i/>
    </w:rPr>
  </w:style>
  <w:style w:type="paragraph" w:customStyle="1" w:styleId="23">
    <w:name w:val="BodyText"/>
    <w:basedOn w:val="1"/>
    <w:next w:val="1"/>
    <w:qFormat/>
    <w:uiPriority w:val="0"/>
    <w:pPr>
      <w:widowControl/>
      <w:spacing w:after="120" w:line="264" w:lineRule="auto"/>
      <w:textAlignment w:val="baseline"/>
    </w:pPr>
    <w:rPr>
      <w:rFonts w:ascii="Times New Roman" w:hAnsi="Times New Roman" w:eastAsia="宋体" w:cs="Times New Roman"/>
    </w:rPr>
  </w:style>
  <w:style w:type="paragraph" w:customStyle="1" w:styleId="24">
    <w:name w:val="正文1"/>
    <w:qFormat/>
    <w:uiPriority w:val="3"/>
    <w:pPr>
      <w:spacing w:line="454" w:lineRule="atLeast"/>
      <w:ind w:left="1" w:firstLine="419"/>
      <w:jc w:val="both"/>
    </w:pPr>
    <w:rPr>
      <w:rFonts w:ascii="Times New Roman" w:hAnsi="Times New Roman" w:eastAsia="宋体" w:cs="黑体"/>
      <w:color w:val="000000"/>
      <w:spacing w:val="4"/>
      <w:sz w:val="32"/>
      <w:szCs w:val="22"/>
      <w:lang w:val="en-US" w:eastAsia="zh-CN" w:bidi="ar-SA"/>
    </w:r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 w:type="character" w:customStyle="1" w:styleId="26">
    <w:name w:val="UserStyle_1"/>
    <w:qFormat/>
    <w:uiPriority w:val="0"/>
    <w:rPr>
      <w:rFonts w:ascii="Calibri" w:hAnsi="Calibri" w:eastAsia="宋体" w:cs="Times New Roman"/>
      <w:kern w:val="2"/>
      <w:sz w:val="21"/>
      <w:szCs w:val="24"/>
      <w:lang w:val="en-US" w:eastAsia="zh-CN" w:bidi="ar-SA"/>
    </w:rPr>
  </w:style>
  <w:style w:type="character" w:customStyle="1" w:styleId="27">
    <w:name w:val="15"/>
    <w:basedOn w:val="21"/>
    <w:qFormat/>
    <w:uiPriority w:val="0"/>
    <w:rPr>
      <w:rFonts w:hint="default" w:ascii="Tahoma" w:hAnsi="Tahoma" w:eastAsia="微软雅黑" w:cs="Times New Roman"/>
      <w:sz w:val="22"/>
      <w:szCs w:val="22"/>
    </w:rPr>
  </w:style>
  <w:style w:type="paragraph" w:customStyle="1" w:styleId="28">
    <w:name w:val="Body text|1"/>
    <w:basedOn w:val="1"/>
    <w:qFormat/>
    <w:uiPriority w:val="0"/>
    <w:pPr>
      <w:spacing w:line="418" w:lineRule="auto"/>
      <w:ind w:firstLine="400"/>
    </w:pPr>
    <w:rPr>
      <w:rFonts w:ascii="宋体" w:hAnsi="宋体" w:eastAsia="宋体" w:cs="宋体"/>
      <w:sz w:val="28"/>
      <w:szCs w:val="28"/>
      <w:lang w:val="zh-TW" w:eastAsia="zh-TW" w:bidi="zh-TW"/>
    </w:rPr>
  </w:style>
  <w:style w:type="paragraph" w:customStyle="1" w:styleId="29">
    <w:name w:val="Header or footer|1"/>
    <w:basedOn w:val="1"/>
    <w:qFormat/>
    <w:uiPriority w:val="0"/>
    <w:rPr>
      <w:sz w:val="20"/>
      <w:szCs w:val="20"/>
      <w:lang w:val="zh-TW" w:eastAsia="zh-TW" w:bidi="zh-TW"/>
    </w:rPr>
  </w:style>
  <w:style w:type="character" w:customStyle="1" w:styleId="30">
    <w:name w:val="font151"/>
    <w:basedOn w:val="21"/>
    <w:qFormat/>
    <w:uiPriority w:val="0"/>
    <w:rPr>
      <w:rFonts w:hint="eastAsia" w:ascii="仿宋" w:hAnsi="仿宋" w:eastAsia="仿宋" w:cs="仿宋"/>
      <w:color w:val="000000"/>
      <w:sz w:val="20"/>
      <w:szCs w:val="20"/>
      <w:u w:val="none"/>
    </w:rPr>
  </w:style>
  <w:style w:type="character" w:customStyle="1" w:styleId="31">
    <w:name w:val="font191"/>
    <w:basedOn w:val="21"/>
    <w:qFormat/>
    <w:uiPriority w:val="0"/>
    <w:rPr>
      <w:rFonts w:hint="eastAsia" w:ascii="仿宋" w:hAnsi="仿宋" w:eastAsia="仿宋" w:cs="仿宋"/>
      <w:color w:val="000000"/>
      <w:sz w:val="18"/>
      <w:szCs w:val="18"/>
      <w:u w:val="none"/>
    </w:rPr>
  </w:style>
  <w:style w:type="character" w:customStyle="1" w:styleId="32">
    <w:name w:val="font21"/>
    <w:basedOn w:val="21"/>
    <w:qFormat/>
    <w:uiPriority w:val="0"/>
    <w:rPr>
      <w:rFonts w:hint="eastAsia" w:ascii="仿宋" w:hAnsi="仿宋" w:eastAsia="仿宋" w:cs="仿宋"/>
      <w:color w:val="000000"/>
      <w:sz w:val="21"/>
      <w:szCs w:val="21"/>
      <w:u w:val="none"/>
    </w:rPr>
  </w:style>
  <w:style w:type="character" w:customStyle="1" w:styleId="33">
    <w:name w:val="font01"/>
    <w:basedOn w:val="21"/>
    <w:qFormat/>
    <w:uiPriority w:val="0"/>
    <w:rPr>
      <w:rFonts w:hint="eastAsia" w:ascii="仿宋" w:hAnsi="仿宋" w:eastAsia="仿宋" w:cs="仿宋"/>
      <w:color w:val="000000"/>
      <w:sz w:val="24"/>
      <w:szCs w:val="24"/>
      <w:u w:val="none"/>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font112"/>
    <w:basedOn w:val="21"/>
    <w:qFormat/>
    <w:uiPriority w:val="0"/>
    <w:rPr>
      <w:rFonts w:hint="eastAsia" w:ascii="仿宋" w:hAnsi="仿宋" w:eastAsia="仿宋" w:cs="仿宋"/>
      <w:color w:val="000000"/>
      <w:sz w:val="16"/>
      <w:szCs w:val="16"/>
      <w:u w:val="none"/>
    </w:rPr>
  </w:style>
  <w:style w:type="character" w:customStyle="1" w:styleId="37">
    <w:name w:val="font121"/>
    <w:basedOn w:val="21"/>
    <w:qFormat/>
    <w:uiPriority w:val="0"/>
    <w:rPr>
      <w:rFonts w:hint="eastAsia" w:ascii="宋体" w:hAnsi="宋体" w:eastAsia="宋体" w:cs="宋体"/>
      <w:color w:val="000000"/>
      <w:sz w:val="16"/>
      <w:szCs w:val="16"/>
      <w:u w:val="none"/>
    </w:rPr>
  </w:style>
  <w:style w:type="character" w:customStyle="1" w:styleId="38">
    <w:name w:val="批注框文本 Char"/>
    <w:basedOn w:val="21"/>
    <w:link w:val="10"/>
    <w:qFormat/>
    <w:uiPriority w:val="0"/>
    <w:rPr>
      <w:rFonts w:asciiTheme="minorHAnsi" w:hAnsiTheme="minorHAnsi" w:eastAsiaTheme="minorEastAsia" w:cstheme="minorBidi"/>
      <w:kern w:val="2"/>
      <w:sz w:val="18"/>
      <w:szCs w:val="18"/>
    </w:rPr>
  </w:style>
  <w:style w:type="character" w:customStyle="1" w:styleId="39">
    <w:name w:val="页脚 Char"/>
    <w:basedOn w:val="21"/>
    <w:link w:val="11"/>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7A88-AC02-4E7E-9B1A-DB31C8B80E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115</Pages>
  <Words>64084</Words>
  <Characters>66281</Characters>
  <Lines>497</Lines>
  <Paragraphs>139</Paragraphs>
  <TotalTime>34</TotalTime>
  <ScaleCrop>false</ScaleCrop>
  <LinksUpToDate>false</LinksUpToDate>
  <CharactersWithSpaces>66608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2023-06-26T02:44:00Z</dcterms:created>
  <dc:creator>Administrator</dc:creator>
  <cp:lastModifiedBy>晋</cp:lastModifiedBy>
  <cp:lastPrinted>2023-07-06T08:01:00Z</cp:lastPrinted>
  <dcterms:modified xsi:type="dcterms:W3CDTF">2023-07-07T01:42:14Z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26A9D51C94BC41A4A46ED2F60A5FD7EA</vt:lpwstr>
  </property>
</Properties>
</file>