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ascii="宋体" w:hAnsi="宋体" w:eastAsia="宋体" w:cs="宋体"/>
          <w:b/>
          <w:bCs/>
          <w:sz w:val="44"/>
          <w:szCs w:val="44"/>
        </w:rPr>
        <w:t>年财政预算相关情况说明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上级补助收入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预算情况。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2020年，上级补助收入预计15.3亿元。具体情况如下：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返还性收入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预计-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12725万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，其中：两税税收返还收入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3377万元，所得税基数返还收入1818万元，成品油价格和税费改革税收返还收入127万元，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增值税“五五分享”税收返还收入-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18047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一般性转移支付收入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预计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65725万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元，其中：均衡性转移支付收入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11000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万元，县级基本财力保障机制奖补资金收入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万元，产粮大县奖励资金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固定数额补助收入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29735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万元，结算补助收入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19990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（三）专项转移支付收入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预计100000万元，其中：一般公共服务200万元，国防25万元，公共安全1110万元，教育20915万元，科学技术80万元，文化旅游体育与传媒 1460万元，社会保障和就业20350万元，卫生健康 2320万元，节能环保4940万元，城乡社区780万元，农林水40170 万元，交通运输4550万元，资源勘探信息等1010万元，商业服务业等300万元，金融470万元，住房保障1060 万元，粮油物资储备20万元，灾害防治及应急管理240万元。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、预算绩效工作开展情况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编制20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年预算时，跟进绩效目标申报工作，要求全县部门单位编制整体绩效目标，并随部门预算同步公开。同时，计划将20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年扶贫资金全面纳入绩效管理，确保做到绩效管理全覆盖。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5DEC"/>
    <w:rsid w:val="2CBB5DEC"/>
    <w:rsid w:val="529F10B8"/>
    <w:rsid w:val="65623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2019-07-24T01:52:00Z</dcterms:created>
  <dc:creator>乐观人生</dc:creator>
  <cp:lastModifiedBy>阿修/tp</cp:lastModifiedBy>
  <dcterms:modified xsi:type="dcterms:W3CDTF">2020-05-12T07:28:40Z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